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hanging="2"/>
        <w:rPr>
          <w:rFonts w:ascii="Times New Roman" w:hAnsi="Times New Roman" w:cs="Times New Roman"/>
        </w:rPr>
      </w:pPr>
      <w:r>
        <w:rPr>
          <w:rFonts w:ascii="Times New Roman" w:hAnsi="Times New Roman" w:cs="Times New Roman"/>
          <w:lang w:eastAsia="pt-BR" w:bidi="ar-SA"/>
        </w:rPr>
        <mc:AlternateContent>
          <mc:Choice Requires="wps">
            <w:drawing>
              <wp:anchor distT="0" distB="0" distL="114300" distR="114300" simplePos="0" relativeHeight="251667456" behindDoc="0" locked="0" layoutInCell="1" hidden="1" allowOverlap="1">
                <wp:simplePos x="0" y="0"/>
                <wp:positionH relativeFrom="column">
                  <wp:posOffset>0</wp:posOffset>
                </wp:positionH>
                <wp:positionV relativeFrom="paragraph">
                  <wp:posOffset>0</wp:posOffset>
                </wp:positionV>
                <wp:extent cx="635000" cy="635000"/>
                <wp:effectExtent l="0" t="0" r="3175" b="3175"/>
                <wp:wrapNone/>
                <wp:docPr id="1" name="AutoShape 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id="AutoShape 10" o:spid="_x0000_s1026" o:spt="1" style="position:absolute;left:0pt;margin-left:0pt;margin-top:0pt;height:50pt;width:50pt;visibility:hidden;z-index:251667456;mso-width-relative:page;mso-height-relative:page;" filled="f" stroked="f" coordsize="21600,21600"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EuA6C0QAAAAUBAAAPAAAAAAAAAAEAIAAAACIAAABkcnMvZG93bnJldi54bWxQSwEC&#10;FAAUAAAACACHTuJAuBMe+vsBAAATBAAADgAAAAAAAAABACAAAAAgAQAAZHJzL2Uyb0RvYy54bWxQ&#10;SwUGAAAAAAYABgBZAQAAjQUAAAAA&#10;">
                <v:fill on="f" focussize="0,0"/>
                <v:stroke on="f"/>
                <v:imagedata o:title=""/>
                <o:lock v:ext="edit" selection="t" aspectratio="t"/>
              </v:rect>
            </w:pict>
          </mc:Fallback>
        </mc:AlternateConten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bookmarkStart w:id="7" w:name="_GoBack"/>
    </w:p>
    <w:bookmarkEnd w:id="7"/>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b/>
          <w:color w:val="000000"/>
        </w:rPr>
        <w:t>PROJETO PEDAGÓGICO DO CURSO DE LICENCIATURA EM HISTÓRIA</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Ouro Preto</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2022</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REITORA</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Profa. Cláudia Aparecida Marliére de Lima</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PRÓ-REITORA DE GRADUAÇÃO</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 xml:space="preserve"> Profa. Tânia Rossi Garbin</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DIRETOR DO INSTITUTO DE CIÊNCIAS HUMANAS E SOCIAIS</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Calibri" w:cs="Times New Roman"/>
          <w:color w:val="1E1E1E"/>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1E1E1E"/>
        </w:rPr>
        <w:t>Prof. Luciano Campos da Silva</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Calibri" w:cs="Times New Roman"/>
          <w:color w:val="1E1E1E"/>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CHEFE DO DEPARTAMENTO DE HISTÓRIA</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Calibri" w:cs="Times New Roman"/>
          <w:color w:val="1E1E1E"/>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1E1E1E"/>
        </w:rPr>
        <w:t>Prof. Arnaldo José Zangelmi</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Calibri" w:cs="Times New Roman"/>
          <w:color w:val="1E1E1E"/>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 xml:space="preserve"> COORDENADORA DO CURSO DE LICENCIATURA EM HISTÓRIA ( até 06/2022)</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Calibri" w:cs="Times New Roman"/>
          <w:color w:val="1E1E1E"/>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Times New Roman" w:cs="Times New Roman"/>
          <w:color w:val="000000"/>
        </w:rPr>
      </w:pPr>
      <w:r>
        <w:rPr>
          <w:rFonts w:ascii="Times New Roman" w:hAnsi="Times New Roman" w:eastAsia="Calibri" w:cs="Times New Roman"/>
          <w:color w:val="1E1E1E"/>
        </w:rPr>
        <w:t>Profa. Ana Mónica Henriques Lopes</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PRESIDENTE DO NÚCLEO DOCENTE ESTRUTURANTE (NDE) DO CURSO DE LICENCIATURA EM HISTÓRIA</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Calibri" w:cs="Times New Roman"/>
          <w:color w:val="1E1E1E"/>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1E1E1E"/>
        </w:rPr>
        <w:t>Prof. Daniel Wanderson Ferreira</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Calibri" w:cs="Times New Roman"/>
          <w:color w:val="1E1E1E"/>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MEMBROS DO COLEGIADO DO CURSO DE LICENCIATURA EM HISTÓRIA</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Calibri" w:cs="Times New Roman"/>
          <w:color w:val="1E1E1E"/>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Times New Roman" w:cs="Times New Roman"/>
          <w:color w:val="000000"/>
        </w:rPr>
      </w:pPr>
      <w:r>
        <w:rPr>
          <w:rFonts w:ascii="Times New Roman" w:hAnsi="Times New Roman" w:eastAsia="Calibri" w:cs="Times New Roman"/>
          <w:color w:val="000000"/>
        </w:rPr>
        <w:t>Prof. Álvaro de Araújo Antunes (coordenação)</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Times New Roman" w:cs="Times New Roman"/>
          <w:color w:val="000000"/>
        </w:rPr>
      </w:pPr>
      <w:r>
        <w:rPr>
          <w:rFonts w:ascii="Times New Roman" w:hAnsi="Times New Roman" w:eastAsia="Calibri" w:cs="Times New Roman"/>
          <w:color w:val="000000"/>
        </w:rPr>
        <w:t>Prof. Daniel Wanderson Ferreira (vice-coordenação)</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Times New Roman" w:cs="Times New Roman"/>
          <w:color w:val="000000"/>
        </w:rPr>
      </w:pPr>
      <w:r>
        <w:rPr>
          <w:rFonts w:ascii="Times New Roman" w:hAnsi="Times New Roman" w:eastAsia="Calibri" w:cs="Times New Roman"/>
          <w:color w:val="000000"/>
        </w:rPr>
        <w:t>Prof. Fábio Faversani</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Times New Roman" w:cs="Times New Roman"/>
          <w:color w:val="000000"/>
        </w:rPr>
      </w:pPr>
      <w:r>
        <w:rPr>
          <w:rFonts w:ascii="Times New Roman" w:hAnsi="Times New Roman" w:eastAsia="Calibri" w:cs="Times New Roman"/>
          <w:color w:val="000000"/>
        </w:rPr>
        <w:t>Prof. Marco Antônio Silveira</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Times New Roman" w:cs="Times New Roman"/>
          <w:color w:val="000000"/>
        </w:rPr>
      </w:pPr>
      <w:r>
        <w:rPr>
          <w:rFonts w:ascii="Times New Roman" w:hAnsi="Times New Roman" w:eastAsia="Calibri" w:cs="Times New Roman"/>
          <w:color w:val="000000"/>
        </w:rPr>
        <w:t>Prof. Sérgio Ricardo da Mata</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Times New Roman" w:cs="Times New Roman"/>
          <w:color w:val="000000"/>
        </w:rPr>
      </w:pPr>
      <w:r>
        <w:rPr>
          <w:rFonts w:ascii="Times New Roman" w:hAnsi="Times New Roman" w:eastAsia="Calibri" w:cs="Times New Roman"/>
          <w:color w:val="000000"/>
        </w:rPr>
        <w:t>Isabela Baltazar (discente)</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SECRETÁRIAS DO COLEGIADO DO CURSO DE LICENCIATURA EM HISTÓRIA</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Flávia Cristina Olivia (até 03/2022)</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Jucileide D. Lucas Tolentino</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 xml:space="preserve">EQUIPE DO NAP RESPONSÁVEL PELA REVISÃO </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Fabrícia Helena Mol Silva Santos</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Letícia Pereira de Sousa</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Calibri" w:cs="Times New Roman"/>
          <w:color w:val="000000"/>
        </w:rPr>
      </w:pPr>
      <w:r>
        <w:rPr>
          <w:rFonts w:ascii="Times New Roman" w:hAnsi="Times New Roman" w:eastAsia="Calibri" w:cs="Times New Roman"/>
          <w:color w:val="000000"/>
        </w:rPr>
        <w:t>Marcilene Magalhães da Silva</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b/>
          <w:color w:val="000000"/>
        </w:rPr>
        <w:t>Docentes responsáveis pela elaboração do Projeto Pedagógico do Curso de Licenciatura em História</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Prof. Álvaro de Araújo Antunes</w:t>
      </w:r>
      <w:r>
        <w:rPr>
          <w:rFonts w:ascii="Times New Roman" w:hAnsi="Times New Roman" w:eastAsia="Calibri" w:cs="Times New Roman"/>
          <w:color w:val="000000"/>
        </w:rPr>
        <w:tab/>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Profa. Ana Mónica Henriques Lopes</w:t>
      </w:r>
      <w:r>
        <w:rPr>
          <w:rFonts w:ascii="Times New Roman" w:hAnsi="Times New Roman" w:eastAsia="Calibri" w:cs="Times New Roman"/>
          <w:color w:val="000000"/>
        </w:rPr>
        <w:tab/>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Profa. Anny Jackeline Torres Silveira</w:t>
      </w:r>
      <w:r>
        <w:rPr>
          <w:rFonts w:ascii="Times New Roman" w:hAnsi="Times New Roman" w:eastAsia="Calibri" w:cs="Times New Roman"/>
          <w:color w:val="000000"/>
        </w:rPr>
        <w:tab/>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Prof. André de Lemos Freixo</w:t>
      </w:r>
      <w:r>
        <w:rPr>
          <w:rFonts w:ascii="Times New Roman" w:hAnsi="Times New Roman" w:eastAsia="Calibri" w:cs="Times New Roman"/>
          <w:color w:val="000000"/>
        </w:rPr>
        <w:tab/>
      </w:r>
      <w:r>
        <w:rPr>
          <w:rFonts w:ascii="Times New Roman" w:hAnsi="Times New Roman" w:eastAsia="Calibri" w:cs="Times New Roman"/>
          <w:color w:val="000000"/>
        </w:rPr>
        <w:tab/>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Profa. Andréa Lisly Gonçalves</w:t>
      </w:r>
      <w:r>
        <w:rPr>
          <w:rFonts w:ascii="Times New Roman" w:hAnsi="Times New Roman" w:eastAsia="Calibri" w:cs="Times New Roman"/>
          <w:color w:val="000000"/>
        </w:rPr>
        <w:tab/>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Prof. Arnaldo José Zangelmi</w:t>
      </w:r>
      <w:r>
        <w:rPr>
          <w:rFonts w:ascii="Times New Roman" w:hAnsi="Times New Roman" w:eastAsia="Calibri" w:cs="Times New Roman"/>
          <w:color w:val="000000"/>
        </w:rPr>
        <w:tab/>
      </w:r>
      <w:r>
        <w:rPr>
          <w:rFonts w:ascii="Times New Roman" w:hAnsi="Times New Roman" w:eastAsia="Calibri" w:cs="Times New Roman"/>
          <w:color w:val="000000"/>
        </w:rPr>
        <w:tab/>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Prof. Bruno Tadeu Salles</w:t>
      </w:r>
      <w:r>
        <w:rPr>
          <w:rFonts w:ascii="Times New Roman" w:hAnsi="Times New Roman" w:eastAsia="Calibri" w:cs="Times New Roman"/>
          <w:color w:val="000000"/>
        </w:rPr>
        <w:tab/>
      </w:r>
      <w:r>
        <w:rPr>
          <w:rFonts w:ascii="Times New Roman" w:hAnsi="Times New Roman" w:eastAsia="Calibri" w:cs="Times New Roman"/>
          <w:color w:val="000000"/>
        </w:rPr>
        <w:tab/>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Profa. Christiane Figueiredo Pagano de Mello</w:t>
      </w:r>
      <w:r>
        <w:rPr>
          <w:rFonts w:ascii="Times New Roman" w:hAnsi="Times New Roman" w:eastAsia="Calibri" w:cs="Times New Roman"/>
          <w:color w:val="000000"/>
        </w:rPr>
        <w:tab/>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Profa. Cláudia Maria das Graças Chaves</w:t>
      </w:r>
      <w:r>
        <w:rPr>
          <w:rFonts w:ascii="Times New Roman" w:hAnsi="Times New Roman" w:eastAsia="Calibri" w:cs="Times New Roman"/>
          <w:color w:val="000000"/>
        </w:rPr>
        <w:tab/>
      </w:r>
      <w:r>
        <w:rPr>
          <w:rFonts w:ascii="Times New Roman" w:hAnsi="Times New Roman" w:eastAsia="Calibri" w:cs="Times New Roman"/>
          <w:color w:val="000000"/>
        </w:rPr>
        <w:tab/>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Prof. Daniel Wanderson Ferreira</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Prof. Fábio Faversani</w:t>
      </w:r>
      <w:r>
        <w:rPr>
          <w:rFonts w:ascii="Times New Roman" w:hAnsi="Times New Roman" w:eastAsia="Calibri" w:cs="Times New Roman"/>
          <w:color w:val="000000"/>
        </w:rPr>
        <w:tab/>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Prof. Fábio Duarte Joly</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Prof. Francisco Eduardo de Andrade</w:t>
      </w:r>
      <w:r>
        <w:rPr>
          <w:rFonts w:ascii="Times New Roman" w:hAnsi="Times New Roman" w:eastAsia="Calibri" w:cs="Times New Roman"/>
          <w:color w:val="000000"/>
        </w:rPr>
        <w:tab/>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Profa. Helena Miranda Mollo</w:t>
      </w:r>
      <w:r>
        <w:rPr>
          <w:rFonts w:ascii="Times New Roman" w:hAnsi="Times New Roman" w:eastAsia="Calibri" w:cs="Times New Roman"/>
          <w:color w:val="000000"/>
        </w:rPr>
        <w:tab/>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Prof. Jefferson José Queler</w:t>
      </w:r>
      <w:r>
        <w:rPr>
          <w:rFonts w:ascii="Times New Roman" w:hAnsi="Times New Roman" w:eastAsia="Calibri" w:cs="Times New Roman"/>
          <w:color w:val="000000"/>
        </w:rPr>
        <w:tab/>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Prof. Luiz Estevam de Oliveira Fernandes</w:t>
      </w:r>
      <w:r>
        <w:rPr>
          <w:rFonts w:ascii="Times New Roman" w:hAnsi="Times New Roman" w:eastAsia="Calibri" w:cs="Times New Roman"/>
          <w:color w:val="000000"/>
        </w:rPr>
        <w:tab/>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 xml:space="preserve">Profa. Luísa Rauter Pereira </w:t>
      </w:r>
      <w:r>
        <w:rPr>
          <w:rFonts w:ascii="Times New Roman" w:hAnsi="Times New Roman" w:eastAsia="Calibri" w:cs="Times New Roman"/>
          <w:color w:val="000000"/>
        </w:rPr>
        <w:tab/>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Prof. Luciano Magela Roza</w:t>
      </w:r>
      <w:r>
        <w:rPr>
          <w:rFonts w:ascii="Times New Roman" w:hAnsi="Times New Roman" w:eastAsia="Calibri" w:cs="Times New Roman"/>
          <w:color w:val="000000"/>
        </w:rPr>
        <w:tab/>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 xml:space="preserve">Prof. Marco Antônio Silveira </w:t>
      </w:r>
      <w:r>
        <w:rPr>
          <w:rFonts w:ascii="Times New Roman" w:hAnsi="Times New Roman" w:eastAsia="Calibri" w:cs="Times New Roman"/>
          <w:color w:val="000000"/>
        </w:rPr>
        <w:tab/>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 xml:space="preserve">Prof. Mateus Henrique de Faria Pereira </w:t>
      </w:r>
      <w:r>
        <w:rPr>
          <w:rFonts w:ascii="Times New Roman" w:hAnsi="Times New Roman" w:eastAsia="Calibri" w:cs="Times New Roman"/>
          <w:color w:val="000000"/>
        </w:rPr>
        <w:tab/>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Prof. Mateus Fávaro Reis</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 xml:space="preserve">Prof. Marcelo de Mello Rangel </w:t>
      </w:r>
      <w:r>
        <w:rPr>
          <w:rFonts w:ascii="Times New Roman" w:hAnsi="Times New Roman" w:eastAsia="Calibri" w:cs="Times New Roman"/>
          <w:color w:val="000000"/>
        </w:rPr>
        <w:tab/>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Prof. Marcelo Santos de Abreu</w:t>
      </w:r>
      <w:r>
        <w:rPr>
          <w:rFonts w:ascii="Times New Roman" w:hAnsi="Times New Roman" w:eastAsia="Calibri" w:cs="Times New Roman"/>
          <w:color w:val="000000"/>
        </w:rPr>
        <w:tab/>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Prof. Sérgio Ricardo da Mata</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Prof. Valdei Lopes de Araujo</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360" w:lineRule="auto"/>
        <w:ind w:left="0" w:right="104" w:hanging="2"/>
        <w:rPr>
          <w:rFonts w:ascii="Times New Roman" w:hAnsi="Times New Roman" w:eastAsia="Calibri" w:cs="Times New Roman"/>
          <w:color w:val="000000"/>
        </w:rPr>
      </w:pPr>
      <w:r>
        <w:rPr>
          <w:rFonts w:ascii="Times New Roman" w:hAnsi="Times New Roman" w:eastAsia="Calibri" w:cs="Times New Roman"/>
          <w:color w:val="000000"/>
        </w:rPr>
        <w:t>Egressa: Profa. Thamara de Oliveira Rodrigues</w:t>
      </w:r>
    </w:p>
    <w:p>
      <w:pPr>
        <w:pBdr>
          <w:top w:val="none" w:color="auto" w:sz="0" w:space="0"/>
          <w:left w:val="none" w:color="auto" w:sz="0" w:space="0"/>
          <w:bottom w:val="none" w:color="auto" w:sz="0" w:space="0"/>
          <w:right w:val="none" w:color="auto" w:sz="0" w:space="0"/>
          <w:between w:val="none" w:color="auto" w:sz="0" w:space="0"/>
        </w:pBdr>
        <w:spacing w:line="360" w:lineRule="auto"/>
        <w:ind w:left="0" w:right="104" w:hanging="2"/>
        <w:rPr>
          <w:rFonts w:ascii="Times New Roman" w:hAnsi="Times New Roman" w:eastAsia="Liberation Serif"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b/>
          <w:color w:val="000000"/>
        </w:rPr>
        <w:t>SUMÁRIO</w:t>
      </w:r>
    </w:p>
    <w:tbl>
      <w:tblPr>
        <w:tblStyle w:val="466"/>
        <w:tblW w:w="8644" w:type="dxa"/>
        <w:tblInd w:w="0" w:type="dxa"/>
        <w:tblLayout w:type="fixed"/>
        <w:tblCellMar>
          <w:top w:w="0" w:type="dxa"/>
          <w:left w:w="108" w:type="dxa"/>
          <w:bottom w:w="0" w:type="dxa"/>
          <w:right w:w="108" w:type="dxa"/>
        </w:tblCellMar>
      </w:tblPr>
      <w:tblGrid>
        <w:gridCol w:w="8046"/>
        <w:gridCol w:w="598"/>
      </w:tblGrid>
      <w:tr>
        <w:tblPrEx>
          <w:tblCellMar>
            <w:top w:w="0" w:type="dxa"/>
            <w:left w:w="108" w:type="dxa"/>
            <w:bottom w:w="0" w:type="dxa"/>
            <w:right w:w="108" w:type="dxa"/>
          </w:tblCellMar>
        </w:tblPrEx>
        <w:tc>
          <w:tcPr>
            <w:tcW w:w="8046"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b/>
                <w:color w:val="000000"/>
              </w:rPr>
              <w:t>Apresentação</w:t>
            </w:r>
          </w:p>
        </w:tc>
        <w:tc>
          <w:tcPr>
            <w:tcW w:w="598"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9</w:t>
            </w:r>
          </w:p>
        </w:tc>
      </w:tr>
      <w:tr>
        <w:tblPrEx>
          <w:tblCellMar>
            <w:top w:w="0" w:type="dxa"/>
            <w:left w:w="108" w:type="dxa"/>
            <w:bottom w:w="0" w:type="dxa"/>
            <w:right w:w="108" w:type="dxa"/>
          </w:tblCellMar>
        </w:tblPrEx>
        <w:tc>
          <w:tcPr>
            <w:tcW w:w="8046"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b/>
                <w:color w:val="000000"/>
              </w:rPr>
              <w:t>Contextualização da Instituição</w:t>
            </w:r>
          </w:p>
        </w:tc>
        <w:tc>
          <w:tcPr>
            <w:tcW w:w="598"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right"/>
              <w:rPr>
                <w:rFonts w:ascii="Times New Roman" w:hAnsi="Times New Roman" w:eastAsia="Calibri" w:cs="Times New Roman"/>
                <w:color w:val="000000"/>
              </w:rPr>
            </w:pPr>
            <w:r>
              <w:rPr>
                <w:rFonts w:ascii="Times New Roman" w:hAnsi="Times New Roman" w:eastAsia="Calibri" w:cs="Times New Roman"/>
                <w:color w:val="000000"/>
              </w:rPr>
              <w:t>1</w:t>
            </w:r>
          </w:p>
        </w:tc>
      </w:tr>
      <w:tr>
        <w:tblPrEx>
          <w:tblCellMar>
            <w:top w:w="0" w:type="dxa"/>
            <w:left w:w="108" w:type="dxa"/>
            <w:bottom w:w="0" w:type="dxa"/>
            <w:right w:w="108" w:type="dxa"/>
          </w:tblCellMar>
        </w:tblPrEx>
        <w:tc>
          <w:tcPr>
            <w:tcW w:w="8046"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b/>
                <w:color w:val="000000"/>
              </w:rPr>
              <w:t>Contextualização do Curso</w:t>
            </w:r>
          </w:p>
        </w:tc>
        <w:tc>
          <w:tcPr>
            <w:tcW w:w="598"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18</w:t>
            </w:r>
          </w:p>
        </w:tc>
      </w:tr>
      <w:tr>
        <w:tblPrEx>
          <w:tblCellMar>
            <w:top w:w="0" w:type="dxa"/>
            <w:left w:w="108" w:type="dxa"/>
            <w:bottom w:w="0" w:type="dxa"/>
            <w:right w:w="108" w:type="dxa"/>
          </w:tblCellMar>
        </w:tblPrEx>
        <w:tc>
          <w:tcPr>
            <w:tcW w:w="8046"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b/>
                <w:color w:val="000000"/>
              </w:rPr>
              <w:t>Concepção do Curso</w:t>
            </w:r>
          </w:p>
        </w:tc>
        <w:tc>
          <w:tcPr>
            <w:tcW w:w="598"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25</w:t>
            </w:r>
          </w:p>
        </w:tc>
      </w:tr>
      <w:tr>
        <w:tblPrEx>
          <w:tblCellMar>
            <w:top w:w="0" w:type="dxa"/>
            <w:left w:w="108" w:type="dxa"/>
            <w:bottom w:w="0" w:type="dxa"/>
            <w:right w:w="108" w:type="dxa"/>
          </w:tblCellMar>
        </w:tblPrEx>
        <w:tc>
          <w:tcPr>
            <w:tcW w:w="8046"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b/>
                <w:color w:val="000000"/>
              </w:rPr>
              <w:t>Justificativa</w:t>
            </w:r>
          </w:p>
        </w:tc>
        <w:tc>
          <w:tcPr>
            <w:tcW w:w="598"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28</w:t>
            </w:r>
          </w:p>
        </w:tc>
      </w:tr>
      <w:tr>
        <w:tblPrEx>
          <w:tblCellMar>
            <w:top w:w="0" w:type="dxa"/>
            <w:left w:w="108" w:type="dxa"/>
            <w:bottom w:w="0" w:type="dxa"/>
            <w:right w:w="108" w:type="dxa"/>
          </w:tblCellMar>
        </w:tblPrEx>
        <w:tc>
          <w:tcPr>
            <w:tcW w:w="8046"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b/>
                <w:color w:val="000000"/>
              </w:rPr>
              <w:t>Perfil e competência profissional do egresso</w:t>
            </w:r>
          </w:p>
        </w:tc>
        <w:tc>
          <w:tcPr>
            <w:tcW w:w="598"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29</w:t>
            </w:r>
          </w:p>
        </w:tc>
      </w:tr>
      <w:tr>
        <w:tblPrEx>
          <w:tblCellMar>
            <w:top w:w="0" w:type="dxa"/>
            <w:left w:w="108" w:type="dxa"/>
            <w:bottom w:w="0" w:type="dxa"/>
            <w:right w:w="108" w:type="dxa"/>
          </w:tblCellMar>
        </w:tblPrEx>
        <w:tc>
          <w:tcPr>
            <w:tcW w:w="8046"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i/>
                <w:color w:val="000000"/>
              </w:rPr>
              <w:t>Competências e Habilidades Gerais</w:t>
            </w:r>
          </w:p>
        </w:tc>
        <w:tc>
          <w:tcPr>
            <w:tcW w:w="598"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30</w:t>
            </w:r>
          </w:p>
        </w:tc>
      </w:tr>
      <w:tr>
        <w:tblPrEx>
          <w:tblCellMar>
            <w:top w:w="0" w:type="dxa"/>
            <w:left w:w="108" w:type="dxa"/>
            <w:bottom w:w="0" w:type="dxa"/>
            <w:right w:w="108" w:type="dxa"/>
          </w:tblCellMar>
        </w:tblPrEx>
        <w:tc>
          <w:tcPr>
            <w:tcW w:w="8046"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i/>
                <w:color w:val="000000"/>
              </w:rPr>
              <w:t>Competências e Habilidades Específicas para a Licenciatura</w:t>
            </w:r>
          </w:p>
        </w:tc>
        <w:tc>
          <w:tcPr>
            <w:tcW w:w="598"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30</w:t>
            </w:r>
          </w:p>
        </w:tc>
      </w:tr>
      <w:tr>
        <w:tblPrEx>
          <w:tblCellMar>
            <w:top w:w="0" w:type="dxa"/>
            <w:left w:w="108" w:type="dxa"/>
            <w:bottom w:w="0" w:type="dxa"/>
            <w:right w:w="108" w:type="dxa"/>
          </w:tblCellMar>
        </w:tblPrEx>
        <w:tc>
          <w:tcPr>
            <w:tcW w:w="8046"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b/>
                <w:color w:val="000000"/>
              </w:rPr>
              <w:t>Objetivos do Curso</w:t>
            </w:r>
          </w:p>
        </w:tc>
        <w:tc>
          <w:tcPr>
            <w:tcW w:w="598"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32</w:t>
            </w:r>
          </w:p>
        </w:tc>
      </w:tr>
      <w:tr>
        <w:tblPrEx>
          <w:tblCellMar>
            <w:top w:w="0" w:type="dxa"/>
            <w:left w:w="108" w:type="dxa"/>
            <w:bottom w:w="0" w:type="dxa"/>
            <w:right w:w="108" w:type="dxa"/>
          </w:tblCellMar>
        </w:tblPrEx>
        <w:tc>
          <w:tcPr>
            <w:tcW w:w="8046"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b/>
                <w:color w:val="000000"/>
              </w:rPr>
              <w:t>Estrutura do Curso</w:t>
            </w:r>
          </w:p>
        </w:tc>
        <w:tc>
          <w:tcPr>
            <w:tcW w:w="598"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33</w:t>
            </w:r>
          </w:p>
        </w:tc>
      </w:tr>
      <w:tr>
        <w:tblPrEx>
          <w:tblCellMar>
            <w:top w:w="0" w:type="dxa"/>
            <w:left w:w="108" w:type="dxa"/>
            <w:bottom w:w="0" w:type="dxa"/>
            <w:right w:w="108" w:type="dxa"/>
          </w:tblCellMar>
        </w:tblPrEx>
        <w:tc>
          <w:tcPr>
            <w:tcW w:w="8046"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i/>
                <w:color w:val="000000"/>
              </w:rPr>
              <w:t>Administração Acadêmica</w:t>
            </w:r>
          </w:p>
        </w:tc>
        <w:tc>
          <w:tcPr>
            <w:tcW w:w="598"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33</w:t>
            </w:r>
          </w:p>
        </w:tc>
      </w:tr>
      <w:tr>
        <w:tblPrEx>
          <w:tblCellMar>
            <w:top w:w="0" w:type="dxa"/>
            <w:left w:w="108" w:type="dxa"/>
            <w:bottom w:w="0" w:type="dxa"/>
            <w:right w:w="108" w:type="dxa"/>
          </w:tblCellMar>
        </w:tblPrEx>
        <w:tc>
          <w:tcPr>
            <w:tcW w:w="8046"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b/>
                <w:color w:val="000000"/>
              </w:rPr>
              <w:t>Organização Curricular</w:t>
            </w:r>
          </w:p>
        </w:tc>
        <w:tc>
          <w:tcPr>
            <w:tcW w:w="598"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37</w:t>
            </w:r>
          </w:p>
        </w:tc>
      </w:tr>
      <w:tr>
        <w:tblPrEx>
          <w:tblCellMar>
            <w:top w:w="0" w:type="dxa"/>
            <w:left w:w="108" w:type="dxa"/>
            <w:bottom w:w="0" w:type="dxa"/>
            <w:right w:w="108" w:type="dxa"/>
          </w:tblCellMar>
        </w:tblPrEx>
        <w:tc>
          <w:tcPr>
            <w:tcW w:w="8046"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i/>
                <w:color w:val="000000"/>
              </w:rPr>
              <w:t>I. Prática como Componente Curricular</w:t>
            </w:r>
          </w:p>
        </w:tc>
        <w:tc>
          <w:tcPr>
            <w:tcW w:w="598"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48</w:t>
            </w:r>
          </w:p>
        </w:tc>
      </w:tr>
      <w:tr>
        <w:tblPrEx>
          <w:tblCellMar>
            <w:top w:w="0" w:type="dxa"/>
            <w:left w:w="108" w:type="dxa"/>
            <w:bottom w:w="0" w:type="dxa"/>
            <w:right w:w="108" w:type="dxa"/>
          </w:tblCellMar>
        </w:tblPrEx>
        <w:tc>
          <w:tcPr>
            <w:tcW w:w="8046"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i/>
                <w:color w:val="000000"/>
              </w:rPr>
              <w:t>II. Estágio Supervisionado</w:t>
            </w:r>
          </w:p>
        </w:tc>
        <w:tc>
          <w:tcPr>
            <w:tcW w:w="598"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49</w:t>
            </w:r>
          </w:p>
        </w:tc>
      </w:tr>
      <w:tr>
        <w:tblPrEx>
          <w:tblCellMar>
            <w:top w:w="0" w:type="dxa"/>
            <w:left w:w="108" w:type="dxa"/>
            <w:bottom w:w="0" w:type="dxa"/>
            <w:right w:w="108" w:type="dxa"/>
          </w:tblCellMar>
        </w:tblPrEx>
        <w:tc>
          <w:tcPr>
            <w:tcW w:w="8046"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i/>
                <w:color w:val="000000"/>
              </w:rPr>
              <w:t>III. Atividades Formativas: Conhecimento Pedagógico</w:t>
            </w:r>
          </w:p>
        </w:tc>
        <w:tc>
          <w:tcPr>
            <w:tcW w:w="598"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49</w:t>
            </w:r>
          </w:p>
        </w:tc>
      </w:tr>
      <w:tr>
        <w:tblPrEx>
          <w:tblCellMar>
            <w:top w:w="0" w:type="dxa"/>
            <w:left w:w="108" w:type="dxa"/>
            <w:bottom w:w="0" w:type="dxa"/>
            <w:right w:w="108" w:type="dxa"/>
          </w:tblCellMar>
        </w:tblPrEx>
        <w:tc>
          <w:tcPr>
            <w:tcW w:w="8046"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i/>
                <w:color w:val="000000"/>
              </w:rPr>
              <w:t>IV. Atividades Formativas: Conhecimento sobre o Objeto de Ensino</w:t>
            </w:r>
          </w:p>
        </w:tc>
        <w:tc>
          <w:tcPr>
            <w:tcW w:w="598"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50</w:t>
            </w:r>
          </w:p>
        </w:tc>
      </w:tr>
      <w:tr>
        <w:tblPrEx>
          <w:tblCellMar>
            <w:top w:w="0" w:type="dxa"/>
            <w:left w:w="108" w:type="dxa"/>
            <w:bottom w:w="0" w:type="dxa"/>
            <w:right w:w="108" w:type="dxa"/>
          </w:tblCellMar>
        </w:tblPrEx>
        <w:tc>
          <w:tcPr>
            <w:tcW w:w="8046"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i/>
                <w:color w:val="000000"/>
              </w:rPr>
              <w:t>V. Atividades Acadêmicas Científicas e Culturais (AACC)</w:t>
            </w:r>
          </w:p>
        </w:tc>
        <w:tc>
          <w:tcPr>
            <w:tcW w:w="598"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53</w:t>
            </w:r>
          </w:p>
        </w:tc>
      </w:tr>
      <w:tr>
        <w:tblPrEx>
          <w:tblCellMar>
            <w:top w:w="0" w:type="dxa"/>
            <w:left w:w="108" w:type="dxa"/>
            <w:bottom w:w="0" w:type="dxa"/>
            <w:right w:w="108" w:type="dxa"/>
          </w:tblCellMar>
        </w:tblPrEx>
        <w:tc>
          <w:tcPr>
            <w:tcW w:w="8046"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b/>
                <w:color w:val="000000"/>
              </w:rPr>
              <w:t>Extensão</w:t>
            </w:r>
          </w:p>
        </w:tc>
        <w:tc>
          <w:tcPr>
            <w:tcW w:w="598"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53</w:t>
            </w:r>
          </w:p>
        </w:tc>
      </w:tr>
      <w:tr>
        <w:tblPrEx>
          <w:tblCellMar>
            <w:top w:w="0" w:type="dxa"/>
            <w:left w:w="108" w:type="dxa"/>
            <w:bottom w:w="0" w:type="dxa"/>
            <w:right w:w="108" w:type="dxa"/>
          </w:tblCellMar>
        </w:tblPrEx>
        <w:tc>
          <w:tcPr>
            <w:tcW w:w="8046"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b/>
                <w:color w:val="000000"/>
              </w:rPr>
              <w:t>Flexibilidade Curricular</w:t>
            </w:r>
          </w:p>
        </w:tc>
        <w:tc>
          <w:tcPr>
            <w:tcW w:w="598"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59</w:t>
            </w:r>
          </w:p>
        </w:tc>
      </w:tr>
      <w:tr>
        <w:tblPrEx>
          <w:tblCellMar>
            <w:top w:w="0" w:type="dxa"/>
            <w:left w:w="108" w:type="dxa"/>
            <w:bottom w:w="0" w:type="dxa"/>
            <w:right w:w="108" w:type="dxa"/>
          </w:tblCellMar>
        </w:tblPrEx>
        <w:tc>
          <w:tcPr>
            <w:tcW w:w="8046"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i/>
                <w:color w:val="000000"/>
              </w:rPr>
              <w:t>Flexibilidade como Proposta Interdisciplinar</w:t>
            </w:r>
          </w:p>
        </w:tc>
        <w:tc>
          <w:tcPr>
            <w:tcW w:w="598"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60</w:t>
            </w:r>
          </w:p>
        </w:tc>
      </w:tr>
      <w:tr>
        <w:tblPrEx>
          <w:tblCellMar>
            <w:top w:w="0" w:type="dxa"/>
            <w:left w:w="108" w:type="dxa"/>
            <w:bottom w:w="0" w:type="dxa"/>
            <w:right w:w="108" w:type="dxa"/>
          </w:tblCellMar>
        </w:tblPrEx>
        <w:tc>
          <w:tcPr>
            <w:tcW w:w="8046"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i/>
                <w:color w:val="000000"/>
              </w:rPr>
              <w:t>Módulos Interdisciplinares de Formação (MIFs)</w:t>
            </w:r>
          </w:p>
        </w:tc>
        <w:tc>
          <w:tcPr>
            <w:tcW w:w="598"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60</w:t>
            </w:r>
          </w:p>
        </w:tc>
      </w:tr>
      <w:tr>
        <w:tblPrEx>
          <w:tblCellMar>
            <w:top w:w="0" w:type="dxa"/>
            <w:left w:w="108" w:type="dxa"/>
            <w:bottom w:w="0" w:type="dxa"/>
            <w:right w:w="108" w:type="dxa"/>
          </w:tblCellMar>
        </w:tblPrEx>
        <w:tc>
          <w:tcPr>
            <w:tcW w:w="8046"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i/>
                <w:color w:val="000000"/>
              </w:rPr>
              <w:t>Outras Modalidades de Flexibilização Curricular</w:t>
            </w:r>
          </w:p>
        </w:tc>
        <w:tc>
          <w:tcPr>
            <w:tcW w:w="598"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61</w:t>
            </w:r>
          </w:p>
        </w:tc>
      </w:tr>
      <w:tr>
        <w:tblPrEx>
          <w:tblCellMar>
            <w:top w:w="0" w:type="dxa"/>
            <w:left w:w="108" w:type="dxa"/>
            <w:bottom w:w="0" w:type="dxa"/>
            <w:right w:w="108" w:type="dxa"/>
          </w:tblCellMar>
        </w:tblPrEx>
        <w:tc>
          <w:tcPr>
            <w:tcW w:w="8046"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b/>
                <w:color w:val="000000"/>
              </w:rPr>
              <w:t>Prática como Componente Curricular</w:t>
            </w:r>
          </w:p>
        </w:tc>
        <w:tc>
          <w:tcPr>
            <w:tcW w:w="598"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62</w:t>
            </w:r>
          </w:p>
        </w:tc>
      </w:tr>
      <w:tr>
        <w:tblPrEx>
          <w:tblCellMar>
            <w:top w:w="0" w:type="dxa"/>
            <w:left w:w="108" w:type="dxa"/>
            <w:bottom w:w="0" w:type="dxa"/>
            <w:right w:w="108" w:type="dxa"/>
          </w:tblCellMar>
        </w:tblPrEx>
        <w:tc>
          <w:tcPr>
            <w:tcW w:w="8046"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b/>
                <w:color w:val="000000"/>
                <w:lang w:val="pt-BR"/>
              </w:rPr>
              <w:t xml:space="preserve"> </w:t>
            </w:r>
            <w:r>
              <w:rPr>
                <w:rFonts w:hint="default" w:ascii="Times New Roman" w:hAnsi="Times New Roman" w:eastAsia="Calibri" w:cs="Times New Roman"/>
                <w:b/>
                <w:color w:val="000000"/>
                <w:lang w:val="pt-BR"/>
              </w:rPr>
              <w:t xml:space="preserve"> </w:t>
            </w:r>
            <w:r>
              <w:rPr>
                <w:rFonts w:ascii="Times New Roman" w:hAnsi="Times New Roman" w:eastAsia="Calibri" w:cs="Times New Roman"/>
                <w:b/>
                <w:color w:val="000000"/>
              </w:rPr>
              <w:t>Temas Transversais</w:t>
            </w:r>
          </w:p>
        </w:tc>
        <w:tc>
          <w:tcPr>
            <w:tcW w:w="598"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65</w:t>
            </w:r>
          </w:p>
        </w:tc>
      </w:tr>
      <w:tr>
        <w:tblPrEx>
          <w:tblCellMar>
            <w:top w:w="0" w:type="dxa"/>
            <w:left w:w="108" w:type="dxa"/>
            <w:bottom w:w="0" w:type="dxa"/>
            <w:right w:w="108" w:type="dxa"/>
          </w:tblCellMar>
        </w:tblPrEx>
        <w:tc>
          <w:tcPr>
            <w:tcW w:w="8046"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b/>
                <w:color w:val="000000"/>
              </w:rPr>
              <w:t>Metodologias de Ensino e Aprendizagem</w:t>
            </w:r>
          </w:p>
        </w:tc>
        <w:tc>
          <w:tcPr>
            <w:tcW w:w="598"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71</w:t>
            </w:r>
          </w:p>
        </w:tc>
      </w:tr>
      <w:tr>
        <w:tblPrEx>
          <w:tblCellMar>
            <w:top w:w="0" w:type="dxa"/>
            <w:left w:w="108" w:type="dxa"/>
            <w:bottom w:w="0" w:type="dxa"/>
            <w:right w:w="108" w:type="dxa"/>
          </w:tblCellMar>
        </w:tblPrEx>
        <w:tc>
          <w:tcPr>
            <w:tcW w:w="8046" w:type="dxa"/>
          </w:tcPr>
          <w:p>
            <w:pPr>
              <w:numPr>
                <w:ilvl w:val="0"/>
                <w:numId w:val="1"/>
              </w:numPr>
              <w:pBdr>
                <w:top w:val="none" w:color="auto" w:sz="0" w:space="0"/>
                <w:left w:val="none" w:color="auto" w:sz="0" w:space="0"/>
                <w:bottom w:val="none" w:color="auto" w:sz="0" w:space="0"/>
                <w:right w:val="none" w:color="auto" w:sz="0" w:space="0"/>
                <w:between w:val="none" w:color="auto" w:sz="0" w:space="0"/>
              </w:pBdr>
              <w:tabs>
                <w:tab w:val="left" w:pos="0"/>
              </w:tabs>
              <w:spacing w:line="360" w:lineRule="auto"/>
              <w:ind w:hanging="2"/>
              <w:rPr>
                <w:rFonts w:ascii="Times New Roman" w:hAnsi="Times New Roman" w:eastAsia="Liberation Serif" w:cs="Times New Roman"/>
                <w:color w:val="000000"/>
              </w:rPr>
            </w:pPr>
            <w:r>
              <w:rPr>
                <w:rFonts w:ascii="Times New Roman" w:hAnsi="Times New Roman" w:eastAsia="Calibri" w:cs="Times New Roman"/>
                <w:i/>
                <w:color w:val="000000"/>
              </w:rPr>
              <w:t>Ensino-Aprendizagem a partir de problemas</w:t>
            </w:r>
          </w:p>
        </w:tc>
        <w:tc>
          <w:tcPr>
            <w:tcW w:w="598"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72</w:t>
            </w:r>
          </w:p>
        </w:tc>
      </w:tr>
      <w:tr>
        <w:tblPrEx>
          <w:tblCellMar>
            <w:top w:w="0" w:type="dxa"/>
            <w:left w:w="108" w:type="dxa"/>
            <w:bottom w:w="0" w:type="dxa"/>
            <w:right w:w="108" w:type="dxa"/>
          </w:tblCellMar>
        </w:tblPrEx>
        <w:tc>
          <w:tcPr>
            <w:tcW w:w="8046" w:type="dxa"/>
          </w:tcPr>
          <w:p>
            <w:pPr>
              <w:numPr>
                <w:ilvl w:val="0"/>
                <w:numId w:val="1"/>
              </w:numPr>
              <w:pBdr>
                <w:top w:val="none" w:color="auto" w:sz="0" w:space="0"/>
                <w:left w:val="none" w:color="auto" w:sz="0" w:space="0"/>
                <w:bottom w:val="none" w:color="auto" w:sz="0" w:space="0"/>
                <w:right w:val="none" w:color="auto" w:sz="0" w:space="0"/>
                <w:between w:val="none" w:color="auto" w:sz="0" w:space="0"/>
              </w:pBdr>
              <w:tabs>
                <w:tab w:val="left" w:pos="0"/>
              </w:tabs>
              <w:spacing w:line="360" w:lineRule="auto"/>
              <w:ind w:hanging="2"/>
              <w:rPr>
                <w:rFonts w:ascii="Times New Roman" w:hAnsi="Times New Roman" w:eastAsia="Liberation Serif" w:cs="Times New Roman"/>
                <w:color w:val="000000"/>
              </w:rPr>
            </w:pPr>
            <w:r>
              <w:rPr>
                <w:rFonts w:ascii="Times New Roman" w:hAnsi="Times New Roman" w:eastAsia="Calibri" w:cs="Times New Roman"/>
                <w:i/>
                <w:color w:val="000000"/>
              </w:rPr>
              <w:t>Pesquisa como princípio do processo de ensino-aprendizagem de História</w:t>
            </w:r>
          </w:p>
        </w:tc>
        <w:tc>
          <w:tcPr>
            <w:tcW w:w="598"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73</w:t>
            </w:r>
          </w:p>
        </w:tc>
      </w:tr>
      <w:tr>
        <w:tblPrEx>
          <w:tblCellMar>
            <w:top w:w="0" w:type="dxa"/>
            <w:left w:w="108" w:type="dxa"/>
            <w:bottom w:w="0" w:type="dxa"/>
            <w:right w:w="108" w:type="dxa"/>
          </w:tblCellMar>
        </w:tblPrEx>
        <w:tc>
          <w:tcPr>
            <w:tcW w:w="8046" w:type="dxa"/>
          </w:tcPr>
          <w:p>
            <w:pPr>
              <w:numPr>
                <w:ilvl w:val="0"/>
                <w:numId w:val="1"/>
              </w:numPr>
              <w:pBdr>
                <w:top w:val="none" w:color="auto" w:sz="0" w:space="0"/>
                <w:left w:val="none" w:color="auto" w:sz="0" w:space="0"/>
                <w:bottom w:val="none" w:color="auto" w:sz="0" w:space="0"/>
                <w:right w:val="none" w:color="auto" w:sz="0" w:space="0"/>
                <w:between w:val="none" w:color="auto" w:sz="0" w:space="0"/>
              </w:pBdr>
              <w:tabs>
                <w:tab w:val="left" w:pos="0"/>
              </w:tabs>
              <w:spacing w:line="360" w:lineRule="auto"/>
              <w:ind w:hanging="2"/>
              <w:rPr>
                <w:rFonts w:ascii="Times New Roman" w:hAnsi="Times New Roman" w:eastAsia="Liberation Serif" w:cs="Times New Roman"/>
                <w:color w:val="000000"/>
              </w:rPr>
            </w:pPr>
            <w:r>
              <w:rPr>
                <w:rFonts w:ascii="Times New Roman" w:hAnsi="Times New Roman" w:eastAsia="Calibri" w:cs="Times New Roman"/>
                <w:i/>
                <w:color w:val="000000"/>
              </w:rPr>
              <w:t>Tecnologias de informação e comunicação nas aulas e na educação à distância</w:t>
            </w:r>
          </w:p>
        </w:tc>
        <w:tc>
          <w:tcPr>
            <w:tcW w:w="598"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 xml:space="preserve">  75</w:t>
            </w:r>
          </w:p>
        </w:tc>
      </w:tr>
      <w:tr>
        <w:tblPrEx>
          <w:tblCellMar>
            <w:top w:w="0" w:type="dxa"/>
            <w:left w:w="108" w:type="dxa"/>
            <w:bottom w:w="0" w:type="dxa"/>
            <w:right w:w="108" w:type="dxa"/>
          </w:tblCellMar>
        </w:tblPrEx>
        <w:tc>
          <w:tcPr>
            <w:tcW w:w="8046" w:type="dxa"/>
          </w:tcPr>
          <w:p>
            <w:pPr>
              <w:numPr>
                <w:ilvl w:val="0"/>
                <w:numId w:val="1"/>
              </w:numPr>
              <w:pBdr>
                <w:top w:val="none" w:color="auto" w:sz="0" w:space="0"/>
                <w:left w:val="none" w:color="auto" w:sz="0" w:space="0"/>
                <w:bottom w:val="none" w:color="auto" w:sz="0" w:space="0"/>
                <w:right w:val="none" w:color="auto" w:sz="0" w:space="0"/>
                <w:between w:val="none" w:color="auto" w:sz="0" w:space="0"/>
              </w:pBdr>
              <w:tabs>
                <w:tab w:val="left" w:pos="0"/>
              </w:tabs>
              <w:spacing w:line="360" w:lineRule="auto"/>
              <w:ind w:hanging="2"/>
              <w:rPr>
                <w:rFonts w:ascii="Times New Roman" w:hAnsi="Times New Roman" w:eastAsia="Liberation Serif" w:cs="Times New Roman"/>
                <w:color w:val="000000"/>
              </w:rPr>
            </w:pPr>
            <w:r>
              <w:rPr>
                <w:rFonts w:ascii="Times New Roman" w:hAnsi="Times New Roman" w:eastAsia="Calibri" w:cs="Times New Roman"/>
                <w:i/>
                <w:color w:val="000000"/>
              </w:rPr>
              <w:t>Metodologias de Ensino e Aprendizagem para inclusão</w:t>
            </w:r>
          </w:p>
        </w:tc>
        <w:tc>
          <w:tcPr>
            <w:tcW w:w="598"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68</w:t>
            </w:r>
          </w:p>
        </w:tc>
      </w:tr>
      <w:tr>
        <w:tblPrEx>
          <w:tblCellMar>
            <w:top w:w="0" w:type="dxa"/>
            <w:left w:w="108" w:type="dxa"/>
            <w:bottom w:w="0" w:type="dxa"/>
            <w:right w:w="108" w:type="dxa"/>
          </w:tblCellMar>
        </w:tblPrEx>
        <w:tc>
          <w:tcPr>
            <w:tcW w:w="8046" w:type="dxa"/>
          </w:tcPr>
          <w:p>
            <w:pPr>
              <w:numPr>
                <w:ilvl w:val="0"/>
                <w:numId w:val="1"/>
              </w:numPr>
              <w:pBdr>
                <w:top w:val="none" w:color="auto" w:sz="0" w:space="0"/>
                <w:left w:val="none" w:color="auto" w:sz="0" w:space="0"/>
                <w:bottom w:val="none" w:color="auto" w:sz="0" w:space="0"/>
                <w:right w:val="none" w:color="auto" w:sz="0" w:space="0"/>
                <w:between w:val="none" w:color="auto" w:sz="0" w:space="0"/>
              </w:pBdr>
              <w:tabs>
                <w:tab w:val="left" w:pos="0"/>
              </w:tabs>
              <w:spacing w:line="360" w:lineRule="auto"/>
              <w:ind w:hanging="2"/>
              <w:rPr>
                <w:rFonts w:ascii="Times New Roman" w:hAnsi="Times New Roman" w:eastAsia="Liberation Serif" w:cs="Times New Roman"/>
                <w:color w:val="000000"/>
              </w:rPr>
            </w:pPr>
            <w:r>
              <w:rPr>
                <w:rFonts w:ascii="Times New Roman" w:hAnsi="Times New Roman" w:eastAsia="Calibri" w:cs="Times New Roman"/>
                <w:i/>
                <w:color w:val="000000"/>
              </w:rPr>
              <w:t>Procedimentos continuados de verificação de aprendizagem em consonância com os princípios de diversidade e inclusão</w:t>
            </w:r>
          </w:p>
        </w:tc>
        <w:tc>
          <w:tcPr>
            <w:tcW w:w="598"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 xml:space="preserve">  74</w:t>
            </w:r>
          </w:p>
        </w:tc>
      </w:tr>
      <w:tr>
        <w:tblPrEx>
          <w:tblCellMar>
            <w:top w:w="0" w:type="dxa"/>
            <w:left w:w="108" w:type="dxa"/>
            <w:bottom w:w="0" w:type="dxa"/>
            <w:right w:w="108" w:type="dxa"/>
          </w:tblCellMar>
        </w:tblPrEx>
        <w:tc>
          <w:tcPr>
            <w:tcW w:w="8046"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b/>
                <w:color w:val="000000"/>
              </w:rPr>
              <w:t>Modalidades de Avaliação Institucional</w:t>
            </w:r>
          </w:p>
        </w:tc>
        <w:tc>
          <w:tcPr>
            <w:tcW w:w="598"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77</w:t>
            </w:r>
          </w:p>
        </w:tc>
      </w:tr>
      <w:tr>
        <w:tblPrEx>
          <w:tblCellMar>
            <w:top w:w="0" w:type="dxa"/>
            <w:left w:w="108" w:type="dxa"/>
            <w:bottom w:w="0" w:type="dxa"/>
            <w:right w:w="108" w:type="dxa"/>
          </w:tblCellMar>
        </w:tblPrEx>
        <w:tc>
          <w:tcPr>
            <w:tcW w:w="8046"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b/>
                <w:color w:val="000000"/>
              </w:rPr>
              <w:t>Acompanhamento acadêmico do curso</w:t>
            </w:r>
          </w:p>
        </w:tc>
        <w:tc>
          <w:tcPr>
            <w:tcW w:w="598"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79</w:t>
            </w:r>
          </w:p>
        </w:tc>
      </w:tr>
      <w:tr>
        <w:tblPrEx>
          <w:tblCellMar>
            <w:top w:w="0" w:type="dxa"/>
            <w:left w:w="108" w:type="dxa"/>
            <w:bottom w:w="0" w:type="dxa"/>
            <w:right w:w="108" w:type="dxa"/>
          </w:tblCellMar>
        </w:tblPrEx>
        <w:tc>
          <w:tcPr>
            <w:tcW w:w="8046"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i/>
                <w:color w:val="000000"/>
              </w:rPr>
              <w:t>Semana de Integração</w:t>
            </w:r>
          </w:p>
        </w:tc>
        <w:tc>
          <w:tcPr>
            <w:tcW w:w="598"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79</w:t>
            </w:r>
          </w:p>
        </w:tc>
      </w:tr>
      <w:tr>
        <w:tblPrEx>
          <w:tblCellMar>
            <w:top w:w="0" w:type="dxa"/>
            <w:left w:w="108" w:type="dxa"/>
            <w:bottom w:w="0" w:type="dxa"/>
            <w:right w:w="108" w:type="dxa"/>
          </w:tblCellMar>
        </w:tblPrEx>
        <w:tc>
          <w:tcPr>
            <w:tcW w:w="8046"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i/>
                <w:color w:val="000000"/>
              </w:rPr>
              <w:t>Tutoria Docente</w:t>
            </w:r>
          </w:p>
        </w:tc>
        <w:tc>
          <w:tcPr>
            <w:tcW w:w="598"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79</w:t>
            </w:r>
          </w:p>
        </w:tc>
      </w:tr>
      <w:tr>
        <w:tblPrEx>
          <w:tblCellMar>
            <w:top w:w="0" w:type="dxa"/>
            <w:left w:w="108" w:type="dxa"/>
            <w:bottom w:w="0" w:type="dxa"/>
            <w:right w:w="108" w:type="dxa"/>
          </w:tblCellMar>
        </w:tblPrEx>
        <w:tc>
          <w:tcPr>
            <w:tcW w:w="8046"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i/>
                <w:color w:val="000000"/>
              </w:rPr>
              <w:t>Acompanhamento pelo Sistema Minha UFOP</w:t>
            </w:r>
          </w:p>
        </w:tc>
        <w:tc>
          <w:tcPr>
            <w:tcW w:w="598"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80</w:t>
            </w:r>
          </w:p>
        </w:tc>
      </w:tr>
      <w:tr>
        <w:tblPrEx>
          <w:tblCellMar>
            <w:top w:w="0" w:type="dxa"/>
            <w:left w:w="108" w:type="dxa"/>
            <w:bottom w:w="0" w:type="dxa"/>
            <w:right w:w="108" w:type="dxa"/>
          </w:tblCellMar>
        </w:tblPrEx>
        <w:tc>
          <w:tcPr>
            <w:tcW w:w="8046"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i/>
                <w:color w:val="000000"/>
              </w:rPr>
              <w:t>Núcleo de Educação Inclusiva (NEI)</w:t>
            </w:r>
          </w:p>
        </w:tc>
        <w:tc>
          <w:tcPr>
            <w:tcW w:w="598"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80</w:t>
            </w:r>
          </w:p>
        </w:tc>
      </w:tr>
      <w:tr>
        <w:tblPrEx>
          <w:tblCellMar>
            <w:top w:w="0" w:type="dxa"/>
            <w:left w:w="108" w:type="dxa"/>
            <w:bottom w:w="0" w:type="dxa"/>
            <w:right w:w="108" w:type="dxa"/>
          </w:tblCellMar>
        </w:tblPrEx>
        <w:tc>
          <w:tcPr>
            <w:tcW w:w="8046"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b/>
                <w:color w:val="000000"/>
              </w:rPr>
              <w:t>Acompanhamento Acadêmico Institucional</w:t>
            </w:r>
          </w:p>
        </w:tc>
        <w:tc>
          <w:tcPr>
            <w:tcW w:w="598"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81</w:t>
            </w:r>
          </w:p>
        </w:tc>
      </w:tr>
      <w:tr>
        <w:tblPrEx>
          <w:tblCellMar>
            <w:top w:w="0" w:type="dxa"/>
            <w:left w:w="108" w:type="dxa"/>
            <w:bottom w:w="0" w:type="dxa"/>
            <w:right w:w="108" w:type="dxa"/>
          </w:tblCellMar>
        </w:tblPrEx>
        <w:tc>
          <w:tcPr>
            <w:tcW w:w="8046"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i/>
                <w:color w:val="000000"/>
              </w:rPr>
              <w:t>Pró-Ativa</w:t>
            </w:r>
          </w:p>
        </w:tc>
        <w:tc>
          <w:tcPr>
            <w:tcW w:w="598"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81</w:t>
            </w:r>
          </w:p>
        </w:tc>
      </w:tr>
      <w:tr>
        <w:tblPrEx>
          <w:tblCellMar>
            <w:top w:w="0" w:type="dxa"/>
            <w:left w:w="108" w:type="dxa"/>
            <w:bottom w:w="0" w:type="dxa"/>
            <w:right w:w="108" w:type="dxa"/>
          </w:tblCellMar>
        </w:tblPrEx>
        <w:tc>
          <w:tcPr>
            <w:tcW w:w="8046"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i/>
                <w:color w:val="000000"/>
              </w:rPr>
              <w:t>Programa de Iniciação à Docência (PIBID/PED)</w:t>
            </w:r>
          </w:p>
        </w:tc>
        <w:tc>
          <w:tcPr>
            <w:tcW w:w="598"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82</w:t>
            </w:r>
          </w:p>
        </w:tc>
      </w:tr>
      <w:tr>
        <w:tblPrEx>
          <w:tblCellMar>
            <w:top w:w="0" w:type="dxa"/>
            <w:left w:w="108" w:type="dxa"/>
            <w:bottom w:w="0" w:type="dxa"/>
            <w:right w:w="108" w:type="dxa"/>
          </w:tblCellMar>
        </w:tblPrEx>
        <w:tc>
          <w:tcPr>
            <w:tcW w:w="8046"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i/>
                <w:color w:val="000000"/>
              </w:rPr>
              <w:t>Programa de Monitoria</w:t>
            </w:r>
          </w:p>
        </w:tc>
        <w:tc>
          <w:tcPr>
            <w:tcW w:w="598"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83</w:t>
            </w:r>
          </w:p>
        </w:tc>
      </w:tr>
      <w:tr>
        <w:tblPrEx>
          <w:tblCellMar>
            <w:top w:w="0" w:type="dxa"/>
            <w:left w:w="108" w:type="dxa"/>
            <w:bottom w:w="0" w:type="dxa"/>
            <w:right w:w="108" w:type="dxa"/>
          </w:tblCellMar>
        </w:tblPrEx>
        <w:tc>
          <w:tcPr>
            <w:tcW w:w="8046"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i/>
                <w:color w:val="000000"/>
              </w:rPr>
              <w:t>Programa de Tutoria</w:t>
            </w:r>
          </w:p>
        </w:tc>
        <w:tc>
          <w:tcPr>
            <w:tcW w:w="598"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83</w:t>
            </w:r>
          </w:p>
        </w:tc>
      </w:tr>
      <w:tr>
        <w:tblPrEx>
          <w:tblCellMar>
            <w:top w:w="0" w:type="dxa"/>
            <w:left w:w="108" w:type="dxa"/>
            <w:bottom w:w="0" w:type="dxa"/>
            <w:right w:w="108" w:type="dxa"/>
          </w:tblCellMar>
        </w:tblPrEx>
        <w:tc>
          <w:tcPr>
            <w:tcW w:w="8046"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i/>
                <w:color w:val="000000"/>
              </w:rPr>
              <w:t>Programa Caminhar</w:t>
            </w:r>
          </w:p>
        </w:tc>
        <w:tc>
          <w:tcPr>
            <w:tcW w:w="598"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85</w:t>
            </w:r>
          </w:p>
        </w:tc>
      </w:tr>
      <w:tr>
        <w:tblPrEx>
          <w:tblCellMar>
            <w:top w:w="0" w:type="dxa"/>
            <w:left w:w="108" w:type="dxa"/>
            <w:bottom w:w="0" w:type="dxa"/>
            <w:right w:w="108" w:type="dxa"/>
          </w:tblCellMar>
        </w:tblPrEx>
        <w:tc>
          <w:tcPr>
            <w:tcW w:w="8046"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i/>
                <w:color w:val="000000"/>
              </w:rPr>
              <w:t>Programa Portas Abertas</w:t>
            </w:r>
          </w:p>
        </w:tc>
        <w:tc>
          <w:tcPr>
            <w:tcW w:w="598"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85</w:t>
            </w:r>
          </w:p>
        </w:tc>
      </w:tr>
      <w:tr>
        <w:tblPrEx>
          <w:tblCellMar>
            <w:top w:w="0" w:type="dxa"/>
            <w:left w:w="108" w:type="dxa"/>
            <w:bottom w:w="0" w:type="dxa"/>
            <w:right w:w="108" w:type="dxa"/>
          </w:tblCellMar>
        </w:tblPrEx>
        <w:tc>
          <w:tcPr>
            <w:tcW w:w="8046"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b/>
                <w:color w:val="000000"/>
              </w:rPr>
              <w:t>Assistência Estudantil</w:t>
            </w:r>
          </w:p>
        </w:tc>
        <w:tc>
          <w:tcPr>
            <w:tcW w:w="598"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85</w:t>
            </w:r>
          </w:p>
        </w:tc>
      </w:tr>
      <w:tr>
        <w:tblPrEx>
          <w:tblCellMar>
            <w:top w:w="0" w:type="dxa"/>
            <w:left w:w="108" w:type="dxa"/>
            <w:bottom w:w="0" w:type="dxa"/>
            <w:right w:w="108" w:type="dxa"/>
          </w:tblCellMar>
        </w:tblPrEx>
        <w:tc>
          <w:tcPr>
            <w:tcW w:w="8046"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i/>
                <w:color w:val="000000"/>
              </w:rPr>
              <w:t>Programa de Bolsas de Permanência (PBP)</w:t>
            </w:r>
          </w:p>
        </w:tc>
        <w:tc>
          <w:tcPr>
            <w:tcW w:w="598"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86</w:t>
            </w:r>
          </w:p>
        </w:tc>
      </w:tr>
      <w:tr>
        <w:tblPrEx>
          <w:tblCellMar>
            <w:top w:w="0" w:type="dxa"/>
            <w:left w:w="108" w:type="dxa"/>
            <w:bottom w:w="0" w:type="dxa"/>
            <w:right w:w="108" w:type="dxa"/>
          </w:tblCellMar>
        </w:tblPrEx>
        <w:tc>
          <w:tcPr>
            <w:tcW w:w="8046"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i/>
                <w:color w:val="000000"/>
              </w:rPr>
              <w:t>Programa de incentivo à diversidade e convivência (PIDIC), entre outros</w:t>
            </w:r>
          </w:p>
        </w:tc>
        <w:tc>
          <w:tcPr>
            <w:tcW w:w="598"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87</w:t>
            </w:r>
          </w:p>
        </w:tc>
      </w:tr>
      <w:tr>
        <w:tblPrEx>
          <w:tblCellMar>
            <w:top w:w="0" w:type="dxa"/>
            <w:left w:w="108" w:type="dxa"/>
            <w:bottom w:w="0" w:type="dxa"/>
            <w:right w:w="108" w:type="dxa"/>
          </w:tblCellMar>
        </w:tblPrEx>
        <w:tc>
          <w:tcPr>
            <w:tcW w:w="8046"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b/>
                <w:color w:val="000000"/>
              </w:rPr>
              <w:t>Pesquisa de desenvolvimento de disciplinas da Graduação</w:t>
            </w:r>
          </w:p>
        </w:tc>
        <w:tc>
          <w:tcPr>
            <w:tcW w:w="598"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88</w:t>
            </w:r>
          </w:p>
        </w:tc>
      </w:tr>
      <w:tr>
        <w:tblPrEx>
          <w:tblCellMar>
            <w:top w:w="0" w:type="dxa"/>
            <w:left w:w="108" w:type="dxa"/>
            <w:bottom w:w="0" w:type="dxa"/>
            <w:right w:w="108" w:type="dxa"/>
          </w:tblCellMar>
        </w:tblPrEx>
        <w:tc>
          <w:tcPr>
            <w:tcW w:w="8046"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b/>
                <w:color w:val="000000"/>
              </w:rPr>
              <w:t>Avaliação do PPC</w:t>
            </w:r>
          </w:p>
        </w:tc>
        <w:tc>
          <w:tcPr>
            <w:tcW w:w="598"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89</w:t>
            </w:r>
          </w:p>
        </w:tc>
      </w:tr>
      <w:tr>
        <w:tblPrEx>
          <w:tblCellMar>
            <w:top w:w="0" w:type="dxa"/>
            <w:left w:w="108" w:type="dxa"/>
            <w:bottom w:w="0" w:type="dxa"/>
            <w:right w:w="108" w:type="dxa"/>
          </w:tblCellMar>
        </w:tblPrEx>
        <w:tc>
          <w:tcPr>
            <w:tcW w:w="8046"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b/>
                <w:color w:val="000000"/>
              </w:rPr>
              <w:t>Infraestrutura</w:t>
            </w:r>
          </w:p>
        </w:tc>
        <w:tc>
          <w:tcPr>
            <w:tcW w:w="598"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89</w:t>
            </w:r>
          </w:p>
        </w:tc>
      </w:tr>
      <w:tr>
        <w:tblPrEx>
          <w:tblCellMar>
            <w:top w:w="0" w:type="dxa"/>
            <w:left w:w="108" w:type="dxa"/>
            <w:bottom w:w="0" w:type="dxa"/>
            <w:right w:w="108" w:type="dxa"/>
          </w:tblCellMar>
        </w:tblPrEx>
        <w:tc>
          <w:tcPr>
            <w:tcW w:w="8046"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b/>
                <w:color w:val="000000"/>
              </w:rPr>
              <w:t>Considerações Finais</w:t>
            </w:r>
          </w:p>
        </w:tc>
        <w:tc>
          <w:tcPr>
            <w:tcW w:w="598"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93</w:t>
            </w:r>
          </w:p>
        </w:tc>
      </w:tr>
      <w:tr>
        <w:tblPrEx>
          <w:tblCellMar>
            <w:top w:w="0" w:type="dxa"/>
            <w:left w:w="108" w:type="dxa"/>
            <w:bottom w:w="0" w:type="dxa"/>
            <w:right w:w="108" w:type="dxa"/>
          </w:tblCellMar>
        </w:tblPrEx>
        <w:tc>
          <w:tcPr>
            <w:tcW w:w="8046"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b/>
                <w:color w:val="000000"/>
              </w:rPr>
              <w:t>Referências Bibliográficas</w:t>
            </w:r>
          </w:p>
        </w:tc>
        <w:tc>
          <w:tcPr>
            <w:tcW w:w="598"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94</w:t>
            </w:r>
          </w:p>
        </w:tc>
      </w:tr>
      <w:tr>
        <w:tblPrEx>
          <w:tblCellMar>
            <w:top w:w="0" w:type="dxa"/>
            <w:left w:w="108" w:type="dxa"/>
            <w:bottom w:w="0" w:type="dxa"/>
            <w:right w:w="108" w:type="dxa"/>
          </w:tblCellMar>
        </w:tblPrEx>
        <w:tc>
          <w:tcPr>
            <w:tcW w:w="8046"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Calibri" w:cs="Times New Roman"/>
                <w:i/>
                <w:color w:val="000000"/>
              </w:rPr>
              <w:t>Páginas Consultadas</w:t>
            </w:r>
          </w:p>
        </w:tc>
        <w:tc>
          <w:tcPr>
            <w:tcW w:w="598" w:type="dxa"/>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100</w:t>
            </w:r>
          </w:p>
        </w:tc>
      </w:tr>
    </w:tbl>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center"/>
        <w:rPr>
          <w:rFonts w:ascii="Times New Roman" w:hAnsi="Times New Roman" w:eastAsia="Liberation Serif" w:cs="Times New Roman"/>
          <w:color w:val="000000"/>
        </w:rPr>
      </w:pPr>
      <w:r>
        <w:rPr>
          <w:rFonts w:ascii="Times New Roman" w:hAnsi="Times New Roman" w:eastAsia="Calibri" w:cs="Times New Roman"/>
          <w:b/>
          <w:color w:val="000000"/>
        </w:rPr>
        <w:t>LISTA DE ANEXOS</w:t>
      </w:r>
    </w:p>
    <w:tbl>
      <w:tblPr>
        <w:tblStyle w:val="467"/>
        <w:tblW w:w="8644" w:type="dxa"/>
        <w:tblInd w:w="0" w:type="dxa"/>
        <w:tblLayout w:type="fixed"/>
        <w:tblCellMar>
          <w:top w:w="0" w:type="dxa"/>
          <w:left w:w="108" w:type="dxa"/>
          <w:bottom w:w="0" w:type="dxa"/>
          <w:right w:w="108" w:type="dxa"/>
        </w:tblCellMar>
      </w:tblPr>
      <w:tblGrid>
        <w:gridCol w:w="249"/>
        <w:gridCol w:w="7796"/>
        <w:gridCol w:w="599"/>
      </w:tblGrid>
      <w:tr>
        <w:tblPrEx>
          <w:tblCellMar>
            <w:top w:w="0" w:type="dxa"/>
            <w:left w:w="108" w:type="dxa"/>
            <w:bottom w:w="0" w:type="dxa"/>
            <w:right w:w="108" w:type="dxa"/>
          </w:tblCellMar>
        </w:tblPrEx>
        <w:tc>
          <w:tcPr>
            <w:tcW w:w="8045" w:type="dxa"/>
            <w:gridSpan w:val="2"/>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Liberation Serif" w:cs="Times New Roman"/>
                <w:color w:val="000000"/>
              </w:rPr>
            </w:pPr>
            <w:r>
              <w:rPr>
                <w:rFonts w:ascii="Times New Roman" w:hAnsi="Times New Roman" w:eastAsia="Calibri" w:cs="Times New Roman"/>
                <w:b/>
                <w:color w:val="000000"/>
              </w:rPr>
              <w:t>Anexo 01</w:t>
            </w:r>
            <w:r>
              <w:rPr>
                <w:rFonts w:ascii="Times New Roman" w:hAnsi="Times New Roman" w:eastAsia="Calibri" w:cs="Times New Roman"/>
                <w:color w:val="000000"/>
              </w:rPr>
              <w:t xml:space="preserve"> – Programa de Disciplinas do Curso de Licenciatura em História</w:t>
            </w:r>
          </w:p>
        </w:tc>
        <w:tc>
          <w:tcPr>
            <w:tcW w:w="59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102</w:t>
            </w:r>
          </w:p>
        </w:tc>
      </w:tr>
      <w:tr>
        <w:tblPrEx>
          <w:tblCellMar>
            <w:top w:w="0" w:type="dxa"/>
            <w:left w:w="108" w:type="dxa"/>
            <w:bottom w:w="0" w:type="dxa"/>
            <w:right w:w="108" w:type="dxa"/>
          </w:tblCellMar>
        </w:tblPrEx>
        <w:tc>
          <w:tcPr>
            <w:tcW w:w="8045" w:type="dxa"/>
            <w:gridSpan w:val="2"/>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Liberation Serif" w:cs="Times New Roman"/>
                <w:color w:val="000000"/>
              </w:rPr>
            </w:pPr>
            <w:r>
              <w:rPr>
                <w:rFonts w:ascii="Times New Roman" w:hAnsi="Times New Roman" w:eastAsia="Calibri" w:cs="Times New Roman"/>
                <w:i/>
                <w:color w:val="000000"/>
              </w:rPr>
              <w:t>Programa das Disciplinas Obrigatórias</w:t>
            </w:r>
          </w:p>
        </w:tc>
        <w:tc>
          <w:tcPr>
            <w:tcW w:w="59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102</w:t>
            </w:r>
          </w:p>
        </w:tc>
      </w:tr>
      <w:tr>
        <w:tblPrEx>
          <w:tblCellMar>
            <w:top w:w="0" w:type="dxa"/>
            <w:left w:w="108" w:type="dxa"/>
            <w:bottom w:w="0" w:type="dxa"/>
            <w:right w:w="108" w:type="dxa"/>
          </w:tblCellMar>
        </w:tblPrEx>
        <w:tc>
          <w:tcPr>
            <w:tcW w:w="8045" w:type="dxa"/>
            <w:gridSpan w:val="2"/>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Liberation Serif" w:cs="Times New Roman"/>
                <w:color w:val="000000"/>
              </w:rPr>
            </w:pPr>
            <w:r>
              <w:rPr>
                <w:rFonts w:ascii="Times New Roman" w:hAnsi="Times New Roman" w:eastAsia="Calibri" w:cs="Times New Roman"/>
                <w:b/>
                <w:color w:val="000000"/>
              </w:rPr>
              <w:t>1º. Período</w:t>
            </w:r>
          </w:p>
        </w:tc>
        <w:tc>
          <w:tcPr>
            <w:tcW w:w="59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102</w:t>
            </w:r>
          </w:p>
        </w:tc>
      </w:tr>
      <w:tr>
        <w:tblPrEx>
          <w:tblCellMar>
            <w:top w:w="0" w:type="dxa"/>
            <w:left w:w="108" w:type="dxa"/>
            <w:bottom w:w="0" w:type="dxa"/>
            <w:right w:w="108" w:type="dxa"/>
          </w:tblCellMar>
        </w:tblPrEx>
        <w:tc>
          <w:tcPr>
            <w:tcW w:w="8045" w:type="dxa"/>
            <w:gridSpan w:val="2"/>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Liberation Serif" w:cs="Times New Roman"/>
                <w:color w:val="000000"/>
              </w:rPr>
            </w:pPr>
            <w:r>
              <w:rPr>
                <w:rFonts w:ascii="Times New Roman" w:hAnsi="Times New Roman" w:eastAsia="Calibri" w:cs="Times New Roman"/>
                <w:b/>
                <w:color w:val="000000"/>
              </w:rPr>
              <w:t>2º. Período</w:t>
            </w:r>
          </w:p>
        </w:tc>
        <w:tc>
          <w:tcPr>
            <w:tcW w:w="59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111</w:t>
            </w:r>
          </w:p>
        </w:tc>
      </w:tr>
      <w:tr>
        <w:tblPrEx>
          <w:tblCellMar>
            <w:top w:w="0" w:type="dxa"/>
            <w:left w:w="108" w:type="dxa"/>
            <w:bottom w:w="0" w:type="dxa"/>
            <w:right w:w="108" w:type="dxa"/>
          </w:tblCellMar>
        </w:tblPrEx>
        <w:tc>
          <w:tcPr>
            <w:tcW w:w="8045" w:type="dxa"/>
            <w:gridSpan w:val="2"/>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Liberation Serif" w:cs="Times New Roman"/>
                <w:color w:val="000000"/>
              </w:rPr>
            </w:pPr>
            <w:r>
              <w:rPr>
                <w:rFonts w:ascii="Times New Roman" w:hAnsi="Times New Roman" w:eastAsia="Calibri" w:cs="Times New Roman"/>
                <w:b/>
                <w:color w:val="000000"/>
              </w:rPr>
              <w:t>3º. Período</w:t>
            </w:r>
          </w:p>
        </w:tc>
        <w:tc>
          <w:tcPr>
            <w:tcW w:w="59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121</w:t>
            </w:r>
          </w:p>
        </w:tc>
      </w:tr>
      <w:tr>
        <w:tblPrEx>
          <w:tblCellMar>
            <w:top w:w="0" w:type="dxa"/>
            <w:left w:w="108" w:type="dxa"/>
            <w:bottom w:w="0" w:type="dxa"/>
            <w:right w:w="108" w:type="dxa"/>
          </w:tblCellMar>
        </w:tblPrEx>
        <w:tc>
          <w:tcPr>
            <w:tcW w:w="8045" w:type="dxa"/>
            <w:gridSpan w:val="2"/>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Liberation Serif" w:cs="Times New Roman"/>
                <w:color w:val="000000"/>
              </w:rPr>
            </w:pPr>
            <w:r>
              <w:rPr>
                <w:rFonts w:ascii="Times New Roman" w:hAnsi="Times New Roman" w:eastAsia="Calibri" w:cs="Times New Roman"/>
                <w:b/>
                <w:color w:val="000000"/>
              </w:rPr>
              <w:t>4º. Período</w:t>
            </w:r>
          </w:p>
        </w:tc>
        <w:tc>
          <w:tcPr>
            <w:tcW w:w="59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130</w:t>
            </w:r>
          </w:p>
        </w:tc>
      </w:tr>
      <w:tr>
        <w:tblPrEx>
          <w:tblCellMar>
            <w:top w:w="0" w:type="dxa"/>
            <w:left w:w="108" w:type="dxa"/>
            <w:bottom w:w="0" w:type="dxa"/>
            <w:right w:w="108" w:type="dxa"/>
          </w:tblCellMar>
        </w:tblPrEx>
        <w:tc>
          <w:tcPr>
            <w:tcW w:w="8045" w:type="dxa"/>
            <w:gridSpan w:val="2"/>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Liberation Serif" w:cs="Times New Roman"/>
                <w:color w:val="000000"/>
              </w:rPr>
            </w:pPr>
            <w:r>
              <w:rPr>
                <w:rFonts w:ascii="Times New Roman" w:hAnsi="Times New Roman" w:eastAsia="Calibri" w:cs="Times New Roman"/>
                <w:b/>
                <w:color w:val="000000"/>
              </w:rPr>
              <w:t>5º. Período</w:t>
            </w:r>
          </w:p>
        </w:tc>
        <w:tc>
          <w:tcPr>
            <w:tcW w:w="59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141</w:t>
            </w:r>
          </w:p>
        </w:tc>
      </w:tr>
      <w:tr>
        <w:tblPrEx>
          <w:tblCellMar>
            <w:top w:w="0" w:type="dxa"/>
            <w:left w:w="108" w:type="dxa"/>
            <w:bottom w:w="0" w:type="dxa"/>
            <w:right w:w="108" w:type="dxa"/>
          </w:tblCellMar>
        </w:tblPrEx>
        <w:tc>
          <w:tcPr>
            <w:tcW w:w="8045" w:type="dxa"/>
            <w:gridSpan w:val="2"/>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Liberation Serif" w:cs="Times New Roman"/>
                <w:color w:val="000000"/>
              </w:rPr>
            </w:pPr>
            <w:r>
              <w:rPr>
                <w:rFonts w:ascii="Times New Roman" w:hAnsi="Times New Roman" w:eastAsia="Calibri" w:cs="Times New Roman"/>
                <w:b/>
                <w:color w:val="000000"/>
              </w:rPr>
              <w:t>6º. Período</w:t>
            </w:r>
          </w:p>
        </w:tc>
        <w:tc>
          <w:tcPr>
            <w:tcW w:w="59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146</w:t>
            </w:r>
          </w:p>
        </w:tc>
      </w:tr>
      <w:tr>
        <w:tblPrEx>
          <w:tblCellMar>
            <w:top w:w="0" w:type="dxa"/>
            <w:left w:w="108" w:type="dxa"/>
            <w:bottom w:w="0" w:type="dxa"/>
            <w:right w:w="108" w:type="dxa"/>
          </w:tblCellMar>
        </w:tblPrEx>
        <w:tc>
          <w:tcPr>
            <w:tcW w:w="8045" w:type="dxa"/>
            <w:gridSpan w:val="2"/>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Liberation Serif" w:cs="Times New Roman"/>
                <w:color w:val="000000"/>
              </w:rPr>
            </w:pPr>
            <w:r>
              <w:rPr>
                <w:rFonts w:ascii="Times New Roman" w:hAnsi="Times New Roman" w:eastAsia="Calibri" w:cs="Times New Roman"/>
                <w:b/>
                <w:color w:val="000000"/>
              </w:rPr>
              <w:t>7º. Período</w:t>
            </w:r>
          </w:p>
        </w:tc>
        <w:tc>
          <w:tcPr>
            <w:tcW w:w="59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150</w:t>
            </w:r>
          </w:p>
        </w:tc>
      </w:tr>
      <w:tr>
        <w:tblPrEx>
          <w:tblCellMar>
            <w:top w:w="0" w:type="dxa"/>
            <w:left w:w="108" w:type="dxa"/>
            <w:bottom w:w="0" w:type="dxa"/>
            <w:right w:w="108" w:type="dxa"/>
          </w:tblCellMar>
        </w:tblPrEx>
        <w:tc>
          <w:tcPr>
            <w:tcW w:w="8045" w:type="dxa"/>
            <w:gridSpan w:val="2"/>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Liberation Serif" w:cs="Times New Roman"/>
                <w:color w:val="000000"/>
              </w:rPr>
            </w:pPr>
            <w:r>
              <w:rPr>
                <w:rFonts w:ascii="Times New Roman" w:hAnsi="Times New Roman" w:eastAsia="Calibri" w:cs="Times New Roman"/>
                <w:b/>
                <w:color w:val="000000"/>
              </w:rPr>
              <w:t>8º. Período</w:t>
            </w:r>
          </w:p>
        </w:tc>
        <w:tc>
          <w:tcPr>
            <w:tcW w:w="59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158</w:t>
            </w:r>
          </w:p>
        </w:tc>
      </w:tr>
      <w:tr>
        <w:tblPrEx>
          <w:tblCellMar>
            <w:top w:w="0" w:type="dxa"/>
            <w:left w:w="108" w:type="dxa"/>
            <w:bottom w:w="0" w:type="dxa"/>
            <w:right w:w="108" w:type="dxa"/>
          </w:tblCellMar>
        </w:tblPrEx>
        <w:tc>
          <w:tcPr>
            <w:tcW w:w="8045" w:type="dxa"/>
            <w:gridSpan w:val="2"/>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Liberation Serif" w:cs="Times New Roman"/>
                <w:color w:val="000000"/>
              </w:rPr>
            </w:pPr>
            <w:r>
              <w:rPr>
                <w:rFonts w:ascii="Times New Roman" w:hAnsi="Times New Roman" w:eastAsia="Calibri" w:cs="Times New Roman"/>
                <w:i/>
                <w:color w:val="000000"/>
              </w:rPr>
              <w:t>Programa das Disciplinas Eletivas</w:t>
            </w:r>
          </w:p>
        </w:tc>
        <w:tc>
          <w:tcPr>
            <w:tcW w:w="59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160</w:t>
            </w:r>
          </w:p>
        </w:tc>
      </w:tr>
      <w:tr>
        <w:tblPrEx>
          <w:tblCellMar>
            <w:top w:w="0" w:type="dxa"/>
            <w:left w:w="108" w:type="dxa"/>
            <w:bottom w:w="0" w:type="dxa"/>
            <w:right w:w="108" w:type="dxa"/>
          </w:tblCellMar>
        </w:tblPrEx>
        <w:tc>
          <w:tcPr>
            <w:tcW w:w="8045" w:type="dxa"/>
            <w:gridSpan w:val="2"/>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Liberation Serif" w:cs="Times New Roman"/>
                <w:color w:val="000000"/>
              </w:rPr>
            </w:pPr>
            <w:r>
              <w:rPr>
                <w:rFonts w:ascii="Times New Roman" w:hAnsi="Times New Roman" w:eastAsia="Calibri" w:cs="Times New Roman"/>
                <w:b/>
                <w:color w:val="000000"/>
              </w:rPr>
              <w:t>Anexo 02</w:t>
            </w:r>
            <w:r>
              <w:rPr>
                <w:rFonts w:ascii="Times New Roman" w:hAnsi="Times New Roman" w:eastAsia="Calibri" w:cs="Times New Roman"/>
                <w:color w:val="000000"/>
              </w:rPr>
              <w:t xml:space="preserve"> – MANUAL DE ESTÁGIO SUPERVISIONADO</w:t>
            </w:r>
          </w:p>
        </w:tc>
        <w:tc>
          <w:tcPr>
            <w:tcW w:w="59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410</w:t>
            </w:r>
          </w:p>
        </w:tc>
      </w:tr>
      <w:tr>
        <w:tblPrEx>
          <w:tblCellMar>
            <w:top w:w="0" w:type="dxa"/>
            <w:left w:w="108" w:type="dxa"/>
            <w:bottom w:w="0" w:type="dxa"/>
            <w:right w:w="108" w:type="dxa"/>
          </w:tblCellMar>
        </w:tblPrEx>
        <w:tc>
          <w:tcPr>
            <w:tcW w:w="24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Calibri" w:cs="Times New Roman"/>
                <w:color w:val="000000"/>
              </w:rPr>
            </w:pPr>
          </w:p>
        </w:tc>
        <w:tc>
          <w:tcPr>
            <w:tcW w:w="7796"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1. APRESENTAÇÃO</w:t>
            </w:r>
          </w:p>
        </w:tc>
        <w:tc>
          <w:tcPr>
            <w:tcW w:w="59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407</w:t>
            </w:r>
          </w:p>
        </w:tc>
      </w:tr>
      <w:tr>
        <w:tblPrEx>
          <w:tblCellMar>
            <w:top w:w="0" w:type="dxa"/>
            <w:left w:w="108" w:type="dxa"/>
            <w:bottom w:w="0" w:type="dxa"/>
            <w:right w:w="108" w:type="dxa"/>
          </w:tblCellMar>
        </w:tblPrEx>
        <w:tc>
          <w:tcPr>
            <w:tcW w:w="24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Calibri" w:cs="Times New Roman"/>
                <w:color w:val="000000"/>
              </w:rPr>
            </w:pPr>
          </w:p>
        </w:tc>
        <w:tc>
          <w:tcPr>
            <w:tcW w:w="7796"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2. PRINCÍPIOS GERAIS</w:t>
            </w:r>
          </w:p>
        </w:tc>
        <w:tc>
          <w:tcPr>
            <w:tcW w:w="59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409</w:t>
            </w:r>
          </w:p>
        </w:tc>
      </w:tr>
      <w:tr>
        <w:tblPrEx>
          <w:tblCellMar>
            <w:top w:w="0" w:type="dxa"/>
            <w:left w:w="108" w:type="dxa"/>
            <w:bottom w:w="0" w:type="dxa"/>
            <w:right w:w="108" w:type="dxa"/>
          </w:tblCellMar>
        </w:tblPrEx>
        <w:tc>
          <w:tcPr>
            <w:tcW w:w="24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Calibri" w:cs="Times New Roman"/>
                <w:color w:val="000000"/>
              </w:rPr>
            </w:pPr>
          </w:p>
        </w:tc>
        <w:tc>
          <w:tcPr>
            <w:tcW w:w="7796"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3. PLANEJAMENTO</w:t>
            </w:r>
          </w:p>
        </w:tc>
        <w:tc>
          <w:tcPr>
            <w:tcW w:w="59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410</w:t>
            </w:r>
          </w:p>
        </w:tc>
      </w:tr>
      <w:tr>
        <w:tblPrEx>
          <w:tblCellMar>
            <w:top w:w="0" w:type="dxa"/>
            <w:left w:w="108" w:type="dxa"/>
            <w:bottom w:w="0" w:type="dxa"/>
            <w:right w:w="108" w:type="dxa"/>
          </w:tblCellMar>
        </w:tblPrEx>
        <w:tc>
          <w:tcPr>
            <w:tcW w:w="24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Calibri" w:cs="Times New Roman"/>
                <w:color w:val="000000"/>
              </w:rPr>
            </w:pPr>
          </w:p>
        </w:tc>
        <w:tc>
          <w:tcPr>
            <w:tcW w:w="7796"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4. DO ENCAMINHAMENTO PARA O ESTÁGIO E AVALIAÇÃO DAS ATIVIDADES DESENVOLVIDAS</w:t>
            </w:r>
          </w:p>
        </w:tc>
        <w:tc>
          <w:tcPr>
            <w:tcW w:w="59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410</w:t>
            </w:r>
          </w:p>
        </w:tc>
      </w:tr>
      <w:tr>
        <w:tblPrEx>
          <w:tblCellMar>
            <w:top w:w="0" w:type="dxa"/>
            <w:left w:w="108" w:type="dxa"/>
            <w:bottom w:w="0" w:type="dxa"/>
            <w:right w:w="108" w:type="dxa"/>
          </w:tblCellMar>
        </w:tblPrEx>
        <w:tc>
          <w:tcPr>
            <w:tcW w:w="24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Calibri" w:cs="Times New Roman"/>
                <w:color w:val="000000"/>
              </w:rPr>
            </w:pPr>
          </w:p>
        </w:tc>
        <w:tc>
          <w:tcPr>
            <w:tcW w:w="7796"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5. EMENTAS</w:t>
            </w:r>
          </w:p>
        </w:tc>
        <w:tc>
          <w:tcPr>
            <w:tcW w:w="59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410</w:t>
            </w:r>
          </w:p>
        </w:tc>
      </w:tr>
      <w:tr>
        <w:tblPrEx>
          <w:tblCellMar>
            <w:top w:w="0" w:type="dxa"/>
            <w:left w:w="108" w:type="dxa"/>
            <w:bottom w:w="0" w:type="dxa"/>
            <w:right w:w="108" w:type="dxa"/>
          </w:tblCellMar>
        </w:tblPrEx>
        <w:tc>
          <w:tcPr>
            <w:tcW w:w="24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Calibri" w:cs="Times New Roman"/>
                <w:color w:val="000000"/>
              </w:rPr>
            </w:pPr>
          </w:p>
        </w:tc>
        <w:tc>
          <w:tcPr>
            <w:tcW w:w="7796"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6. PLANO DE ATIVIDADES DO ESTÁGIO – ORIENTAÇÃO GERAL</w:t>
            </w:r>
          </w:p>
        </w:tc>
        <w:tc>
          <w:tcPr>
            <w:tcW w:w="59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412</w:t>
            </w:r>
          </w:p>
        </w:tc>
      </w:tr>
      <w:tr>
        <w:tblPrEx>
          <w:tblCellMar>
            <w:top w:w="0" w:type="dxa"/>
            <w:left w:w="108" w:type="dxa"/>
            <w:bottom w:w="0" w:type="dxa"/>
            <w:right w:w="108" w:type="dxa"/>
          </w:tblCellMar>
        </w:tblPrEx>
        <w:tc>
          <w:tcPr>
            <w:tcW w:w="24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Calibri" w:cs="Times New Roman"/>
                <w:color w:val="000000"/>
              </w:rPr>
            </w:pPr>
          </w:p>
        </w:tc>
        <w:tc>
          <w:tcPr>
            <w:tcW w:w="7796"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Tabela 6.1. Plano de Atividades: Estágio Supervisionado I (125 horas)</w:t>
            </w:r>
          </w:p>
        </w:tc>
        <w:tc>
          <w:tcPr>
            <w:tcW w:w="59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413</w:t>
            </w:r>
          </w:p>
        </w:tc>
      </w:tr>
      <w:tr>
        <w:tblPrEx>
          <w:tblCellMar>
            <w:top w:w="0" w:type="dxa"/>
            <w:left w:w="108" w:type="dxa"/>
            <w:bottom w:w="0" w:type="dxa"/>
            <w:right w:w="108" w:type="dxa"/>
          </w:tblCellMar>
        </w:tblPrEx>
        <w:tc>
          <w:tcPr>
            <w:tcW w:w="24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Calibri" w:cs="Times New Roman"/>
                <w:color w:val="000000"/>
              </w:rPr>
            </w:pPr>
          </w:p>
        </w:tc>
        <w:tc>
          <w:tcPr>
            <w:tcW w:w="7796"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Tabela 6.2. Plano de Atividades: Estágio Supervisionado II (125 horas)</w:t>
            </w:r>
          </w:p>
        </w:tc>
        <w:tc>
          <w:tcPr>
            <w:tcW w:w="59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413</w:t>
            </w:r>
          </w:p>
        </w:tc>
      </w:tr>
      <w:tr>
        <w:tblPrEx>
          <w:tblCellMar>
            <w:top w:w="0" w:type="dxa"/>
            <w:left w:w="108" w:type="dxa"/>
            <w:bottom w:w="0" w:type="dxa"/>
            <w:right w:w="108" w:type="dxa"/>
          </w:tblCellMar>
        </w:tblPrEx>
        <w:tc>
          <w:tcPr>
            <w:tcW w:w="24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Calibri" w:cs="Times New Roman"/>
                <w:color w:val="000000"/>
              </w:rPr>
            </w:pPr>
          </w:p>
        </w:tc>
        <w:tc>
          <w:tcPr>
            <w:tcW w:w="7796"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Tabela 6.3. Plano de Atividades: Estágio Supervisionado III (125 horas)</w:t>
            </w:r>
          </w:p>
        </w:tc>
        <w:tc>
          <w:tcPr>
            <w:tcW w:w="59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414</w:t>
            </w:r>
          </w:p>
        </w:tc>
      </w:tr>
      <w:tr>
        <w:tblPrEx>
          <w:tblCellMar>
            <w:top w:w="0" w:type="dxa"/>
            <w:left w:w="108" w:type="dxa"/>
            <w:bottom w:w="0" w:type="dxa"/>
            <w:right w:w="108" w:type="dxa"/>
          </w:tblCellMar>
        </w:tblPrEx>
        <w:tc>
          <w:tcPr>
            <w:tcW w:w="24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both"/>
              <w:rPr>
                <w:rFonts w:ascii="Times New Roman" w:hAnsi="Times New Roman" w:eastAsia="Calibri" w:cs="Times New Roman"/>
                <w:color w:val="000000"/>
              </w:rPr>
            </w:pPr>
          </w:p>
        </w:tc>
        <w:tc>
          <w:tcPr>
            <w:tcW w:w="7796"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Tabela 6.4. Plano de Atividades: Estágio Supervisionado IV (125 horas)</w:t>
            </w:r>
          </w:p>
        </w:tc>
        <w:tc>
          <w:tcPr>
            <w:tcW w:w="59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414</w:t>
            </w:r>
          </w:p>
        </w:tc>
      </w:tr>
      <w:tr>
        <w:tblPrEx>
          <w:tblCellMar>
            <w:top w:w="0" w:type="dxa"/>
            <w:left w:w="108" w:type="dxa"/>
            <w:bottom w:w="0" w:type="dxa"/>
            <w:right w:w="108" w:type="dxa"/>
          </w:tblCellMar>
        </w:tblPrEx>
        <w:tc>
          <w:tcPr>
            <w:tcW w:w="24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both"/>
              <w:rPr>
                <w:rFonts w:ascii="Times New Roman" w:hAnsi="Times New Roman" w:eastAsia="Calibri" w:cs="Times New Roman"/>
                <w:color w:val="000000"/>
              </w:rPr>
            </w:pPr>
          </w:p>
        </w:tc>
        <w:tc>
          <w:tcPr>
            <w:tcW w:w="7796"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REFERÊNCIAS</w:t>
            </w:r>
          </w:p>
        </w:tc>
        <w:tc>
          <w:tcPr>
            <w:tcW w:w="59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415</w:t>
            </w:r>
          </w:p>
        </w:tc>
      </w:tr>
      <w:tr>
        <w:tblPrEx>
          <w:tblCellMar>
            <w:top w:w="0" w:type="dxa"/>
            <w:left w:w="108" w:type="dxa"/>
            <w:bottom w:w="0" w:type="dxa"/>
            <w:right w:w="108" w:type="dxa"/>
          </w:tblCellMar>
        </w:tblPrEx>
        <w:tc>
          <w:tcPr>
            <w:tcW w:w="24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both"/>
              <w:rPr>
                <w:rFonts w:ascii="Times New Roman" w:hAnsi="Times New Roman" w:eastAsia="Calibri" w:cs="Times New Roman"/>
                <w:color w:val="000000"/>
              </w:rPr>
            </w:pPr>
          </w:p>
        </w:tc>
        <w:tc>
          <w:tcPr>
            <w:tcW w:w="7796"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7. Modelo de Carta de apresentação</w:t>
            </w:r>
          </w:p>
        </w:tc>
        <w:tc>
          <w:tcPr>
            <w:tcW w:w="59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416</w:t>
            </w:r>
          </w:p>
        </w:tc>
      </w:tr>
      <w:tr>
        <w:tblPrEx>
          <w:tblCellMar>
            <w:top w:w="0" w:type="dxa"/>
            <w:left w:w="108" w:type="dxa"/>
            <w:bottom w:w="0" w:type="dxa"/>
            <w:right w:w="108" w:type="dxa"/>
          </w:tblCellMar>
        </w:tblPrEx>
        <w:tc>
          <w:tcPr>
            <w:tcW w:w="24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both"/>
              <w:rPr>
                <w:rFonts w:ascii="Times New Roman" w:hAnsi="Times New Roman" w:eastAsia="Calibri" w:cs="Times New Roman"/>
                <w:color w:val="000000"/>
              </w:rPr>
            </w:pPr>
          </w:p>
        </w:tc>
        <w:tc>
          <w:tcPr>
            <w:tcW w:w="7796"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8. Termo de Compromisso de Estágio</w:t>
            </w:r>
          </w:p>
        </w:tc>
        <w:tc>
          <w:tcPr>
            <w:tcW w:w="59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417</w:t>
            </w:r>
          </w:p>
        </w:tc>
      </w:tr>
      <w:tr>
        <w:tblPrEx>
          <w:tblCellMar>
            <w:top w:w="0" w:type="dxa"/>
            <w:left w:w="108" w:type="dxa"/>
            <w:bottom w:w="0" w:type="dxa"/>
            <w:right w:w="108" w:type="dxa"/>
          </w:tblCellMar>
        </w:tblPrEx>
        <w:tc>
          <w:tcPr>
            <w:tcW w:w="24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both"/>
              <w:rPr>
                <w:rFonts w:ascii="Times New Roman" w:hAnsi="Times New Roman" w:eastAsia="Calibri" w:cs="Times New Roman"/>
                <w:color w:val="000000"/>
              </w:rPr>
            </w:pPr>
          </w:p>
        </w:tc>
        <w:tc>
          <w:tcPr>
            <w:tcW w:w="7796"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9. Plano de Atividade de Estágio</w:t>
            </w:r>
          </w:p>
        </w:tc>
        <w:tc>
          <w:tcPr>
            <w:tcW w:w="59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421</w:t>
            </w:r>
          </w:p>
        </w:tc>
      </w:tr>
      <w:tr>
        <w:tblPrEx>
          <w:tblCellMar>
            <w:top w:w="0" w:type="dxa"/>
            <w:left w:w="108" w:type="dxa"/>
            <w:bottom w:w="0" w:type="dxa"/>
            <w:right w:w="108" w:type="dxa"/>
          </w:tblCellMar>
        </w:tblPrEx>
        <w:tc>
          <w:tcPr>
            <w:tcW w:w="24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both"/>
              <w:rPr>
                <w:rFonts w:ascii="Times New Roman" w:hAnsi="Times New Roman" w:eastAsia="Calibri" w:cs="Times New Roman"/>
                <w:color w:val="000000"/>
              </w:rPr>
            </w:pPr>
          </w:p>
        </w:tc>
        <w:tc>
          <w:tcPr>
            <w:tcW w:w="7796"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10. Declaração de Conclusão das atividades de estágio Supervisionado</w:t>
            </w:r>
          </w:p>
        </w:tc>
        <w:tc>
          <w:tcPr>
            <w:tcW w:w="59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423</w:t>
            </w:r>
          </w:p>
        </w:tc>
      </w:tr>
      <w:tr>
        <w:tblPrEx>
          <w:tblCellMar>
            <w:top w:w="0" w:type="dxa"/>
            <w:left w:w="108" w:type="dxa"/>
            <w:bottom w:w="0" w:type="dxa"/>
            <w:right w:w="108" w:type="dxa"/>
          </w:tblCellMar>
        </w:tblPrEx>
        <w:tc>
          <w:tcPr>
            <w:tcW w:w="24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both"/>
              <w:rPr>
                <w:rFonts w:ascii="Times New Roman" w:hAnsi="Times New Roman" w:eastAsia="Calibri" w:cs="Times New Roman"/>
                <w:color w:val="000000"/>
              </w:rPr>
            </w:pPr>
          </w:p>
        </w:tc>
        <w:tc>
          <w:tcPr>
            <w:tcW w:w="7796"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11. Modelo de Relatório de Estágio</w:t>
            </w:r>
          </w:p>
        </w:tc>
        <w:tc>
          <w:tcPr>
            <w:tcW w:w="59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424</w:t>
            </w:r>
          </w:p>
        </w:tc>
      </w:tr>
      <w:tr>
        <w:tblPrEx>
          <w:tblCellMar>
            <w:top w:w="0" w:type="dxa"/>
            <w:left w:w="108" w:type="dxa"/>
            <w:bottom w:w="0" w:type="dxa"/>
            <w:right w:w="108" w:type="dxa"/>
          </w:tblCellMar>
        </w:tblPrEx>
        <w:tc>
          <w:tcPr>
            <w:tcW w:w="24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both"/>
              <w:rPr>
                <w:rFonts w:ascii="Times New Roman" w:hAnsi="Times New Roman" w:eastAsia="Calibri" w:cs="Times New Roman"/>
                <w:color w:val="000000"/>
              </w:rPr>
            </w:pPr>
          </w:p>
        </w:tc>
        <w:tc>
          <w:tcPr>
            <w:tcW w:w="7796"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12. Avaliação do Estágio realizada pelo(a) professor(a) orientador(a) da UFOP</w:t>
            </w:r>
          </w:p>
        </w:tc>
        <w:tc>
          <w:tcPr>
            <w:tcW w:w="59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427</w:t>
            </w:r>
          </w:p>
        </w:tc>
      </w:tr>
      <w:tr>
        <w:tblPrEx>
          <w:tblCellMar>
            <w:top w:w="0" w:type="dxa"/>
            <w:left w:w="108" w:type="dxa"/>
            <w:bottom w:w="0" w:type="dxa"/>
            <w:right w:w="108" w:type="dxa"/>
          </w:tblCellMar>
        </w:tblPrEx>
        <w:tc>
          <w:tcPr>
            <w:tcW w:w="24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both"/>
              <w:rPr>
                <w:rFonts w:ascii="Times New Roman" w:hAnsi="Times New Roman" w:eastAsia="Calibri" w:cs="Times New Roman"/>
                <w:color w:val="000000"/>
              </w:rPr>
            </w:pPr>
          </w:p>
        </w:tc>
        <w:tc>
          <w:tcPr>
            <w:tcW w:w="7796"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13. Avaliação do Estágio realizada pelo(a) professor(a) supervisor(a) do campo de estágio UFOP</w:t>
            </w:r>
          </w:p>
        </w:tc>
        <w:tc>
          <w:tcPr>
            <w:tcW w:w="59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428</w:t>
            </w:r>
          </w:p>
        </w:tc>
      </w:tr>
      <w:tr>
        <w:tblPrEx>
          <w:tblCellMar>
            <w:top w:w="0" w:type="dxa"/>
            <w:left w:w="108" w:type="dxa"/>
            <w:bottom w:w="0" w:type="dxa"/>
            <w:right w:w="108" w:type="dxa"/>
          </w:tblCellMar>
        </w:tblPrEx>
        <w:tc>
          <w:tcPr>
            <w:tcW w:w="8045" w:type="dxa"/>
            <w:gridSpan w:val="2"/>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both"/>
              <w:rPr>
                <w:rFonts w:ascii="Times New Roman" w:hAnsi="Times New Roman" w:eastAsia="Liberation Serif" w:cs="Times New Roman"/>
                <w:color w:val="000000"/>
              </w:rPr>
            </w:pPr>
            <w:r>
              <w:rPr>
                <w:rFonts w:ascii="Times New Roman" w:hAnsi="Times New Roman" w:eastAsia="Calibri" w:cs="Times New Roman"/>
                <w:b/>
                <w:color w:val="000000"/>
              </w:rPr>
              <w:t>Anexo 03</w:t>
            </w:r>
            <w:r>
              <w:rPr>
                <w:rFonts w:ascii="Times New Roman" w:hAnsi="Times New Roman" w:eastAsia="Calibri" w:cs="Times New Roman"/>
                <w:color w:val="000000"/>
              </w:rPr>
              <w:t xml:space="preserve"> – Resolução Cohis n</w:t>
            </w:r>
            <w:r>
              <w:rPr>
                <w:rFonts w:ascii="Times New Roman" w:hAnsi="Times New Roman" w:eastAsia="Calibri" w:cs="Times New Roman"/>
                <w:color w:val="000000"/>
                <w:vertAlign w:val="superscript"/>
              </w:rPr>
              <w:t>o</w:t>
            </w:r>
            <w:r>
              <w:rPr>
                <w:rFonts w:ascii="Times New Roman" w:hAnsi="Times New Roman" w:eastAsia="Calibri" w:cs="Times New Roman"/>
                <w:color w:val="000000"/>
              </w:rPr>
              <w:t>. 01/2019</w:t>
            </w:r>
          </w:p>
        </w:tc>
        <w:tc>
          <w:tcPr>
            <w:tcW w:w="59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429</w:t>
            </w:r>
          </w:p>
        </w:tc>
      </w:tr>
      <w:tr>
        <w:tblPrEx>
          <w:tblCellMar>
            <w:top w:w="0" w:type="dxa"/>
            <w:left w:w="108" w:type="dxa"/>
            <w:bottom w:w="0" w:type="dxa"/>
            <w:right w:w="108" w:type="dxa"/>
          </w:tblCellMar>
        </w:tblPrEx>
        <w:tc>
          <w:tcPr>
            <w:tcW w:w="8045" w:type="dxa"/>
            <w:gridSpan w:val="2"/>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both"/>
              <w:rPr>
                <w:rFonts w:ascii="Times New Roman" w:hAnsi="Times New Roman" w:eastAsia="Liberation Serif" w:cs="Times New Roman"/>
                <w:color w:val="000000"/>
              </w:rPr>
            </w:pPr>
            <w:r>
              <w:rPr>
                <w:rFonts w:ascii="Times New Roman" w:hAnsi="Times New Roman" w:eastAsia="Calibri" w:cs="Times New Roman"/>
                <w:b/>
                <w:color w:val="000000"/>
              </w:rPr>
              <w:t>Anexo 04</w:t>
            </w:r>
            <w:r>
              <w:rPr>
                <w:rFonts w:ascii="Times New Roman" w:hAnsi="Times New Roman" w:eastAsia="Calibri" w:cs="Times New Roman"/>
                <w:color w:val="000000"/>
              </w:rPr>
              <w:t xml:space="preserve"> – Resolução Cohis n</w:t>
            </w:r>
            <w:r>
              <w:rPr>
                <w:rFonts w:ascii="Times New Roman" w:hAnsi="Times New Roman" w:eastAsia="Calibri" w:cs="Times New Roman"/>
                <w:color w:val="000000"/>
                <w:vertAlign w:val="superscript"/>
              </w:rPr>
              <w:t>o</w:t>
            </w:r>
            <w:r>
              <w:rPr>
                <w:rFonts w:ascii="Times New Roman" w:hAnsi="Times New Roman" w:eastAsia="Calibri" w:cs="Times New Roman"/>
                <w:color w:val="000000"/>
              </w:rPr>
              <w:t>. 02/2019</w:t>
            </w:r>
          </w:p>
        </w:tc>
        <w:tc>
          <w:tcPr>
            <w:tcW w:w="59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432</w:t>
            </w:r>
          </w:p>
        </w:tc>
      </w:tr>
      <w:tr>
        <w:tblPrEx>
          <w:tblCellMar>
            <w:top w:w="0" w:type="dxa"/>
            <w:left w:w="108" w:type="dxa"/>
            <w:bottom w:w="0" w:type="dxa"/>
            <w:right w:w="108" w:type="dxa"/>
          </w:tblCellMar>
        </w:tblPrEx>
        <w:tc>
          <w:tcPr>
            <w:tcW w:w="8045" w:type="dxa"/>
            <w:gridSpan w:val="2"/>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1 – Ficha de Avaliação Acadêmico-Científico-Culturais</w:t>
            </w:r>
          </w:p>
        </w:tc>
        <w:tc>
          <w:tcPr>
            <w:tcW w:w="59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435</w:t>
            </w:r>
          </w:p>
        </w:tc>
      </w:tr>
      <w:tr>
        <w:tblPrEx>
          <w:tblCellMar>
            <w:top w:w="0" w:type="dxa"/>
            <w:left w:w="108" w:type="dxa"/>
            <w:bottom w:w="0" w:type="dxa"/>
            <w:right w:w="108" w:type="dxa"/>
          </w:tblCellMar>
        </w:tblPrEx>
        <w:tc>
          <w:tcPr>
            <w:tcW w:w="8045" w:type="dxa"/>
            <w:gridSpan w:val="2"/>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 xml:space="preserve">2 – Tabela de conversão de atividades </w:t>
            </w:r>
          </w:p>
        </w:tc>
        <w:tc>
          <w:tcPr>
            <w:tcW w:w="59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436</w:t>
            </w:r>
          </w:p>
        </w:tc>
      </w:tr>
      <w:tr>
        <w:tblPrEx>
          <w:tblCellMar>
            <w:top w:w="0" w:type="dxa"/>
            <w:left w:w="108" w:type="dxa"/>
            <w:bottom w:w="0" w:type="dxa"/>
            <w:right w:w="108" w:type="dxa"/>
          </w:tblCellMar>
        </w:tblPrEx>
        <w:tc>
          <w:tcPr>
            <w:tcW w:w="8045" w:type="dxa"/>
            <w:gridSpan w:val="2"/>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both"/>
              <w:rPr>
                <w:rFonts w:ascii="Times New Roman" w:hAnsi="Times New Roman" w:eastAsia="Liberation Serif" w:cs="Times New Roman"/>
                <w:color w:val="000000"/>
              </w:rPr>
            </w:pPr>
            <w:r>
              <w:rPr>
                <w:rFonts w:ascii="Times New Roman" w:hAnsi="Times New Roman" w:eastAsia="Calibri" w:cs="Times New Roman"/>
                <w:b/>
                <w:color w:val="000000"/>
              </w:rPr>
              <w:t>Anexo 05</w:t>
            </w:r>
            <w:r>
              <w:rPr>
                <w:rFonts w:ascii="Times New Roman" w:hAnsi="Times New Roman" w:eastAsia="Calibri" w:cs="Times New Roman"/>
                <w:color w:val="000000"/>
              </w:rPr>
              <w:t xml:space="preserve"> – Resolução Cohis n</w:t>
            </w:r>
            <w:r>
              <w:rPr>
                <w:rFonts w:ascii="Times New Roman" w:hAnsi="Times New Roman" w:eastAsia="Calibri" w:cs="Times New Roman"/>
                <w:color w:val="000000"/>
                <w:vertAlign w:val="superscript"/>
              </w:rPr>
              <w:t>o</w:t>
            </w:r>
            <w:r>
              <w:rPr>
                <w:rFonts w:ascii="Times New Roman" w:hAnsi="Times New Roman" w:eastAsia="Calibri" w:cs="Times New Roman"/>
                <w:color w:val="000000"/>
              </w:rPr>
              <w:t>. 03/2019</w:t>
            </w:r>
          </w:p>
        </w:tc>
        <w:tc>
          <w:tcPr>
            <w:tcW w:w="59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438</w:t>
            </w:r>
          </w:p>
        </w:tc>
      </w:tr>
      <w:tr>
        <w:tblPrEx>
          <w:tblCellMar>
            <w:top w:w="0" w:type="dxa"/>
            <w:left w:w="108" w:type="dxa"/>
            <w:bottom w:w="0" w:type="dxa"/>
            <w:right w:w="108" w:type="dxa"/>
          </w:tblCellMar>
        </w:tblPrEx>
        <w:tc>
          <w:tcPr>
            <w:tcW w:w="8045" w:type="dxa"/>
            <w:gridSpan w:val="2"/>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both"/>
              <w:rPr>
                <w:rFonts w:ascii="Times New Roman" w:hAnsi="Times New Roman" w:eastAsia="Liberation Serif" w:cs="Times New Roman"/>
                <w:color w:val="000000"/>
              </w:rPr>
            </w:pPr>
            <w:r>
              <w:rPr>
                <w:rFonts w:ascii="Times New Roman" w:hAnsi="Times New Roman" w:eastAsia="Calibri" w:cs="Times New Roman"/>
                <w:b/>
                <w:color w:val="000000"/>
              </w:rPr>
              <w:t>Anexo 06</w:t>
            </w:r>
            <w:r>
              <w:rPr>
                <w:rFonts w:ascii="Times New Roman" w:hAnsi="Times New Roman" w:eastAsia="Calibri" w:cs="Times New Roman"/>
                <w:color w:val="000000"/>
              </w:rPr>
              <w:t xml:space="preserve"> – Ofício n</w:t>
            </w:r>
            <w:r>
              <w:rPr>
                <w:rFonts w:ascii="Times New Roman" w:hAnsi="Times New Roman" w:eastAsia="Calibri" w:cs="Times New Roman"/>
                <w:color w:val="000000"/>
                <w:vertAlign w:val="superscript"/>
              </w:rPr>
              <w:t>o</w:t>
            </w:r>
            <w:r>
              <w:rPr>
                <w:rFonts w:ascii="Times New Roman" w:hAnsi="Times New Roman" w:eastAsia="Calibri" w:cs="Times New Roman"/>
                <w:color w:val="000000"/>
              </w:rPr>
              <w:t>. 64/2019/DEJOR/ICSA/UFOP</w:t>
            </w:r>
          </w:p>
        </w:tc>
        <w:tc>
          <w:tcPr>
            <w:tcW w:w="59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440</w:t>
            </w:r>
          </w:p>
        </w:tc>
      </w:tr>
      <w:tr>
        <w:tblPrEx>
          <w:tblCellMar>
            <w:top w:w="0" w:type="dxa"/>
            <w:left w:w="108" w:type="dxa"/>
            <w:bottom w:w="0" w:type="dxa"/>
            <w:right w:w="108" w:type="dxa"/>
          </w:tblCellMar>
        </w:tblPrEx>
        <w:tc>
          <w:tcPr>
            <w:tcW w:w="8045" w:type="dxa"/>
            <w:gridSpan w:val="2"/>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both"/>
              <w:rPr>
                <w:rFonts w:ascii="Times New Roman" w:hAnsi="Times New Roman" w:eastAsia="Liberation Serif" w:cs="Times New Roman"/>
                <w:color w:val="000000"/>
              </w:rPr>
            </w:pPr>
            <w:r>
              <w:rPr>
                <w:rFonts w:ascii="Times New Roman" w:hAnsi="Times New Roman" w:eastAsia="Calibri" w:cs="Times New Roman"/>
                <w:b/>
                <w:color w:val="000000"/>
              </w:rPr>
              <w:t>Anexo 07</w:t>
            </w:r>
            <w:r>
              <w:rPr>
                <w:rFonts w:ascii="Times New Roman" w:hAnsi="Times New Roman" w:eastAsia="Calibri" w:cs="Times New Roman"/>
                <w:color w:val="000000"/>
              </w:rPr>
              <w:t>– Ofício n</w:t>
            </w:r>
            <w:r>
              <w:rPr>
                <w:rFonts w:ascii="Times New Roman" w:hAnsi="Times New Roman" w:eastAsia="Calibri" w:cs="Times New Roman"/>
                <w:color w:val="000000"/>
                <w:vertAlign w:val="superscript"/>
              </w:rPr>
              <w:t>o</w:t>
            </w:r>
            <w:r>
              <w:rPr>
                <w:rFonts w:ascii="Times New Roman" w:hAnsi="Times New Roman" w:eastAsia="Calibri" w:cs="Times New Roman"/>
                <w:color w:val="000000"/>
              </w:rPr>
              <w:t>. 027/2019/ DEMUL/EDTM/UFOP</w:t>
            </w:r>
          </w:p>
        </w:tc>
        <w:tc>
          <w:tcPr>
            <w:tcW w:w="59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441</w:t>
            </w:r>
          </w:p>
        </w:tc>
      </w:tr>
      <w:tr>
        <w:tblPrEx>
          <w:tblCellMar>
            <w:top w:w="0" w:type="dxa"/>
            <w:left w:w="108" w:type="dxa"/>
            <w:bottom w:w="0" w:type="dxa"/>
            <w:right w:w="108" w:type="dxa"/>
          </w:tblCellMar>
        </w:tblPrEx>
        <w:tc>
          <w:tcPr>
            <w:tcW w:w="8045" w:type="dxa"/>
            <w:gridSpan w:val="2"/>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both"/>
              <w:rPr>
                <w:rFonts w:ascii="Times New Roman" w:hAnsi="Times New Roman" w:eastAsia="Liberation Serif" w:cs="Times New Roman"/>
                <w:color w:val="000000"/>
              </w:rPr>
            </w:pPr>
            <w:r>
              <w:rPr>
                <w:rFonts w:ascii="Times New Roman" w:hAnsi="Times New Roman" w:eastAsia="Calibri" w:cs="Times New Roman"/>
                <w:b/>
                <w:color w:val="000000"/>
              </w:rPr>
              <w:t>Anexo 08</w:t>
            </w:r>
            <w:r>
              <w:rPr>
                <w:rFonts w:ascii="Times New Roman" w:hAnsi="Times New Roman" w:eastAsia="Calibri" w:cs="Times New Roman"/>
                <w:color w:val="000000"/>
              </w:rPr>
              <w:t xml:space="preserve"> – Ofício DEFIL/IFAC n</w:t>
            </w:r>
            <w:r>
              <w:rPr>
                <w:rFonts w:ascii="Times New Roman" w:hAnsi="Times New Roman" w:eastAsia="Calibri" w:cs="Times New Roman"/>
                <w:color w:val="000000"/>
                <w:vertAlign w:val="superscript"/>
              </w:rPr>
              <w:t>o</w:t>
            </w:r>
            <w:r>
              <w:rPr>
                <w:rFonts w:ascii="Times New Roman" w:hAnsi="Times New Roman" w:eastAsia="Calibri" w:cs="Times New Roman"/>
                <w:color w:val="000000"/>
              </w:rPr>
              <w:t>. 045/2019</w:t>
            </w:r>
          </w:p>
        </w:tc>
        <w:tc>
          <w:tcPr>
            <w:tcW w:w="59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443</w:t>
            </w:r>
          </w:p>
        </w:tc>
      </w:tr>
      <w:tr>
        <w:tblPrEx>
          <w:tblCellMar>
            <w:top w:w="0" w:type="dxa"/>
            <w:left w:w="108" w:type="dxa"/>
            <w:bottom w:w="0" w:type="dxa"/>
            <w:right w:w="108" w:type="dxa"/>
          </w:tblCellMar>
        </w:tblPrEx>
        <w:tc>
          <w:tcPr>
            <w:tcW w:w="8045" w:type="dxa"/>
            <w:gridSpan w:val="2"/>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both"/>
              <w:rPr>
                <w:rFonts w:ascii="Times New Roman" w:hAnsi="Times New Roman" w:eastAsia="Liberation Serif" w:cs="Times New Roman"/>
                <w:color w:val="000000"/>
              </w:rPr>
            </w:pPr>
            <w:r>
              <w:rPr>
                <w:rFonts w:ascii="Times New Roman" w:hAnsi="Times New Roman" w:eastAsia="Calibri" w:cs="Times New Roman"/>
                <w:b/>
                <w:color w:val="000000"/>
              </w:rPr>
              <w:t>Anexo 09</w:t>
            </w:r>
            <w:r>
              <w:rPr>
                <w:rFonts w:ascii="Times New Roman" w:hAnsi="Times New Roman" w:eastAsia="Calibri" w:cs="Times New Roman"/>
                <w:color w:val="000000"/>
              </w:rPr>
              <w:t xml:space="preserve"> – Sobre a composição do Colegiado do Curso e do Núcleo Docente Estruturante</w:t>
            </w:r>
          </w:p>
        </w:tc>
        <w:tc>
          <w:tcPr>
            <w:tcW w:w="59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443</w:t>
            </w:r>
          </w:p>
        </w:tc>
      </w:tr>
      <w:tr>
        <w:tblPrEx>
          <w:tblCellMar>
            <w:top w:w="0" w:type="dxa"/>
            <w:left w:w="108" w:type="dxa"/>
            <w:bottom w:w="0" w:type="dxa"/>
            <w:right w:w="108" w:type="dxa"/>
          </w:tblCellMar>
        </w:tblPrEx>
        <w:tc>
          <w:tcPr>
            <w:tcW w:w="8045" w:type="dxa"/>
            <w:gridSpan w:val="2"/>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both"/>
              <w:rPr>
                <w:rFonts w:ascii="Times New Roman" w:hAnsi="Times New Roman" w:eastAsia="Liberation Serif" w:cs="Times New Roman"/>
                <w:color w:val="000000"/>
              </w:rPr>
            </w:pPr>
            <w:r>
              <w:rPr>
                <w:rFonts w:ascii="Times New Roman" w:hAnsi="Times New Roman" w:eastAsia="Calibri" w:cs="Times New Roman"/>
                <w:b/>
                <w:color w:val="000000"/>
              </w:rPr>
              <w:t xml:space="preserve">Anexo 10 </w:t>
            </w:r>
            <w:r>
              <w:rPr>
                <w:rFonts w:ascii="Times New Roman" w:hAnsi="Times New Roman" w:eastAsia="Calibri" w:cs="Times New Roman"/>
                <w:color w:val="000000"/>
              </w:rPr>
              <w:t>– Regulamentação do MIF, Portaria Prograd No 34/2019</w:t>
            </w:r>
          </w:p>
        </w:tc>
        <w:tc>
          <w:tcPr>
            <w:tcW w:w="59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right"/>
              <w:rPr>
                <w:rFonts w:ascii="Times New Roman" w:hAnsi="Times New Roman" w:eastAsia="Liberation Serif" w:cs="Times New Roman"/>
                <w:color w:val="000000"/>
              </w:rPr>
            </w:pPr>
            <w:r>
              <w:rPr>
                <w:rFonts w:ascii="Times New Roman" w:hAnsi="Times New Roman" w:eastAsia="Calibri" w:cs="Times New Roman"/>
                <w:color w:val="000000"/>
              </w:rPr>
              <w:t>446</w:t>
            </w:r>
          </w:p>
        </w:tc>
      </w:tr>
    </w:tbl>
    <w:p>
      <w:pPr>
        <w:pBdr>
          <w:top w:val="none" w:color="auto" w:sz="0" w:space="0"/>
          <w:left w:val="none" w:color="auto" w:sz="0" w:space="0"/>
          <w:bottom w:val="none" w:color="auto" w:sz="0" w:space="0"/>
          <w:right w:val="none" w:color="auto" w:sz="0" w:space="0"/>
          <w:between w:val="none" w:color="auto" w:sz="0" w:space="0"/>
        </w:pBdr>
        <w:spacing w:before="240" w:after="140" w:line="276" w:lineRule="auto"/>
        <w:ind w:left="0" w:hanging="2"/>
        <w:jc w:val="center"/>
        <w:rPr>
          <w:rFonts w:ascii="Times New Roman" w:hAnsi="Times New Roman" w:eastAsia="Liberation Serif" w:cs="Times New Roman"/>
          <w:color w:val="000000"/>
        </w:rPr>
      </w:pPr>
      <w:r>
        <w:rPr>
          <w:rFonts w:ascii="Times New Roman" w:hAnsi="Times New Roman" w:eastAsia="Calibri" w:cs="Times New Roman"/>
          <w:b/>
          <w:color w:val="000000"/>
        </w:rPr>
        <w:t>LISTA DE TABELAS</w:t>
      </w:r>
    </w:p>
    <w:tbl>
      <w:tblPr>
        <w:tblStyle w:val="468"/>
        <w:tblW w:w="8645" w:type="dxa"/>
        <w:tblInd w:w="0" w:type="dxa"/>
        <w:tblLayout w:type="fixed"/>
        <w:tblCellMar>
          <w:top w:w="0" w:type="dxa"/>
          <w:left w:w="108" w:type="dxa"/>
          <w:bottom w:w="0" w:type="dxa"/>
          <w:right w:w="108" w:type="dxa"/>
        </w:tblCellMar>
      </w:tblPr>
      <w:tblGrid>
        <w:gridCol w:w="7906"/>
        <w:gridCol w:w="739"/>
      </w:tblGrid>
      <w:tr>
        <w:tblPrEx>
          <w:tblCellMar>
            <w:top w:w="0" w:type="dxa"/>
            <w:left w:w="108" w:type="dxa"/>
            <w:bottom w:w="0" w:type="dxa"/>
            <w:right w:w="108" w:type="dxa"/>
          </w:tblCellMar>
        </w:tblPrEx>
        <w:tc>
          <w:tcPr>
            <w:tcW w:w="7906"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Liberation Serif" w:cs="Times New Roman"/>
                <w:color w:val="000000"/>
              </w:rPr>
            </w:pPr>
            <w:r>
              <w:rPr>
                <w:rFonts w:ascii="Times New Roman" w:hAnsi="Times New Roman" w:eastAsia="Calibri" w:cs="Times New Roman"/>
                <w:b/>
                <w:color w:val="000000"/>
              </w:rPr>
              <w:t>Tabela 01 - Informações do Curso</w:t>
            </w:r>
          </w:p>
        </w:tc>
        <w:tc>
          <w:tcPr>
            <w:tcW w:w="73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right"/>
              <w:rPr>
                <w:rFonts w:ascii="Times New Roman" w:hAnsi="Times New Roman" w:eastAsia="Liberation Serif" w:cs="Times New Roman"/>
                <w:color w:val="000000"/>
              </w:rPr>
            </w:pPr>
          </w:p>
        </w:tc>
      </w:tr>
      <w:tr>
        <w:tblPrEx>
          <w:tblCellMar>
            <w:top w:w="0" w:type="dxa"/>
            <w:left w:w="108" w:type="dxa"/>
            <w:bottom w:w="0" w:type="dxa"/>
            <w:right w:w="108" w:type="dxa"/>
          </w:tblCellMar>
        </w:tblPrEx>
        <w:tc>
          <w:tcPr>
            <w:tcW w:w="7906"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Liberation Serif" w:cs="Times New Roman"/>
                <w:color w:val="000000"/>
              </w:rPr>
            </w:pPr>
            <w:r>
              <w:rPr>
                <w:rFonts w:ascii="Times New Roman" w:hAnsi="Times New Roman" w:eastAsia="Calibri" w:cs="Times New Roman"/>
                <w:b/>
                <w:color w:val="000000"/>
              </w:rPr>
              <w:t>Tabela 02 - Componentes Curriculares</w:t>
            </w:r>
          </w:p>
        </w:tc>
        <w:tc>
          <w:tcPr>
            <w:tcW w:w="73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right"/>
              <w:rPr>
                <w:rFonts w:ascii="Times New Roman" w:hAnsi="Times New Roman" w:eastAsia="Liberation Serif" w:cs="Times New Roman"/>
                <w:color w:val="000000"/>
              </w:rPr>
            </w:pPr>
          </w:p>
        </w:tc>
      </w:tr>
      <w:tr>
        <w:tblPrEx>
          <w:tblCellMar>
            <w:top w:w="0" w:type="dxa"/>
            <w:left w:w="108" w:type="dxa"/>
            <w:bottom w:w="0" w:type="dxa"/>
            <w:right w:w="108" w:type="dxa"/>
          </w:tblCellMar>
        </w:tblPrEx>
        <w:tc>
          <w:tcPr>
            <w:tcW w:w="7906"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Liberation Serif" w:cs="Times New Roman"/>
                <w:color w:val="000000"/>
              </w:rPr>
            </w:pPr>
            <w:r>
              <w:rPr>
                <w:rFonts w:ascii="Times New Roman" w:hAnsi="Times New Roman" w:eastAsia="Calibri" w:cs="Times New Roman"/>
                <w:b/>
                <w:color w:val="000000"/>
              </w:rPr>
              <w:t>Tabela 03 - Corpo Docente</w:t>
            </w:r>
          </w:p>
        </w:tc>
        <w:tc>
          <w:tcPr>
            <w:tcW w:w="73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right"/>
              <w:rPr>
                <w:rFonts w:ascii="Times New Roman" w:hAnsi="Times New Roman" w:eastAsia="Liberation Serif" w:cs="Times New Roman"/>
                <w:color w:val="000000"/>
              </w:rPr>
            </w:pPr>
          </w:p>
        </w:tc>
      </w:tr>
      <w:tr>
        <w:tblPrEx>
          <w:tblCellMar>
            <w:top w:w="0" w:type="dxa"/>
            <w:left w:w="108" w:type="dxa"/>
            <w:bottom w:w="0" w:type="dxa"/>
            <w:right w:w="108" w:type="dxa"/>
          </w:tblCellMar>
        </w:tblPrEx>
        <w:tc>
          <w:tcPr>
            <w:tcW w:w="7906"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Liberation Serif" w:cs="Times New Roman"/>
                <w:color w:val="000000"/>
              </w:rPr>
            </w:pPr>
            <w:r>
              <w:rPr>
                <w:rFonts w:ascii="Times New Roman" w:hAnsi="Times New Roman" w:eastAsia="Calibri" w:cs="Times New Roman"/>
                <w:b/>
                <w:color w:val="000000"/>
              </w:rPr>
              <w:t>Tabela 04 - Técnicos Administrativos</w:t>
            </w:r>
          </w:p>
        </w:tc>
        <w:tc>
          <w:tcPr>
            <w:tcW w:w="73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right"/>
              <w:rPr>
                <w:rFonts w:ascii="Times New Roman" w:hAnsi="Times New Roman" w:eastAsia="Liberation Serif" w:cs="Times New Roman"/>
                <w:color w:val="000000"/>
              </w:rPr>
            </w:pPr>
          </w:p>
        </w:tc>
      </w:tr>
      <w:tr>
        <w:tblPrEx>
          <w:tblCellMar>
            <w:top w:w="0" w:type="dxa"/>
            <w:left w:w="108" w:type="dxa"/>
            <w:bottom w:w="0" w:type="dxa"/>
            <w:right w:w="108" w:type="dxa"/>
          </w:tblCellMar>
        </w:tblPrEx>
        <w:tc>
          <w:tcPr>
            <w:tcW w:w="7906"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Liberation Serif" w:cs="Times New Roman"/>
                <w:color w:val="000000"/>
              </w:rPr>
            </w:pPr>
            <w:r>
              <w:rPr>
                <w:rFonts w:ascii="Times New Roman" w:hAnsi="Times New Roman" w:eastAsia="Calibri" w:cs="Times New Roman"/>
                <w:b/>
                <w:color w:val="000000"/>
              </w:rPr>
              <w:t>Tabela 05 - Atividades Pedagógicas do Curso</w:t>
            </w:r>
          </w:p>
        </w:tc>
        <w:tc>
          <w:tcPr>
            <w:tcW w:w="73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right"/>
              <w:rPr>
                <w:rFonts w:ascii="Times New Roman" w:hAnsi="Times New Roman" w:eastAsia="Liberation Serif" w:cs="Times New Roman"/>
                <w:color w:val="000000"/>
              </w:rPr>
            </w:pPr>
          </w:p>
        </w:tc>
      </w:tr>
      <w:tr>
        <w:tblPrEx>
          <w:tblCellMar>
            <w:top w:w="0" w:type="dxa"/>
            <w:left w:w="108" w:type="dxa"/>
            <w:bottom w:w="0" w:type="dxa"/>
            <w:right w:w="108" w:type="dxa"/>
          </w:tblCellMar>
        </w:tblPrEx>
        <w:tc>
          <w:tcPr>
            <w:tcW w:w="7906"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Liberation Serif" w:cs="Times New Roman"/>
                <w:color w:val="000000"/>
              </w:rPr>
            </w:pPr>
            <w:r>
              <w:rPr>
                <w:rFonts w:ascii="Times New Roman" w:hAnsi="Times New Roman" w:eastAsia="Calibri" w:cs="Times New Roman"/>
                <w:b/>
                <w:color w:val="000000"/>
              </w:rPr>
              <w:t>Tabela 06 - Componentes Curriculares Exigidos para Integralização do Curso</w:t>
            </w:r>
          </w:p>
        </w:tc>
        <w:tc>
          <w:tcPr>
            <w:tcW w:w="73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right"/>
              <w:rPr>
                <w:rFonts w:ascii="Times New Roman" w:hAnsi="Times New Roman" w:eastAsia="Liberation Serif" w:cs="Times New Roman"/>
                <w:color w:val="000000"/>
              </w:rPr>
            </w:pPr>
          </w:p>
        </w:tc>
      </w:tr>
      <w:tr>
        <w:tblPrEx>
          <w:tblCellMar>
            <w:top w:w="0" w:type="dxa"/>
            <w:left w:w="108" w:type="dxa"/>
            <w:bottom w:w="0" w:type="dxa"/>
            <w:right w:w="108" w:type="dxa"/>
          </w:tblCellMar>
        </w:tblPrEx>
        <w:tc>
          <w:tcPr>
            <w:tcW w:w="7906"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Liberation Serif" w:cs="Times New Roman"/>
                <w:color w:val="000000"/>
              </w:rPr>
            </w:pPr>
            <w:r>
              <w:rPr>
                <w:rFonts w:ascii="Times New Roman" w:hAnsi="Times New Roman" w:eastAsia="Calibri" w:cs="Times New Roman"/>
                <w:b/>
                <w:color w:val="000000"/>
              </w:rPr>
              <w:t>Tabela 07 - Disciplinas Obrigatórias</w:t>
            </w:r>
          </w:p>
        </w:tc>
        <w:tc>
          <w:tcPr>
            <w:tcW w:w="73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right"/>
              <w:rPr>
                <w:rFonts w:ascii="Times New Roman" w:hAnsi="Times New Roman" w:eastAsia="Liberation Serif" w:cs="Times New Roman"/>
                <w:color w:val="000000"/>
              </w:rPr>
            </w:pPr>
          </w:p>
        </w:tc>
      </w:tr>
      <w:tr>
        <w:tblPrEx>
          <w:tblCellMar>
            <w:top w:w="0" w:type="dxa"/>
            <w:left w:w="108" w:type="dxa"/>
            <w:bottom w:w="0" w:type="dxa"/>
            <w:right w:w="108" w:type="dxa"/>
          </w:tblCellMar>
        </w:tblPrEx>
        <w:tc>
          <w:tcPr>
            <w:tcW w:w="7906"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Liberation Serif" w:cs="Times New Roman"/>
                <w:color w:val="000000"/>
              </w:rPr>
            </w:pPr>
            <w:r>
              <w:rPr>
                <w:rFonts w:ascii="Times New Roman" w:hAnsi="Times New Roman" w:eastAsia="Calibri" w:cs="Times New Roman"/>
                <w:b/>
                <w:color w:val="000000"/>
              </w:rPr>
              <w:t>Tabela 08 - Disciplinas Eletivas</w:t>
            </w:r>
          </w:p>
        </w:tc>
        <w:tc>
          <w:tcPr>
            <w:tcW w:w="73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right"/>
              <w:rPr>
                <w:rFonts w:ascii="Times New Roman" w:hAnsi="Times New Roman" w:eastAsia="Liberation Serif" w:cs="Times New Roman"/>
                <w:color w:val="000000"/>
              </w:rPr>
            </w:pPr>
          </w:p>
        </w:tc>
      </w:tr>
      <w:tr>
        <w:tblPrEx>
          <w:tblCellMar>
            <w:top w:w="0" w:type="dxa"/>
            <w:left w:w="108" w:type="dxa"/>
            <w:bottom w:w="0" w:type="dxa"/>
            <w:right w:w="108" w:type="dxa"/>
          </w:tblCellMar>
        </w:tblPrEx>
        <w:tc>
          <w:tcPr>
            <w:tcW w:w="7906"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Liberation Serif" w:cs="Times New Roman"/>
                <w:color w:val="000000"/>
              </w:rPr>
            </w:pPr>
            <w:r>
              <w:rPr>
                <w:rFonts w:ascii="Times New Roman" w:hAnsi="Times New Roman" w:eastAsia="Calibri" w:cs="Times New Roman"/>
                <w:b/>
                <w:color w:val="000000"/>
              </w:rPr>
              <w:t>Tabela 09 – ATVs</w:t>
            </w:r>
          </w:p>
        </w:tc>
        <w:tc>
          <w:tcPr>
            <w:tcW w:w="73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right"/>
              <w:rPr>
                <w:rFonts w:ascii="Times New Roman" w:hAnsi="Times New Roman" w:eastAsia="Liberation Serif" w:cs="Times New Roman"/>
                <w:color w:val="000000"/>
              </w:rPr>
            </w:pPr>
          </w:p>
        </w:tc>
      </w:tr>
      <w:tr>
        <w:tblPrEx>
          <w:tblCellMar>
            <w:top w:w="0" w:type="dxa"/>
            <w:left w:w="108" w:type="dxa"/>
            <w:bottom w:w="0" w:type="dxa"/>
            <w:right w:w="108" w:type="dxa"/>
          </w:tblCellMar>
        </w:tblPrEx>
        <w:tc>
          <w:tcPr>
            <w:tcW w:w="7906"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Liberation Serif" w:cs="Times New Roman"/>
                <w:color w:val="000000"/>
              </w:rPr>
            </w:pPr>
            <w:r>
              <w:rPr>
                <w:rFonts w:ascii="Times New Roman" w:hAnsi="Times New Roman" w:eastAsia="Calibri" w:cs="Times New Roman"/>
                <w:b/>
                <w:color w:val="000000"/>
              </w:rPr>
              <w:t>Tabela 10 - Síntese das Componentes Curriculares</w:t>
            </w:r>
          </w:p>
        </w:tc>
        <w:tc>
          <w:tcPr>
            <w:tcW w:w="73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right"/>
              <w:rPr>
                <w:rFonts w:ascii="Times New Roman" w:hAnsi="Times New Roman" w:eastAsia="Liberation Serif" w:cs="Times New Roman"/>
                <w:color w:val="000000"/>
              </w:rPr>
            </w:pPr>
          </w:p>
        </w:tc>
      </w:tr>
      <w:tr>
        <w:tblPrEx>
          <w:tblCellMar>
            <w:top w:w="0" w:type="dxa"/>
            <w:left w:w="108" w:type="dxa"/>
            <w:bottom w:w="0" w:type="dxa"/>
            <w:right w:w="108" w:type="dxa"/>
          </w:tblCellMar>
        </w:tblPrEx>
        <w:tc>
          <w:tcPr>
            <w:tcW w:w="7906"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Liberation Serif" w:cs="Times New Roman"/>
                <w:color w:val="000000"/>
              </w:rPr>
            </w:pPr>
            <w:r>
              <w:rPr>
                <w:rFonts w:ascii="Times New Roman" w:hAnsi="Times New Roman" w:eastAsia="Calibri" w:cs="Times New Roman"/>
                <w:b/>
                <w:color w:val="000000"/>
              </w:rPr>
              <w:t>Tabela 11 - Grupos de Pesquisa Laboratório de Estudos</w:t>
            </w:r>
          </w:p>
        </w:tc>
        <w:tc>
          <w:tcPr>
            <w:tcW w:w="73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right"/>
              <w:rPr>
                <w:rFonts w:ascii="Times New Roman" w:hAnsi="Times New Roman" w:eastAsia="Liberation Serif" w:cs="Times New Roman"/>
                <w:color w:val="000000"/>
              </w:rPr>
            </w:pPr>
          </w:p>
        </w:tc>
      </w:tr>
      <w:tr>
        <w:tblPrEx>
          <w:tblCellMar>
            <w:top w:w="0" w:type="dxa"/>
            <w:left w:w="108" w:type="dxa"/>
            <w:bottom w:w="0" w:type="dxa"/>
            <w:right w:w="108" w:type="dxa"/>
          </w:tblCellMar>
        </w:tblPrEx>
        <w:tc>
          <w:tcPr>
            <w:tcW w:w="7906"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Liberation Serif" w:cs="Times New Roman"/>
                <w:color w:val="000000"/>
              </w:rPr>
            </w:pPr>
            <w:r>
              <w:rPr>
                <w:rFonts w:ascii="Times New Roman" w:hAnsi="Times New Roman" w:eastAsia="Calibri" w:cs="Times New Roman"/>
                <w:b/>
                <w:color w:val="000000"/>
              </w:rPr>
              <w:t>Tabela 12 - Infraestrutura de Informática</w:t>
            </w:r>
          </w:p>
        </w:tc>
        <w:tc>
          <w:tcPr>
            <w:tcW w:w="739" w:type="dxa"/>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jc w:val="right"/>
              <w:rPr>
                <w:rFonts w:ascii="Times New Roman" w:hAnsi="Times New Roman" w:eastAsia="Liberation Serif" w:cs="Times New Roman"/>
                <w:color w:val="000000"/>
              </w:rPr>
            </w:pPr>
          </w:p>
        </w:tc>
      </w:tr>
    </w:tbl>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Liberation Serif"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Liberation Serif"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Calibri" w:cs="Times New Roman"/>
          <w:b/>
          <w:color w:val="000000"/>
        </w:rPr>
      </w:pPr>
    </w:p>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Calibri" w:cs="Times New Roman"/>
          <w:b/>
          <w:color w:val="000000"/>
        </w:rPr>
      </w:pPr>
    </w:p>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Liberation Serif" w:cs="Times New Roman"/>
          <w:color w:val="000000"/>
        </w:rPr>
      </w:pPr>
      <w:r>
        <w:rPr>
          <w:rFonts w:ascii="Times New Roman" w:hAnsi="Times New Roman" w:eastAsia="Calibri" w:cs="Times New Roman"/>
          <w:b/>
          <w:color w:val="000000"/>
        </w:rPr>
        <w:t>Apresentação</w:t>
      </w:r>
    </w:p>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ab/>
      </w:r>
    </w:p>
    <w:p>
      <w:pPr>
        <w:pBdr>
          <w:top w:val="none" w:color="auto" w:sz="0" w:space="0"/>
          <w:left w:val="none" w:color="auto" w:sz="0" w:space="0"/>
          <w:bottom w:val="none" w:color="auto" w:sz="0" w:space="0"/>
          <w:right w:val="none" w:color="auto" w:sz="0" w:space="0"/>
          <w:between w:val="none" w:color="auto" w:sz="0" w:space="0"/>
        </w:pBdr>
        <w:spacing w:after="140"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ab/>
      </w:r>
      <w:r>
        <w:rPr>
          <w:rFonts w:ascii="Times New Roman" w:hAnsi="Times New Roman" w:eastAsia="Calibri" w:cs="Times New Roman"/>
          <w:color w:val="000000"/>
        </w:rPr>
        <w:tab/>
      </w:r>
      <w:r>
        <w:rPr>
          <w:rFonts w:ascii="Times New Roman" w:hAnsi="Times New Roman" w:eastAsia="Calibri" w:cs="Times New Roman"/>
          <w:color w:val="000000"/>
        </w:rPr>
        <w:t xml:space="preserve">O Projeto Pedagógico do Curso de Licenciatura em História é uma construção coletiva dos professores do Departamento de História da Universidade Federal de Ouro Preto (UFOP), não se restringindo aos membros do Colegiado ou Núcleo Docente Estruturante (NDE). É resultado de muitos debates nas três esferas de organização do departamento, envolvendo docentes e discentes. </w:t>
      </w:r>
    </w:p>
    <w:p>
      <w:pPr>
        <w:pBdr>
          <w:top w:val="none" w:color="auto" w:sz="0" w:space="0"/>
          <w:left w:val="none" w:color="auto" w:sz="0" w:space="0"/>
          <w:bottom w:val="none" w:color="auto" w:sz="0" w:space="0"/>
          <w:right w:val="none" w:color="auto" w:sz="0" w:space="0"/>
          <w:between w:val="none" w:color="auto" w:sz="0" w:space="0"/>
        </w:pBdr>
        <w:spacing w:after="140" w:line="360" w:lineRule="auto"/>
        <w:ind w:left="0" w:leftChars="0" w:firstLine="720" w:firstLineChars="0"/>
        <w:jc w:val="both"/>
        <w:rPr>
          <w:rFonts w:ascii="Times New Roman" w:hAnsi="Times New Roman" w:eastAsia="Liberation Serif" w:cs="Times New Roman"/>
          <w:color w:val="000000"/>
        </w:rPr>
      </w:pPr>
      <w:r>
        <w:rPr>
          <w:rFonts w:ascii="Times New Roman" w:hAnsi="Times New Roman" w:eastAsia="Calibri" w:cs="Times New Roman"/>
          <w:color w:val="000000"/>
        </w:rPr>
        <w:t xml:space="preserve">Desde 2016, professores do departamento participaram das reuniões da Subcâmara de Licenciatura, que culminaram na organização do documento </w:t>
      </w:r>
      <w:r>
        <w:rPr>
          <w:rFonts w:ascii="Times New Roman" w:hAnsi="Times New Roman" w:eastAsia="Calibri" w:cs="Times New Roman"/>
          <w:i/>
          <w:color w:val="000000"/>
        </w:rPr>
        <w:t>Política Institucional de Formação de Professores: diretrizes da UFOP para os cursos de licenciatura</w:t>
      </w:r>
      <w:r>
        <w:rPr>
          <w:rFonts w:ascii="Times New Roman" w:hAnsi="Times New Roman" w:eastAsia="Calibri" w:cs="Times New Roman"/>
          <w:color w:val="000000"/>
        </w:rPr>
        <w:t xml:space="preserve">, finalizado em julho de 2018 e regulamentado pela Resolução Cepe nº 7488, de 17 de julho de 2018. Como objetivos principais, a “Política Institucional” prevê: “(i) dar corpo a uma proposta institucional de formação de professores para a Universidade e (ii) atender às orientações gerais trazidas pela Resolução CNE/CP nº 2/2015, que definiu as </w:t>
      </w:r>
      <w:r>
        <w:rPr>
          <w:rFonts w:ascii="Times New Roman" w:hAnsi="Times New Roman" w:eastAsia="Calibri" w:cs="Times New Roman"/>
          <w:i/>
          <w:color w:val="000000"/>
        </w:rPr>
        <w:t>Diretrizes Curriculares Nacionais para a Formação Inicial e Continuada de Professores</w:t>
      </w:r>
      <w:r>
        <w:rPr>
          <w:rFonts w:ascii="Times New Roman" w:hAnsi="Times New Roman" w:eastAsia="Calibri" w:cs="Times New Roman"/>
          <w:color w:val="000000"/>
        </w:rPr>
        <w:t>, e às discussões contemporâneas sobre a formação docente”</w:t>
      </w:r>
      <w:r>
        <w:rPr>
          <w:rFonts w:ascii="Times New Roman" w:hAnsi="Times New Roman" w:eastAsia="Calibri" w:cs="Times New Roman"/>
          <w:color w:val="000000"/>
          <w:vertAlign w:val="superscript"/>
        </w:rPr>
        <w:footnoteReference w:id="0"/>
      </w:r>
      <w:r>
        <w:rPr>
          <w:rFonts w:ascii="Times New Roman" w:hAnsi="Times New Roman" w:eastAsia="Calibri" w:cs="Times New Roman"/>
          <w:color w:val="000000"/>
        </w:rPr>
        <w:t>.</w:t>
      </w:r>
      <w:r>
        <w:rPr>
          <w:rFonts w:ascii="Times New Roman" w:hAnsi="Times New Roman" w:eastAsia="Calibri" w:cs="Times New Roman"/>
          <w:color w:val="000000"/>
          <w:vertAlign w:val="superscript"/>
        </w:rPr>
        <w:footnoteReference w:id="1"/>
      </w:r>
      <w:r>
        <w:rPr>
          <w:rFonts w:ascii="Times New Roman" w:hAnsi="Times New Roman" w:eastAsia="Calibri" w:cs="Times New Roman"/>
          <w:color w:val="000000"/>
        </w:rPr>
        <w:t xml:space="preserve"> O presente documento foi, portanto, redigido em consonância com a política da UFOP, mas resguardando a identidade dos cursos oferecidos pelo Departamento de História.  </w:t>
      </w:r>
    </w:p>
    <w:p>
      <w:pPr>
        <w:pBdr>
          <w:top w:val="none" w:color="auto" w:sz="0" w:space="0"/>
          <w:left w:val="none" w:color="auto" w:sz="0" w:space="0"/>
          <w:bottom w:val="none" w:color="auto" w:sz="0" w:space="0"/>
          <w:right w:val="none" w:color="auto" w:sz="0" w:space="0"/>
          <w:between w:val="none" w:color="auto" w:sz="0" w:space="0"/>
        </w:pBdr>
        <w:spacing w:after="140"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ab/>
      </w:r>
      <w:r>
        <w:rPr>
          <w:rFonts w:ascii="Times New Roman" w:hAnsi="Times New Roman" w:eastAsia="Calibri" w:cs="Times New Roman"/>
          <w:color w:val="000000"/>
        </w:rPr>
        <w:tab/>
      </w:r>
      <w:r>
        <w:rPr>
          <w:rFonts w:ascii="Times New Roman" w:hAnsi="Times New Roman" w:eastAsia="Calibri" w:cs="Times New Roman"/>
          <w:color w:val="000000"/>
        </w:rPr>
        <w:t>O curso de Licenciatura em História teve seu primeiro projeto pedagógico aprovado em 1986, e nele é possível observar a vocação para formar professores-pesquisadores e pesquisadores-professores. Acreditamos que um professor — independentemente do nível a que se dedica e da atividade que professa — precisa ser crítico, questionador, investigador das questões históricas e, quando necessário, capaz de propor novas perspectivas. São muitas as pesquisas que apontam para a necessidade de uma aproximação entre os saberes desenvolvidos nas universidades e aqueles aplicados ou ensinados nas escolas</w:t>
      </w:r>
      <w:r>
        <w:rPr>
          <w:rFonts w:ascii="Times New Roman" w:hAnsi="Times New Roman" w:eastAsia="Calibri" w:cs="Times New Roman"/>
          <w:color w:val="000000"/>
          <w:vertAlign w:val="superscript"/>
        </w:rPr>
        <w:footnoteReference w:id="2"/>
      </w:r>
      <w:r>
        <w:rPr>
          <w:rFonts w:ascii="Times New Roman" w:hAnsi="Times New Roman" w:eastAsia="Calibri" w:cs="Times New Roman"/>
          <w:color w:val="000000"/>
        </w:rPr>
        <w:t>. Por essa razão, acreditamos que um bom licenciado em História é aquele que, além de saber ensinar, deve saber aprender com a experiência, com a pesquisa e com as trocas nos ambientes educativos. Acreditamos ainda que os ambientes educacionais vão além das instituições formais de ensino. Arquivos, museus, bibliotecas e demais instituições de memória são lugares privilegiados para o processo de ensino-aprendizagem, tanto de docentes quanto de discentes em seus diferentes níveis.</w:t>
      </w:r>
    </w:p>
    <w:p>
      <w:pPr>
        <w:pBdr>
          <w:top w:val="none" w:color="auto" w:sz="0" w:space="0"/>
          <w:left w:val="none" w:color="auto" w:sz="0" w:space="0"/>
          <w:bottom w:val="none" w:color="auto" w:sz="0" w:space="0"/>
          <w:right w:val="none" w:color="auto" w:sz="0" w:space="0"/>
          <w:between w:val="none" w:color="auto" w:sz="0" w:space="0"/>
        </w:pBdr>
        <w:spacing w:after="140"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ab/>
      </w:r>
      <w:r>
        <w:rPr>
          <w:rFonts w:ascii="Times New Roman" w:hAnsi="Times New Roman" w:eastAsia="Calibri" w:cs="Times New Roman"/>
          <w:color w:val="000000"/>
        </w:rPr>
        <w:t xml:space="preserve"> </w:t>
      </w:r>
      <w:r>
        <w:rPr>
          <w:rFonts w:ascii="Times New Roman" w:hAnsi="Times New Roman" w:eastAsia="Calibri" w:cs="Times New Roman"/>
          <w:color w:val="000000"/>
        </w:rPr>
        <w:tab/>
      </w:r>
      <w:r>
        <w:rPr>
          <w:rFonts w:ascii="Times New Roman" w:hAnsi="Times New Roman" w:eastAsia="Calibri" w:cs="Times New Roman"/>
          <w:color w:val="000000"/>
        </w:rPr>
        <w:t>A própria constituição da universidade brasileira prevê, como pilar, o diálogo entre ensino, pesquisa e extensão, o qual deve ser refletido no cotidiano das salas de aula. A partir da constatação de que é importante formar discentes críticos e investigadores, mesmo antes da estruturação do Bacharelado em História, em 2010, os professores do Curso de Licenciatura pautavam sua prática pelo incentivo à pesquisa e extensão em todas as áreas. Desse posicionamento, amadurecido ao longo dos 40 anos de experiência diária em sala de aula, em reuniões e debates nas assembleias departamentais, nas reuniões de NDE e no Colegiado de Curso, surgiu o atual Projeto Pedagógico de Curso.</w:t>
      </w:r>
    </w:p>
    <w:p>
      <w:pPr>
        <w:pBdr>
          <w:top w:val="none" w:color="auto" w:sz="0" w:space="0"/>
          <w:left w:val="none" w:color="auto" w:sz="0" w:space="0"/>
          <w:bottom w:val="none" w:color="auto" w:sz="0" w:space="0"/>
          <w:right w:val="none" w:color="auto" w:sz="0" w:space="0"/>
          <w:between w:val="none" w:color="auto" w:sz="0" w:space="0"/>
        </w:pBdr>
        <w:spacing w:after="140"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ab/>
      </w:r>
      <w:r>
        <w:rPr>
          <w:rFonts w:ascii="Times New Roman" w:hAnsi="Times New Roman" w:eastAsia="Calibri" w:cs="Times New Roman"/>
          <w:color w:val="000000"/>
        </w:rPr>
        <w:t xml:space="preserve"> </w:t>
      </w:r>
      <w:r>
        <w:rPr>
          <w:rFonts w:ascii="Times New Roman" w:hAnsi="Times New Roman" w:eastAsia="Calibri" w:cs="Times New Roman"/>
          <w:color w:val="000000"/>
        </w:rPr>
        <w:tab/>
      </w:r>
      <w:r>
        <w:rPr>
          <w:rFonts w:ascii="Times New Roman" w:hAnsi="Times New Roman" w:eastAsia="Calibri" w:cs="Times New Roman"/>
          <w:color w:val="000000"/>
        </w:rPr>
        <w:t xml:space="preserve">A escrita desenvolveu-se após a publicação da Resolução Cepe Nº 7488, quando foi definida a proposta pedagógica institucional de formação de professores, a qual acabou determinando os termos e as partes que compõem este documento. </w:t>
      </w:r>
      <w:r>
        <w:rPr>
          <w:rFonts w:ascii="Times New Roman" w:hAnsi="Times New Roman" w:eastAsia="Calibri" w:cs="Times New Roman"/>
        </w:rPr>
        <w:t xml:space="preserve">Seguindo a Resolução Cepe Nº 7741/ 2019 </w:t>
      </w:r>
      <w:r>
        <w:rPr>
          <w:rFonts w:ascii="Times New Roman" w:hAnsi="Times New Roman" w:eastAsia="Calibri" w:cs="Times New Roman"/>
          <w:color w:val="000000"/>
        </w:rPr>
        <w:t>, reformulamos a matriz curricular para introduzir mais 100 horas de prática como componente curricular, reduzir o número de horas destinadas às Atividades Acadêmico-Científico-Culturais, introduzir e normatizar o Trabalho de Conclusão de Curso. Além disso, foram acrescidas as 90 horas relativas ao Módulo Interdisciplinar Formador, instituído pela Subcâmara de Licenciaturas. Essas alterações elevaram a carga horária do curso de 2915 para 3260 horas.</w:t>
      </w:r>
    </w:p>
    <w:p>
      <w:pPr>
        <w:pBdr>
          <w:top w:val="none" w:color="auto" w:sz="0" w:space="0"/>
          <w:left w:val="none" w:color="auto" w:sz="0" w:space="0"/>
          <w:bottom w:val="none" w:color="auto" w:sz="0" w:space="0"/>
          <w:right w:val="none" w:color="auto" w:sz="0" w:space="0"/>
          <w:between w:val="none" w:color="auto" w:sz="0" w:space="0"/>
        </w:pBdr>
        <w:spacing w:after="140"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ab/>
      </w:r>
      <w:r>
        <w:rPr>
          <w:rFonts w:ascii="Times New Roman" w:hAnsi="Times New Roman" w:eastAsia="Calibri" w:cs="Times New Roman"/>
          <w:color w:val="000000"/>
        </w:rPr>
        <w:tab/>
      </w:r>
      <w:r>
        <w:rPr>
          <w:rFonts w:ascii="Times New Roman" w:hAnsi="Times New Roman" w:eastAsia="Calibri" w:cs="Times New Roman"/>
          <w:color w:val="000000"/>
        </w:rPr>
        <w:t>O processo que desembocou neste Projeto Pedagógico foi iniciado bem antes da definição de uma política institucional para as licenciaturas. Podemos datar seus primeiros traços de junho de 2016, com a participação, nos debates da Subcâmara de Licenciaturas, do então coordenador do Curso de Licenciatura em História, Prof. André de Lemos Freixo, e do coordenador do Setor de Ensino, Prof. Marcelo Santos Abreu, que garantiram a interlocução entre esta instância</w:t>
      </w:r>
      <w:r>
        <w:rPr>
          <w:rFonts w:ascii="Times New Roman" w:hAnsi="Times New Roman" w:eastAsia="Calibri" w:cs="Times New Roman"/>
          <w:color w:val="000000"/>
          <w:vertAlign w:val="superscript"/>
        </w:rPr>
        <w:footnoteReference w:id="3"/>
      </w:r>
      <w:r>
        <w:rPr>
          <w:rFonts w:ascii="Times New Roman" w:hAnsi="Times New Roman" w:eastAsia="Calibri" w:cs="Times New Roman"/>
          <w:color w:val="000000"/>
        </w:rPr>
        <w:t xml:space="preserve">, o Colegiado e o NDE do curso.  </w:t>
      </w:r>
    </w:p>
    <w:p>
      <w:pPr>
        <w:pBdr>
          <w:top w:val="none" w:color="auto" w:sz="0" w:space="0"/>
          <w:left w:val="none" w:color="auto" w:sz="0" w:space="0"/>
          <w:bottom w:val="none" w:color="auto" w:sz="0" w:space="0"/>
          <w:right w:val="none" w:color="auto" w:sz="0" w:space="0"/>
          <w:between w:val="none" w:color="auto" w:sz="0" w:space="0"/>
        </w:pBdr>
        <w:spacing w:after="140" w:line="360" w:lineRule="auto"/>
        <w:ind w:left="0" w:leftChars="0" w:firstLine="720" w:firstLineChars="0"/>
        <w:jc w:val="both"/>
        <w:rPr>
          <w:rFonts w:ascii="Times New Roman" w:hAnsi="Times New Roman" w:eastAsia="Liberation Serif" w:cs="Times New Roman"/>
          <w:color w:val="000000"/>
        </w:rPr>
      </w:pPr>
      <w:r>
        <w:rPr>
          <w:rFonts w:ascii="Times New Roman" w:hAnsi="Times New Roman" w:eastAsia="Calibri" w:cs="Times New Roman"/>
          <w:color w:val="000000"/>
        </w:rPr>
        <w:t>Essas instâncias debateram todos os temas desenvolvidos na Subcâmara, levaram à Assembleia Departamental as questões que diziam respeito ao trabalho dos docentes e retomaram a concepção de curso desenvolvida há mais de três décadas. Partindo das decisões tomadas em coletivo, os representantes do Colegiado e do NDE retornaram à Subcâmara e estabeleceram novos debates. Esse processo, que durou dois anos, contribuiu com a definição da política institucional da Universidade para os cursos de licenciatura e balizou a escrita do atual Projeto Pedagógico de Curso.</w:t>
      </w:r>
    </w:p>
    <w:p>
      <w:pPr>
        <w:pBdr>
          <w:top w:val="none" w:color="auto" w:sz="0" w:space="0"/>
          <w:left w:val="none" w:color="auto" w:sz="0" w:space="0"/>
          <w:bottom w:val="none" w:color="auto" w:sz="0" w:space="0"/>
          <w:right w:val="none" w:color="auto" w:sz="0" w:space="0"/>
          <w:between w:val="none" w:color="auto" w:sz="0" w:space="0"/>
        </w:pBdr>
        <w:spacing w:after="140"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ab/>
      </w:r>
      <w:r>
        <w:rPr>
          <w:rFonts w:ascii="Times New Roman" w:hAnsi="Times New Roman" w:eastAsia="Calibri" w:cs="Times New Roman"/>
          <w:color w:val="000000"/>
        </w:rPr>
        <w:tab/>
      </w:r>
      <w:r>
        <w:rPr>
          <w:rFonts w:ascii="Times New Roman" w:hAnsi="Times New Roman" w:eastAsia="Calibri" w:cs="Times New Roman"/>
          <w:color w:val="000000"/>
        </w:rPr>
        <w:t>Procuramos, neste documento, simplificar as informações com o intuito de que qualquer interessado possa ter acesso aos dados sobre o curso e sua estrutura. Por isso, optamos por inserir, no corpo do Projeto, informações indispensáveis para que os leitores entendam o funcionamento do Curso de Licenciatura em História. Em anexo, apresentamos as resoluções e normatizações, citadas ao longo do projeto, que entendemos ser de interesse de especialistas do Ministério da Educação, docentes, discentes e técnicos administrativos da UFOP.</w:t>
      </w:r>
    </w:p>
    <w:p>
      <w:pPr>
        <w:pBdr>
          <w:top w:val="none" w:color="auto" w:sz="0" w:space="0"/>
          <w:left w:val="none" w:color="auto" w:sz="0" w:space="0"/>
          <w:bottom w:val="none" w:color="auto" w:sz="0" w:space="0"/>
          <w:right w:val="none" w:color="auto" w:sz="0" w:space="0"/>
          <w:between w:val="none" w:color="auto" w:sz="0" w:space="0"/>
        </w:pBdr>
        <w:spacing w:after="140"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ab/>
      </w:r>
      <w:r>
        <w:rPr>
          <w:rFonts w:ascii="Times New Roman" w:hAnsi="Times New Roman" w:eastAsia="Calibri" w:cs="Times New Roman"/>
          <w:color w:val="000000"/>
        </w:rPr>
        <w:tab/>
      </w:r>
      <w:r>
        <w:rPr>
          <w:rFonts w:ascii="Times New Roman" w:hAnsi="Times New Roman" w:eastAsia="Calibri" w:cs="Times New Roman"/>
          <w:color w:val="000000"/>
        </w:rPr>
        <w:t>A atualização do Projeto Pedagógico do Curso de Licenciatura em História tem ainda como fundamento a Lei de Diretrizes e Bases da Educação Brasileira (LDB/1996), as Diretrizes Curriculares dos Cursos de Graduação, os Parâmetros Curriculares Nacionais de História e Geografia, assim como diversas leis federais, pareceres e resoluções pertinentes do Conselho Nacional de Educação e da Comissão Nacional de Avaliação da Educação Superior.</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cs="Times New Roman"/>
        </w:rPr>
      </w:pPr>
      <w:r>
        <w:rPr>
          <w:rFonts w:ascii="Times New Roman" w:hAnsi="Times New Roman" w:eastAsia="Calibri" w:cs="Times New Roman"/>
          <w:color w:val="000000"/>
        </w:rPr>
        <w:tab/>
      </w:r>
      <w:r>
        <w:rPr>
          <w:rFonts w:ascii="Times New Roman" w:hAnsi="Times New Roman" w:eastAsia="Calibri" w:cs="Times New Roman"/>
          <w:color w:val="000000"/>
        </w:rPr>
        <w:tab/>
      </w:r>
      <w:r>
        <w:rPr>
          <w:rFonts w:ascii="Times New Roman" w:hAnsi="Times New Roman" w:eastAsia="Calibri" w:cs="Times New Roman"/>
          <w:color w:val="000000"/>
        </w:rPr>
        <w:t>Além disso, o novo PPC está fundamentado no Plano de Desenvolvimento Institucional (PDI 2016-2025) e no Projeto Pedagógico Institucional (PPI) da Universidade Federal de Ouro Preto, que têm como princípios a indissociabilidade entre Pesquisa, Ensino e Extensão; a interdisciplinaridade e a articulação entre as diversas atividades desenvolvidas; a flexibilização curricular; a contextualização e criticidade dos conhecimentos; a ética como orientação das ações educativas; e a prática de avaliação qualitativa, sistemática e processual.</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cs="Times New Roman"/>
        </w:rPr>
      </w:pPr>
    </w:p>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Times New Roman" w:cs="Times New Roman"/>
          <w:b/>
        </w:rPr>
      </w:pPr>
      <w:r>
        <w:rPr>
          <w:rFonts w:ascii="Times New Roman" w:hAnsi="Times New Roman" w:eastAsia="Times New Roman" w:cs="Times New Roman"/>
          <w:b/>
        </w:rPr>
        <w:t>Tabela 1 - Informações sobre o curso</w:t>
      </w:r>
    </w:p>
    <w:tbl>
      <w:tblPr>
        <w:tblStyle w:val="469"/>
        <w:tblW w:w="883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4245"/>
        <w:gridCol w:w="459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424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Nome do curso:</w:t>
            </w:r>
          </w:p>
        </w:tc>
        <w:tc>
          <w:tcPr>
            <w:tcW w:w="4590"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Licenciatura em História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424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Modalidade:</w:t>
            </w:r>
          </w:p>
        </w:tc>
        <w:tc>
          <w:tcPr>
            <w:tcW w:w="4590"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 x ) presencial        (   ) a distância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424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 xml:space="preserve">Turnos de funcionamento: </w:t>
            </w:r>
          </w:p>
        </w:tc>
        <w:tc>
          <w:tcPr>
            <w:tcW w:w="4590"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 X ) manhã</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   ) tarde</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 xml:space="preserve">( x ) noite </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 xml:space="preserve">(   ) integral – manhã e tarde </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   ) integral – tarde e noite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424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 xml:space="preserve">Endereço de funcionamento: </w:t>
            </w:r>
          </w:p>
        </w:tc>
        <w:tc>
          <w:tcPr>
            <w:tcW w:w="4590" w:type="dxa"/>
            <w:shd w:val="clear" w:color="auto" w:fill="auto"/>
            <w:tcMar>
              <w:top w:w="100" w:type="dxa"/>
              <w:left w:w="100" w:type="dxa"/>
              <w:bottom w:w="100" w:type="dxa"/>
              <w:right w:w="100" w:type="dxa"/>
            </w:tcMar>
          </w:tcPr>
          <w:p>
            <w:pPr>
              <w:ind w:left="0" w:hanging="2"/>
              <w:rPr>
                <w:rFonts w:ascii="Times New Roman" w:hAnsi="Times New Roman" w:eastAsia="Times New Roman" w:cs="Times New Roman"/>
              </w:rPr>
            </w:pPr>
            <w:r>
              <w:rPr>
                <w:rFonts w:ascii="Times New Roman" w:hAnsi="Times New Roman" w:eastAsia="Times New Roman" w:cs="Times New Roman"/>
              </w:rPr>
              <w:t>Rua do Seminário s/n, Centro, Mariana-MG. CEP: 35420-000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424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 xml:space="preserve">Unidade Acadêmica: </w:t>
            </w:r>
          </w:p>
        </w:tc>
        <w:tc>
          <w:tcPr>
            <w:tcW w:w="4590" w:type="dxa"/>
            <w:shd w:val="clear" w:color="auto" w:fill="auto"/>
            <w:tcMar>
              <w:top w:w="100" w:type="dxa"/>
              <w:left w:w="100" w:type="dxa"/>
              <w:bottom w:w="100" w:type="dxa"/>
              <w:right w:w="100" w:type="dxa"/>
            </w:tcMar>
          </w:tcPr>
          <w:p>
            <w:pPr>
              <w:ind w:left="0" w:hanging="2"/>
              <w:rPr>
                <w:rFonts w:ascii="Times New Roman" w:hAnsi="Times New Roman" w:eastAsia="Times New Roman" w:cs="Times New Roman"/>
              </w:rPr>
            </w:pPr>
            <w:r>
              <w:rPr>
                <w:rFonts w:ascii="Times New Roman" w:hAnsi="Times New Roman" w:eastAsia="Times New Roman" w:cs="Times New Roman"/>
              </w:rPr>
              <w:t>Instituto de Ciências Humanas e Sociais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424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Atos legais de autorização/reconhecimento:</w:t>
            </w:r>
          </w:p>
        </w:tc>
        <w:tc>
          <w:tcPr>
            <w:tcW w:w="4590" w:type="dxa"/>
            <w:shd w:val="clear" w:color="auto" w:fill="auto"/>
            <w:tcMar>
              <w:top w:w="100" w:type="dxa"/>
              <w:left w:w="100" w:type="dxa"/>
              <w:bottom w:w="100" w:type="dxa"/>
              <w:right w:w="100" w:type="dxa"/>
            </w:tcMar>
          </w:tcPr>
          <w:p>
            <w:pPr>
              <w:ind w:left="0" w:hanging="2"/>
              <w:rPr>
                <w:rFonts w:ascii="Times New Roman" w:hAnsi="Times New Roman" w:eastAsia="Times New Roman" w:cs="Times New Roman"/>
              </w:rPr>
            </w:pPr>
            <w:r>
              <w:rPr>
                <w:rFonts w:ascii="Times New Roman" w:hAnsi="Times New Roman" w:eastAsia="Times New Roman" w:cs="Times New Roman"/>
              </w:rPr>
              <w:t>Autorização: 18/04/1980</w:t>
            </w:r>
          </w:p>
          <w:p>
            <w:pPr>
              <w:ind w:left="0" w:hanging="2"/>
              <w:rPr>
                <w:rFonts w:ascii="Times New Roman" w:hAnsi="Times New Roman" w:eastAsia="Times New Roman" w:cs="Times New Roman"/>
              </w:rPr>
            </w:pPr>
            <w:r>
              <w:rPr>
                <w:rFonts w:ascii="Times New Roman" w:hAnsi="Times New Roman" w:eastAsia="Times New Roman" w:cs="Times New Roman"/>
              </w:rPr>
              <w:t>Renovação de reconhecimento de curso: Portaria n° 918, de 27 de dezembro de 2018</w:t>
            </w:r>
          </w:p>
          <w:p>
            <w:pPr>
              <w:ind w:left="0" w:hanging="2"/>
              <w:rPr>
                <w:rFonts w:ascii="Times New Roman" w:hAnsi="Times New Roman" w:eastAsia="Times New Roman" w:cs="Times New Roman"/>
              </w:rPr>
            </w:pPr>
            <w:r>
              <w:rPr>
                <w:rFonts w:ascii="Times New Roman" w:hAnsi="Times New Roman" w:eastAsia="Times New Roman" w:cs="Times New Roman"/>
              </w:rPr>
              <w:t>Registro no e-mec: 20216898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424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Titulação conferida aos egressos:</w:t>
            </w:r>
          </w:p>
        </w:tc>
        <w:tc>
          <w:tcPr>
            <w:tcW w:w="4590"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Licenciado (a) em História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424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Número de vagas oferecidas:</w:t>
            </w:r>
          </w:p>
        </w:tc>
        <w:tc>
          <w:tcPr>
            <w:tcW w:w="4590"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40 semestrais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424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Regime de matrícula:</w:t>
            </w:r>
          </w:p>
        </w:tc>
        <w:tc>
          <w:tcPr>
            <w:tcW w:w="4590"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    ) anual   ( x  ) semestral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424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Ano e semestre de início de funcionamento do curso:</w:t>
            </w:r>
          </w:p>
        </w:tc>
        <w:tc>
          <w:tcPr>
            <w:tcW w:w="4590"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Primeiro semestre de 1981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424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Área de conhecimento:</w:t>
            </w:r>
          </w:p>
        </w:tc>
        <w:tc>
          <w:tcPr>
            <w:tcW w:w="4590"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 xml:space="preserve">Grande Área: 70000000 </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Área Específica: 70500002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424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Tempo mínimo e máximo de integralização (anos e semestres letivos):</w:t>
            </w:r>
          </w:p>
        </w:tc>
        <w:tc>
          <w:tcPr>
            <w:tcW w:w="4590"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Tempo mínimo: não há.</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Tempo máximo: 6 anos ou 12 semestres.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424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Conceito Preliminar do Curso (CPC):</w:t>
            </w:r>
          </w:p>
        </w:tc>
        <w:tc>
          <w:tcPr>
            <w:tcW w:w="4590"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424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Nota do Enade:</w:t>
            </w:r>
          </w:p>
        </w:tc>
        <w:tc>
          <w:tcPr>
            <w:tcW w:w="4590"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4245" w:type="dxa"/>
            <w:shd w:val="clear" w:color="auto" w:fill="auto"/>
            <w:tcMar>
              <w:top w:w="100" w:type="dxa"/>
              <w:left w:w="100" w:type="dxa"/>
              <w:bottom w:w="100" w:type="dxa"/>
              <w:right w:w="100" w:type="dxa"/>
            </w:tcMar>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Calibri" w:cs="Times New Roman"/>
              </w:rPr>
              <w:t>Classificação CINE Brasil:</w:t>
            </w:r>
          </w:p>
        </w:tc>
        <w:tc>
          <w:tcPr>
            <w:tcW w:w="4590" w:type="dxa"/>
            <w:shd w:val="clear" w:color="auto" w:fill="auto"/>
            <w:tcMar>
              <w:top w:w="100" w:type="dxa"/>
              <w:left w:w="100" w:type="dxa"/>
              <w:bottom w:w="100" w:type="dxa"/>
              <w:right w:w="100" w:type="dxa"/>
            </w:tcMar>
          </w:tcPr>
          <w:p>
            <w:pPr>
              <w:widowControl w:val="0"/>
              <w:spacing w:before="240" w:after="240"/>
              <w:ind w:left="0" w:hanging="2"/>
              <w:rPr>
                <w:rFonts w:ascii="Times New Roman" w:hAnsi="Times New Roman" w:eastAsia="Calibri" w:cs="Times New Roman"/>
              </w:rPr>
            </w:pPr>
            <w:r>
              <w:rPr>
                <w:rFonts w:ascii="Times New Roman" w:hAnsi="Times New Roman" w:eastAsia="Calibri" w:cs="Times New Roman"/>
              </w:rPr>
              <w:t>Área geral: 01 – Educação</w:t>
            </w:r>
          </w:p>
          <w:p>
            <w:pPr>
              <w:widowControl w:val="0"/>
              <w:spacing w:before="240" w:after="240"/>
              <w:ind w:left="0" w:hanging="2"/>
              <w:rPr>
                <w:rFonts w:ascii="Times New Roman" w:hAnsi="Times New Roman" w:eastAsia="Calibri" w:cs="Times New Roman"/>
              </w:rPr>
            </w:pPr>
            <w:r>
              <w:rPr>
                <w:rFonts w:ascii="Times New Roman" w:hAnsi="Times New Roman" w:eastAsia="Calibri" w:cs="Times New Roman"/>
              </w:rPr>
              <w:t>Área específica: 011 – Educação</w:t>
            </w:r>
          </w:p>
          <w:p>
            <w:pPr>
              <w:widowControl w:val="0"/>
              <w:spacing w:before="240" w:after="240"/>
              <w:ind w:left="0" w:hanging="2"/>
              <w:rPr>
                <w:rFonts w:ascii="Times New Roman" w:hAnsi="Times New Roman" w:eastAsia="Calibri" w:cs="Times New Roman"/>
              </w:rPr>
            </w:pPr>
            <w:r>
              <w:rPr>
                <w:rFonts w:ascii="Times New Roman" w:hAnsi="Times New Roman" w:eastAsia="Calibri" w:cs="Times New Roman"/>
              </w:rPr>
              <w:t>Área detalhada: 0114 – Formação de professores em áreas específicas (exceto Letras)</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Calibri" w:cs="Times New Roman"/>
                <w:b/>
              </w:rPr>
              <w:t>Rótulo: 0114H01 – História formação de professor</w:t>
            </w:r>
          </w:p>
        </w:tc>
      </w:tr>
    </w:tbl>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Calibri" w:cs="Times New Roman"/>
        </w:rPr>
      </w:pPr>
    </w:p>
    <w:p>
      <w:pPr>
        <w:pBdr>
          <w:top w:val="none" w:color="auto" w:sz="0" w:space="0"/>
          <w:left w:val="none" w:color="auto" w:sz="0" w:space="0"/>
          <w:bottom w:val="none" w:color="auto" w:sz="0" w:space="0"/>
          <w:right w:val="none" w:color="auto" w:sz="0" w:space="0"/>
          <w:between w:val="none" w:color="auto" w:sz="0" w:space="0"/>
        </w:pBdr>
        <w:spacing w:after="140" w:line="360" w:lineRule="auto"/>
        <w:ind w:left="0" w:leftChars="0" w:firstLine="720" w:firstLineChars="0"/>
        <w:jc w:val="both"/>
        <w:rPr>
          <w:rFonts w:ascii="Times New Roman" w:hAnsi="Times New Roman" w:eastAsia="Calibri" w:cs="Times New Roman"/>
        </w:rPr>
      </w:pPr>
      <w:r>
        <w:rPr>
          <w:rFonts w:ascii="Times New Roman" w:hAnsi="Times New Roman" w:eastAsia="Calibri" w:cs="Times New Roman"/>
        </w:rPr>
        <w:t>O ingresso no curso de História da UFOP ocorre por meio de processos seletivos de caráter público, sendo eles: 3 Sistema de Seleção Unificada (Sisu): considerado a principal forma de ingresso na UFOP, utiliza o sistema informatizado do Ministério da Educação, por meio do qual as instituições públicas de ensino superior oferecem vagas a candidatos(as) participantes do Exame Nacional do Ensino Médio (Enem). O processo seletivo ocorre semestralmente e a universidade adota política de ação afirmativa que destina cinquenta por cento das vagas aos(as) egressos(as) de escolas públicas. A política de cotas engloba, ainda, a reserva de vagas a estudantes que, além de terem estudado em escolas públicas, apresentam baixo nível socioeconômico; algum tipo de deficiência e se autodeclaram pretos(as) e pardos(as).</w:t>
      </w:r>
    </w:p>
    <w:p>
      <w:pPr>
        <w:pBdr>
          <w:top w:val="none" w:color="auto" w:sz="0" w:space="0"/>
          <w:left w:val="none" w:color="auto" w:sz="0" w:space="0"/>
          <w:bottom w:val="none" w:color="auto" w:sz="0" w:space="0"/>
          <w:right w:val="none" w:color="auto" w:sz="0" w:space="0"/>
          <w:between w:val="none" w:color="auto" w:sz="0" w:space="0"/>
        </w:pBdr>
        <w:spacing w:after="140" w:line="360" w:lineRule="auto"/>
        <w:ind w:left="0" w:hanging="2"/>
        <w:jc w:val="both"/>
        <w:rPr>
          <w:rFonts w:ascii="Times New Roman" w:hAnsi="Times New Roman" w:eastAsia="Calibri" w:cs="Times New Roman"/>
        </w:rPr>
      </w:pPr>
      <w:r>
        <w:rPr>
          <w:rFonts w:ascii="Times New Roman" w:hAnsi="Times New Roman" w:eastAsia="Calibri" w:cs="Times New Roman"/>
        </w:rPr>
        <w:t xml:space="preserve">• Processo seletivo de reopção de curso, reingresso, transferência e portador de diploma de graduação: processo por meio do qual são ofertadas as vagas remanescentes geradas especialmente pelas evasões ocorridas nos diferentes cursos. </w:t>
      </w:r>
    </w:p>
    <w:p>
      <w:pPr>
        <w:pBdr>
          <w:top w:val="none" w:color="auto" w:sz="0" w:space="0"/>
          <w:left w:val="none" w:color="auto" w:sz="0" w:space="0"/>
          <w:bottom w:val="none" w:color="auto" w:sz="0" w:space="0"/>
          <w:right w:val="none" w:color="auto" w:sz="0" w:space="0"/>
          <w:between w:val="none" w:color="auto" w:sz="0" w:space="0"/>
        </w:pBdr>
        <w:spacing w:after="140" w:line="360" w:lineRule="auto"/>
        <w:ind w:left="0" w:hanging="2"/>
        <w:jc w:val="both"/>
        <w:rPr>
          <w:rFonts w:ascii="Times New Roman" w:hAnsi="Times New Roman" w:eastAsia="Calibri" w:cs="Times New Roman"/>
        </w:rPr>
      </w:pPr>
      <w:r>
        <w:rPr>
          <w:rFonts w:ascii="Times New Roman" w:hAnsi="Times New Roman" w:eastAsia="Calibri" w:cs="Times New Roman"/>
        </w:rPr>
        <w:t xml:space="preserve">• Reopção: destinada a estudantes da UFOP que queiram mudar de curso; </w:t>
      </w:r>
    </w:p>
    <w:p>
      <w:pPr>
        <w:pBdr>
          <w:top w:val="none" w:color="auto" w:sz="0" w:space="0"/>
          <w:left w:val="none" w:color="auto" w:sz="0" w:space="0"/>
          <w:bottom w:val="none" w:color="auto" w:sz="0" w:space="0"/>
          <w:right w:val="none" w:color="auto" w:sz="0" w:space="0"/>
          <w:between w:val="none" w:color="auto" w:sz="0" w:space="0"/>
        </w:pBdr>
        <w:spacing w:after="140" w:line="360" w:lineRule="auto"/>
        <w:ind w:left="0" w:hanging="2"/>
        <w:jc w:val="both"/>
        <w:rPr>
          <w:rFonts w:ascii="Times New Roman" w:hAnsi="Times New Roman" w:eastAsia="Calibri" w:cs="Times New Roman"/>
        </w:rPr>
      </w:pPr>
      <w:r>
        <w:rPr>
          <w:rFonts w:ascii="Times New Roman" w:hAnsi="Times New Roman" w:eastAsia="Calibri" w:cs="Times New Roman"/>
        </w:rPr>
        <w:t xml:space="preserve">• Reingresso: destinado a estudantes da UFOP que tenham abandonado o seu curso; </w:t>
      </w:r>
    </w:p>
    <w:p>
      <w:pPr>
        <w:pBdr>
          <w:top w:val="none" w:color="auto" w:sz="0" w:space="0"/>
          <w:left w:val="none" w:color="auto" w:sz="0" w:space="0"/>
          <w:bottom w:val="none" w:color="auto" w:sz="0" w:space="0"/>
          <w:right w:val="none" w:color="auto" w:sz="0" w:space="0"/>
          <w:between w:val="none" w:color="auto" w:sz="0" w:space="0"/>
        </w:pBdr>
        <w:spacing w:after="140" w:line="360" w:lineRule="auto"/>
        <w:ind w:left="0" w:hanging="2"/>
        <w:jc w:val="both"/>
        <w:rPr>
          <w:rFonts w:ascii="Times New Roman" w:hAnsi="Times New Roman" w:eastAsia="Calibri" w:cs="Times New Roman"/>
        </w:rPr>
      </w:pPr>
      <w:r>
        <w:rPr>
          <w:rFonts w:ascii="Times New Roman" w:hAnsi="Times New Roman" w:eastAsia="Calibri" w:cs="Times New Roman"/>
        </w:rPr>
        <w:t xml:space="preserve">• Transferência: destinada a estudantes de outras instituições de ensino superior que queiram se transferir para a UFOP; </w:t>
      </w:r>
    </w:p>
    <w:p>
      <w:pPr>
        <w:pBdr>
          <w:top w:val="none" w:color="auto" w:sz="0" w:space="0"/>
          <w:left w:val="none" w:color="auto" w:sz="0" w:space="0"/>
          <w:bottom w:val="none" w:color="auto" w:sz="0" w:space="0"/>
          <w:right w:val="none" w:color="auto" w:sz="0" w:space="0"/>
          <w:between w:val="none" w:color="auto" w:sz="0" w:space="0"/>
        </w:pBdr>
        <w:spacing w:after="140" w:line="360" w:lineRule="auto"/>
        <w:ind w:left="0" w:hanging="2"/>
        <w:jc w:val="both"/>
        <w:rPr>
          <w:rFonts w:ascii="Times New Roman" w:hAnsi="Times New Roman" w:eastAsia="Calibri" w:cs="Times New Roman"/>
        </w:rPr>
      </w:pPr>
      <w:r>
        <w:rPr>
          <w:rFonts w:ascii="Times New Roman" w:hAnsi="Times New Roman" w:eastAsia="Calibri" w:cs="Times New Roman"/>
        </w:rPr>
        <w:t xml:space="preserve">• Portador de diploma de graduação: destinado a candidatos(as) que queiram cursar uma nova graduação na UFOP. Outras formas de ingresso: </w:t>
      </w:r>
    </w:p>
    <w:p>
      <w:pPr>
        <w:pBdr>
          <w:top w:val="none" w:color="auto" w:sz="0" w:space="0"/>
          <w:left w:val="none" w:color="auto" w:sz="0" w:space="0"/>
          <w:bottom w:val="none" w:color="auto" w:sz="0" w:space="0"/>
          <w:right w:val="none" w:color="auto" w:sz="0" w:space="0"/>
          <w:between w:val="none" w:color="auto" w:sz="0" w:space="0"/>
        </w:pBdr>
        <w:spacing w:after="140" w:line="360" w:lineRule="auto"/>
        <w:ind w:left="0" w:hanging="2"/>
        <w:jc w:val="both"/>
        <w:rPr>
          <w:rFonts w:ascii="Times New Roman" w:hAnsi="Times New Roman" w:eastAsia="Calibri" w:cs="Times New Roman"/>
        </w:rPr>
      </w:pPr>
      <w:r>
        <w:rPr>
          <w:rFonts w:ascii="Times New Roman" w:hAnsi="Times New Roman" w:eastAsia="Calibri" w:cs="Times New Roman"/>
        </w:rPr>
        <w:t xml:space="preserve">• Estudante Convênio PEC-G: o ingresso é realizado por meio do Programa de Estudantes-Convênio de Graduação, que objetiva a formação de recursos humanos, possibilitando a cidadãos(ãs) de países com os quais o Brasil mantém acordos educacionais ou culturais realizarem estudos em nível de graduação nas instituições de ensino superior brasileiras; </w:t>
      </w:r>
    </w:p>
    <w:p>
      <w:pPr>
        <w:pBdr>
          <w:top w:val="none" w:color="auto" w:sz="0" w:space="0"/>
          <w:left w:val="none" w:color="auto" w:sz="0" w:space="0"/>
          <w:bottom w:val="none" w:color="auto" w:sz="0" w:space="0"/>
          <w:right w:val="none" w:color="auto" w:sz="0" w:space="0"/>
          <w:between w:val="none" w:color="auto" w:sz="0" w:space="0"/>
        </w:pBdr>
        <w:spacing w:after="140" w:line="360" w:lineRule="auto"/>
        <w:ind w:left="0" w:hanging="2"/>
        <w:jc w:val="both"/>
        <w:rPr>
          <w:rFonts w:ascii="Times New Roman" w:hAnsi="Times New Roman" w:eastAsia="Calibri" w:cs="Times New Roman"/>
        </w:rPr>
      </w:pPr>
      <w:r>
        <w:rPr>
          <w:rFonts w:ascii="Times New Roman" w:hAnsi="Times New Roman" w:eastAsia="Calibri" w:cs="Times New Roman"/>
        </w:rPr>
        <w:t xml:space="preserve">• Acordos de Dupla Diplomação ou Mobilidade Acadêmica Internacional: o ingresso de estudantes estrangeiros é realizado mediante acordo firmado com as suas instituições de origem para oferta de duplo diploma ou Mobilidade Acadêmica; </w:t>
      </w:r>
    </w:p>
    <w:p>
      <w:pPr>
        <w:pBdr>
          <w:top w:val="none" w:color="auto" w:sz="0" w:space="0"/>
          <w:left w:val="none" w:color="auto" w:sz="0" w:space="0"/>
          <w:bottom w:val="none" w:color="auto" w:sz="0" w:space="0"/>
          <w:right w:val="none" w:color="auto" w:sz="0" w:space="0"/>
          <w:between w:val="none" w:color="auto" w:sz="0" w:space="0"/>
        </w:pBdr>
        <w:spacing w:after="140" w:line="360" w:lineRule="auto"/>
        <w:ind w:left="0" w:hanging="2"/>
        <w:jc w:val="both"/>
        <w:rPr>
          <w:rFonts w:ascii="Times New Roman" w:hAnsi="Times New Roman" w:eastAsia="Calibri" w:cs="Times New Roman"/>
        </w:rPr>
      </w:pPr>
      <w:r>
        <w:rPr>
          <w:rFonts w:ascii="Times New Roman" w:hAnsi="Times New Roman" w:eastAsia="Calibri" w:cs="Times New Roman"/>
        </w:rPr>
        <w:t xml:space="preserve">• Mobilidade Acadêmica Nacional: o ingresso do(a) estudante é feito por meio do Convênio ANDIFES de Mobilidade Acadêmica Nacional, criado em 2003 através de acordo celebrado pelas IFES de todo o país; </w:t>
      </w:r>
    </w:p>
    <w:p>
      <w:pPr>
        <w:pBdr>
          <w:top w:val="none" w:color="auto" w:sz="0" w:space="0"/>
          <w:left w:val="none" w:color="auto" w:sz="0" w:space="0"/>
          <w:bottom w:val="none" w:color="auto" w:sz="0" w:space="0"/>
          <w:right w:val="none" w:color="auto" w:sz="0" w:space="0"/>
          <w:between w:val="none" w:color="auto" w:sz="0" w:space="0"/>
        </w:pBdr>
        <w:spacing w:after="140" w:line="360" w:lineRule="auto"/>
        <w:ind w:left="0" w:hanging="2"/>
        <w:jc w:val="both"/>
        <w:rPr>
          <w:rFonts w:ascii="Times New Roman" w:hAnsi="Times New Roman" w:eastAsia="Calibri" w:cs="Times New Roman"/>
        </w:rPr>
      </w:pPr>
      <w:r>
        <w:rPr>
          <w:rFonts w:ascii="Times New Roman" w:hAnsi="Times New Roman" w:eastAsia="Calibri" w:cs="Times New Roman"/>
        </w:rPr>
        <w:t xml:space="preserve">• Transferência ex officio: regulamentado pela Lei nº 9.536, de 11 de dezembro de 1997. </w:t>
      </w:r>
    </w:p>
    <w:p>
      <w:pPr>
        <w:pBdr>
          <w:top w:val="none" w:color="auto" w:sz="0" w:space="0"/>
          <w:left w:val="none" w:color="auto" w:sz="0" w:space="0"/>
          <w:bottom w:val="none" w:color="auto" w:sz="0" w:space="0"/>
          <w:right w:val="none" w:color="auto" w:sz="0" w:space="0"/>
          <w:between w:val="none" w:color="auto" w:sz="0" w:space="0"/>
        </w:pBdr>
        <w:spacing w:after="140" w:line="360" w:lineRule="auto"/>
        <w:ind w:left="0" w:hanging="2"/>
        <w:jc w:val="both"/>
        <w:rPr>
          <w:rFonts w:ascii="Times New Roman" w:hAnsi="Times New Roman" w:eastAsia="Calibri" w:cs="Times New Roman"/>
        </w:rPr>
      </w:pPr>
    </w:p>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Liberation Serif" w:cs="Times New Roman"/>
          <w:color w:val="000000"/>
        </w:rPr>
      </w:pPr>
      <w:r>
        <w:rPr>
          <w:rFonts w:ascii="Times New Roman" w:hAnsi="Times New Roman" w:eastAsia="Calibri" w:cs="Times New Roman"/>
          <w:b/>
          <w:color w:val="000000"/>
        </w:rPr>
        <w:t>Contextualização da Instituição</w:t>
      </w:r>
    </w:p>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720" w:firstLineChars="0"/>
        <w:jc w:val="both"/>
        <w:rPr>
          <w:rFonts w:ascii="Times New Roman" w:hAnsi="Times New Roman" w:eastAsia="Liberation Serif" w:cs="Times New Roman"/>
          <w:color w:val="000000"/>
        </w:rPr>
      </w:pPr>
      <w:r>
        <w:rPr>
          <w:rFonts w:ascii="Times New Roman" w:hAnsi="Times New Roman" w:eastAsia="Calibri" w:cs="Times New Roman"/>
          <w:color w:val="000000"/>
        </w:rPr>
        <w:t>A Universidade Federal de Ouro Preto (UFOP) foi instituída pelo Decreto-Lei nº 778, de 21 de agosto de 1969. Suas origens, contudo, remontam ao século XIX, quando da criação de suas primeiras unidades. Nesse sentido, a UFOP conjuga, em sua história, e manifesta, em seu perfil institucional, tradição, modernidade e inovação</w:t>
      </w:r>
      <w:r>
        <w:rPr>
          <w:rFonts w:ascii="Times New Roman" w:hAnsi="Times New Roman" w:eastAsia="Calibri" w:cs="Times New Roman"/>
          <w:color w:val="000000"/>
          <w:vertAlign w:val="superscript"/>
        </w:rPr>
        <w:footnoteReference w:id="4"/>
      </w:r>
      <w:r>
        <w:rPr>
          <w:rFonts w:ascii="Times New Roman" w:hAnsi="Times New Roman" w:eastAsia="Calibri" w:cs="Times New Roman"/>
          <w:color w:val="000000"/>
        </w:rPr>
        <w:t>. Sua instituição, no final dos anos sessenta, se inscreve no movimento de renovação do Ensino Superior, cuja agenda havia mobilizado intelectuais, professores, estudantes e autoridades públicas do país nas décadas de 1950 e 1960, tendo sido, em grande parte, incorporada pela Reforma Universitária implantada em 1968</w:t>
      </w:r>
      <w:r>
        <w:rPr>
          <w:rFonts w:ascii="Times New Roman" w:hAnsi="Times New Roman" w:eastAsia="Calibri" w:cs="Times New Roman"/>
          <w:color w:val="000000"/>
          <w:vertAlign w:val="superscript"/>
        </w:rPr>
        <w:footnoteReference w:id="5"/>
      </w:r>
      <w:r>
        <w:rPr>
          <w:rFonts w:ascii="Times New Roman" w:hAnsi="Times New Roman" w:eastAsia="Calibri" w:cs="Times New Roman"/>
          <w:color w:val="000000"/>
        </w:rPr>
        <w:t>. Ainda em dezembro deste ano, a reunião conjunta das Congregações da Escola Minas (fundada em 1876) e da Escola de Farmácia e Bioquímica (criada em 1839) homologava o anteprojeto de criação de uma Universidade Federal em Ouro Preto, cuja redação final agregava, às duas unidades existentes, uma Escola de Odontologia e cinco institutos: de Matemática, de Física e Química, de Ciências Geológicas, de Ciências Biológicas, e de Ciências Humanas e Sociais, devendo o último ser instalado na cidade de Mariana</w:t>
      </w:r>
      <w:r>
        <w:rPr>
          <w:rFonts w:ascii="Times New Roman" w:hAnsi="Times New Roman" w:eastAsia="Calibri" w:cs="Times New Roman"/>
          <w:color w:val="000000"/>
          <w:vertAlign w:val="superscript"/>
        </w:rPr>
        <w:footnoteReference w:id="6"/>
      </w:r>
      <w:r>
        <w:rPr>
          <w:rFonts w:ascii="Times New Roman" w:hAnsi="Times New Roman" w:eastAsia="Calibri" w:cs="Times New Roman"/>
          <w:color w:val="000000"/>
        </w:rPr>
        <w:t>. A Pós-Graduação foi estabelecida logo após a instalação da Universidade, com a criação do Curso de Aperfeiçoamento em Geologia Econômica (1972).</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720" w:firstLineChars="0"/>
        <w:jc w:val="both"/>
        <w:rPr>
          <w:rFonts w:ascii="Times New Roman" w:hAnsi="Times New Roman" w:eastAsia="Liberation Serif" w:cs="Times New Roman"/>
          <w:color w:val="000000"/>
        </w:rPr>
      </w:pPr>
      <w:r>
        <w:rPr>
          <w:rFonts w:ascii="Times New Roman" w:hAnsi="Times New Roman" w:eastAsia="Calibri" w:cs="Times New Roman"/>
          <w:color w:val="000000"/>
        </w:rPr>
        <w:t>Os novos institutos e cursos seriam efetivamente implementados somente a partir da década seguinte, com a criação do curso de Nutrição, em 1978, e a incorporação, em 1979, do curso de formação de professores da Faculdade de Filosofia e Letras da cidade de Mariana, ligada à Universidade Católica de Minas Gerais, origem do Instituto de Ciências Humanas e Sociais (ICHS). Neste, em 1980, instalou-se o curso de Letras e, em 1981, o de História.</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720" w:firstLineChars="0"/>
        <w:jc w:val="both"/>
        <w:rPr>
          <w:rFonts w:ascii="Times New Roman" w:hAnsi="Times New Roman" w:eastAsia="Liberation Serif" w:cs="Times New Roman"/>
          <w:color w:val="000000"/>
        </w:rPr>
      </w:pPr>
      <w:r>
        <w:rPr>
          <w:rFonts w:ascii="Times New Roman" w:hAnsi="Times New Roman" w:eastAsia="Calibri" w:cs="Times New Roman"/>
          <w:color w:val="000000"/>
        </w:rPr>
        <w:t xml:space="preserve">No período compreendido entre as décadas de 1980 e 1990, foram criados dois institutos — o Instituto de Artes e Cultura, origem do posterior Instituto de Filosofia, Arte e Cultura, e o Instituto de Ciências Exatas e Biológicas —, o Centro de Educação Aberta e a Distância, a Escola de Nutrição e outros 13 cursos de graduação: Ciência da Computação, Direito, Filosofia, Artes Cênicas, Ciências Biológicas, Engenharia de Produção, Matemática, Música, Física, Química Industrial, Engenharia Ambiental, Engenharia de Controle e Automação e Turismo. Assim, ampliou-se significativamente a oferta das áreas de formação acadêmica. Paralelamente, foram criados vários cursos e programas de pós-graduação: Geologia de Reservatórios de Hidrocarbonetos, Evolução Crustal e Recursos Naturais, Engenharia Civil, Ciências Biológicas, Engenharia de Materiais e Engenharia Mineral.  </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720" w:firstLineChars="0"/>
        <w:jc w:val="both"/>
        <w:rPr>
          <w:rFonts w:ascii="Times New Roman" w:hAnsi="Times New Roman" w:eastAsia="Liberation Serif" w:cs="Times New Roman"/>
          <w:color w:val="000000"/>
        </w:rPr>
      </w:pPr>
      <w:r>
        <w:rPr>
          <w:rFonts w:ascii="Times New Roman" w:hAnsi="Times New Roman" w:eastAsia="Calibri" w:cs="Times New Roman"/>
          <w:color w:val="000000"/>
        </w:rPr>
        <w:t>Movimento semelhante ocorreu nos anos 2000, quando foi criado o campus avançado de João Monlevade — o Instituto de Ciências Exatas e Aplicadas —, com 3 cursos (Engenharia de Produção, em 2002; Engenharia de Computação e Engenharia Elétrica, em 2009), o Instituto de Ciências Sociais Aplicadas, sediado em Mariana, assim como 19 novos cursos de graduação (Sistemas de Informação, Medicina, Matemática - modalidade à distância, Administração, Arquitetura e Urbanismo, Ciências Econômicas, Educação Física, Estatística, Jornalismo, Museologia, Pedagogia, Química, Serviço Social, Ciência e Tecnologia dos Alimentos, Engenharia Mecânica, Pedagogia e Administração Pública — ambos na modalidade à distância —, além da Licenciatura em Física). O mesmo período testemunhou o crescimento dos programas de pós-graduação em diferentes campos, como em Engenharia Ambiental, Engenharia Geotécnica, Filosofia, Ecologia de Biomas, Ciências Farmacêuticas, História, Engenharia das Construções, Geotecnia, Educação Matemática, Sustentabilidade Socioambiental, Biotecnologia, Ciência da Computação, Letras, e Saúde e Nutrição.</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720" w:firstLineChars="0"/>
        <w:jc w:val="both"/>
        <w:rPr>
          <w:rFonts w:ascii="Times New Roman" w:hAnsi="Times New Roman" w:eastAsia="Liberation Serif" w:cs="Times New Roman"/>
          <w:color w:val="000000"/>
        </w:rPr>
      </w:pPr>
      <w:r>
        <w:rPr>
          <w:rFonts w:ascii="Times New Roman" w:hAnsi="Times New Roman" w:eastAsia="Calibri" w:cs="Times New Roman"/>
          <w:color w:val="000000"/>
        </w:rPr>
        <w:t xml:space="preserve">Na presente década, observa-se a criação de dois cursos de graduação (Geografia - modalidade à distância e Engenharia Urbana), bem como de 14 novos programas e cursos de pós-graduação: Educação, Ciências, Nanotecnologia Farmacêutica (em rede), Ensino de Ciências, Artes Cênicas, Química, Comunicação, Mestrado Profissional de Matemática (em rede nacional), Economia Aplicada, Instrumentação, Controle e Automação de Processos de Mineração (ITV), Direito, Engenharia de Produção, Engenharia Mecânica e Saúde Coletiva (em rede).       </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720" w:firstLineChars="0"/>
        <w:jc w:val="both"/>
        <w:rPr>
          <w:rFonts w:ascii="Times New Roman" w:hAnsi="Times New Roman" w:eastAsia="Liberation Serif" w:cs="Times New Roman"/>
          <w:color w:val="000000"/>
        </w:rPr>
      </w:pPr>
      <w:r>
        <w:rPr>
          <w:rFonts w:ascii="Times New Roman" w:hAnsi="Times New Roman" w:eastAsia="Calibri" w:cs="Times New Roman"/>
          <w:color w:val="000000"/>
        </w:rPr>
        <w:t>Em suma, hoje, a UFOP é uma instituição multicampi e se encontra presente em três cidades — Ouro Preto, Mariana e João Monlevade — mantendo cursos presenciais que cobrem as diversas áreas do conhecimento científico (GGP/CNPq). A partir do ano 2000, por intermédio do Centro de Educação Aberta e a Distância (Cead), a Universidade Federal de Ouro Preto passou a atuar também na modalidade de Ensino a Distância (EAD) em quatro cursos de graduação e sete de pós-graduação, atendendo aos estados de Minas Gerais, São Paulo, Bahia e Espírito Santo, em 36 cidades-polo.</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720" w:firstLineChars="0"/>
        <w:jc w:val="both"/>
        <w:rPr>
          <w:rFonts w:ascii="Times New Roman" w:hAnsi="Times New Roman" w:eastAsia="Liberation Serif" w:cs="Times New Roman"/>
          <w:color w:val="000000"/>
        </w:rPr>
      </w:pPr>
      <w:r>
        <w:rPr>
          <w:rFonts w:ascii="Times New Roman" w:hAnsi="Times New Roman" w:eastAsia="Calibri" w:cs="Times New Roman"/>
          <w:color w:val="000000"/>
        </w:rPr>
        <w:t>Dados referentes aos anos de 2021 apontam para a oferta de 5</w:t>
      </w:r>
      <w:r>
        <w:rPr>
          <w:rFonts w:ascii="Times New Roman" w:hAnsi="Times New Roman" w:eastAsia="Calibri" w:cs="Times New Roman"/>
        </w:rPr>
        <w:t>6</w:t>
      </w:r>
      <w:r>
        <w:rPr>
          <w:rFonts w:ascii="Times New Roman" w:hAnsi="Times New Roman" w:eastAsia="Calibri" w:cs="Times New Roman"/>
          <w:color w:val="000000"/>
        </w:rPr>
        <w:t xml:space="preserve"> cursos de graduação, 5</w:t>
      </w:r>
      <w:r>
        <w:rPr>
          <w:rFonts w:ascii="Times New Roman" w:hAnsi="Times New Roman" w:eastAsia="Calibri" w:cs="Times New Roman"/>
        </w:rPr>
        <w:t>2</w:t>
      </w:r>
      <w:r>
        <w:rPr>
          <w:rFonts w:ascii="Times New Roman" w:hAnsi="Times New Roman" w:eastAsia="Calibri" w:cs="Times New Roman"/>
          <w:color w:val="000000"/>
        </w:rPr>
        <w:t xml:space="preserve"> deles na modalidade presencial, nas seguintes unidades acadêmicas: Escola de Educação Física (EEF), Escola de Direito, Turismo e Museologia (EDTM/UFOP), Escola de Farmácia (Efar), Escola de Minas (EM), Escola de Medicina (Emed), Escola de Nutrição (Enut), Instituto de Ciências Exatas e Biológicas (Iceb), Instituto de Filosofia, Arte e Cultura (Ifac), Instituto de Ciências Humanas e Sociais (ICHS), Instituto de Ciências Sociais Aplicadas (Icsa) e Instituto de Ciências Exatas e Aplicadas (Icea). A pós-graduação, integrada por cursos de especialização, mestrado profissional, mestrado acadêmico e doutorado, conta com 34 programas associados às diferentes áreas e responsáveis pela oferta de 47 cursos </w:t>
      </w:r>
      <w:r>
        <w:rPr>
          <w:rFonts w:ascii="Times New Roman" w:hAnsi="Times New Roman" w:eastAsia="Calibri" w:cs="Times New Roman"/>
          <w:i/>
          <w:color w:val="000000"/>
        </w:rPr>
        <w:t>stricto sensu</w:t>
      </w:r>
      <w:r>
        <w:rPr>
          <w:rFonts w:ascii="Times New Roman" w:hAnsi="Times New Roman" w:eastAsia="Calibri" w:cs="Times New Roman"/>
          <w:color w:val="000000"/>
        </w:rPr>
        <w:t>, aos quais somam-se 7 cursos ofertados na modalidade a distância (EAD).</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720" w:firstLineChars="0"/>
        <w:jc w:val="both"/>
        <w:rPr>
          <w:rFonts w:ascii="Times New Roman" w:hAnsi="Times New Roman" w:eastAsia="Liberation Serif" w:cs="Times New Roman"/>
          <w:color w:val="000000"/>
        </w:rPr>
      </w:pPr>
      <w:r>
        <w:rPr>
          <w:rFonts w:ascii="Times New Roman" w:hAnsi="Times New Roman" w:eastAsia="Calibri" w:cs="Times New Roman"/>
          <w:color w:val="000000"/>
        </w:rPr>
        <w:t>No que se refere aos recursos humanos, a UFOP conta com a atuação de 99</w:t>
      </w:r>
      <w:r>
        <w:rPr>
          <w:rFonts w:ascii="Times New Roman" w:hAnsi="Times New Roman" w:eastAsia="Calibri" w:cs="Times New Roman"/>
        </w:rPr>
        <w:t>4</w:t>
      </w:r>
      <w:r>
        <w:rPr>
          <w:rFonts w:ascii="Times New Roman" w:hAnsi="Times New Roman" w:eastAsia="Calibri" w:cs="Times New Roman"/>
          <w:color w:val="000000"/>
        </w:rPr>
        <w:t xml:space="preserve"> professores e </w:t>
      </w:r>
      <w:r>
        <w:rPr>
          <w:rFonts w:ascii="Times New Roman" w:hAnsi="Times New Roman" w:eastAsia="Calibri" w:cs="Times New Roman"/>
        </w:rPr>
        <w:t>696</w:t>
      </w:r>
      <w:r>
        <w:rPr>
          <w:rFonts w:ascii="Times New Roman" w:hAnsi="Times New Roman" w:eastAsia="Calibri" w:cs="Times New Roman"/>
          <w:color w:val="000000"/>
        </w:rPr>
        <w:t xml:space="preserve"> servidores técnico-administrativos. A Universidade também gera aproximadamente </w:t>
      </w:r>
      <w:r>
        <w:rPr>
          <w:rFonts w:ascii="Times New Roman" w:hAnsi="Times New Roman" w:eastAsia="Calibri" w:cs="Times New Roman"/>
        </w:rPr>
        <w:t>598</w:t>
      </w:r>
      <w:r>
        <w:rPr>
          <w:rFonts w:ascii="Times New Roman" w:hAnsi="Times New Roman" w:eastAsia="Calibri" w:cs="Times New Roman"/>
          <w:color w:val="000000"/>
        </w:rPr>
        <w:t xml:space="preserve"> empregos terceirizados. Esse conjunto de servidores atende cerca de 1</w:t>
      </w:r>
      <w:r>
        <w:rPr>
          <w:rFonts w:ascii="Times New Roman" w:hAnsi="Times New Roman" w:eastAsia="Calibri" w:cs="Times New Roman"/>
        </w:rPr>
        <w:t>2.429</w:t>
      </w:r>
      <w:r>
        <w:rPr>
          <w:rFonts w:ascii="Times New Roman" w:hAnsi="Times New Roman" w:eastAsia="Calibri" w:cs="Times New Roman"/>
          <w:color w:val="000000"/>
        </w:rPr>
        <w:t xml:space="preserve"> estudantes, dos quais </w:t>
      </w:r>
      <w:r>
        <w:rPr>
          <w:rFonts w:ascii="Times New Roman" w:hAnsi="Times New Roman" w:eastAsia="Calibri" w:cs="Times New Roman"/>
        </w:rPr>
        <w:t>11. 848</w:t>
      </w:r>
      <w:r>
        <w:rPr>
          <w:rFonts w:ascii="Times New Roman" w:hAnsi="Times New Roman" w:eastAsia="Calibri" w:cs="Times New Roman"/>
          <w:color w:val="000000"/>
        </w:rPr>
        <w:t xml:space="preserve"> cursam a graduação presencial em 2022</w:t>
      </w:r>
      <w:r>
        <w:rPr>
          <w:rFonts w:ascii="Times New Roman" w:hAnsi="Times New Roman" w:eastAsia="Calibri" w:cs="Times New Roman"/>
          <w:color w:val="000000"/>
          <w:vertAlign w:val="superscript"/>
        </w:rPr>
        <w:footnoteReference w:id="7"/>
      </w:r>
      <w:r>
        <w:rPr>
          <w:rFonts w:ascii="Times New Roman" w:hAnsi="Times New Roman" w:eastAsia="Calibri" w:cs="Times New Roman"/>
          <w:color w:val="000000"/>
        </w:rPr>
        <w:t>. A análise do perfil dos alunos da graduação revela que 64,1% deles são oriundos da escola pública. No seu conjunto, o corpo discente foi contemplado com 1.073 bolsas no ano de 2018, abrangendo iniciação científica, mestrado e doutorado. As bolsas de Apoio ao Ensino somaram 4.656, abrangendo tutoria, monitoria, o Programa Pró-Ativa e o Programa de Apoio a Eventos. No âmbito das ações extensionistas, foram 590 bolsas aplicadas em 273 projetos associados a 44 programas. Além das bolsas, os estudantes contam também com oportunidades de parcerias e de mobilidade acadêmica, estando vigente, no ano de 2019, o total de 76 convênios, firmados com 23 países.</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720" w:firstLineChars="0"/>
        <w:jc w:val="both"/>
        <w:rPr>
          <w:rFonts w:ascii="Times New Roman" w:hAnsi="Times New Roman" w:eastAsia="Liberation Serif" w:cs="Times New Roman"/>
          <w:color w:val="000000"/>
        </w:rPr>
      </w:pPr>
      <w:r>
        <w:rPr>
          <w:rFonts w:ascii="Times New Roman" w:hAnsi="Times New Roman" w:eastAsia="Calibri" w:cs="Times New Roman"/>
          <w:color w:val="000000"/>
        </w:rPr>
        <w:t>O gerenciamento do patrimônio humano e material da Universidade estrutura-se conforme o Estatuto da UFOP, aprovado em sessão realizada no dia 11 de novembro de 1997. Nele, define-se a organização administrativa, composta por três conselhos superiores: Conselho Universitário (Cuni), Conselho de Ensino, Pesquisa e Extensão (Cepe) e Conselho de Curadores (Conc). O Conselho Universitário (Cuni) se caracteriza como o órgão máximo deliberativo e normativo, ao qual compete definir as diretrizes da política universitária. É presidido pelo(a) reitor(a), sendo composto por representantes de todos os segmentos da Universidade e da comunidade externa. O Conselho de Ensino, Pesquisa e Extensão (Cepe) é um órgão superior de deliberação sobre as matérias que lhe competem; também presidido pelo(a) reitor(a), é composto pelo(a) vice-reitor(a), pró-reitores, diretores das unidades acadêmicas e representantes discentes e docentes. O Conselho de Curadores (Conc) é um órgão deliberativo e consultivo em matéria de fiscalização econômica e financeira, compondo-se pelo(a) reitor(a) e por representantes de instâncias externas à UFOP, entre os quais estão os do Ministério da Educação, do Ministério de Minas e Energia, do Ministério da Saúde, do Governo do Estado de Minas Gerais e da comunidade, indicado pela Câmara Municipal de Ouro Preto</w:t>
      </w:r>
      <w:r>
        <w:rPr>
          <w:rFonts w:ascii="Times New Roman" w:hAnsi="Times New Roman" w:eastAsia="Calibri" w:cs="Times New Roman"/>
          <w:color w:val="000000"/>
          <w:vertAlign w:val="superscript"/>
        </w:rPr>
        <w:footnoteReference w:id="8"/>
      </w:r>
      <w:r>
        <w:rPr>
          <w:rFonts w:ascii="Times New Roman" w:hAnsi="Times New Roman" w:eastAsia="Calibri" w:cs="Times New Roman"/>
          <w:color w:val="000000"/>
        </w:rPr>
        <w:t xml:space="preserve"> (PDI UFOP 2015-2025). Na organização administrativa da UFOP, aos Conselhos Superiores se juntam: 1- a Reitoria e suas unidades administrativas (pró-reitorias, a</w:t>
      </w:r>
      <w:r>
        <w:rPr>
          <w:rFonts w:ascii="Times New Roman" w:hAnsi="Times New Roman" w:eastAsia="Calibri" w:cs="Times New Roman"/>
        </w:rPr>
        <w:t xml:space="preserve"> Diretoria de Assuntos Internacionais</w:t>
      </w:r>
      <w:r>
        <w:rPr>
          <w:rFonts w:ascii="Times New Roman" w:hAnsi="Times New Roman" w:eastAsia="Calibri" w:cs="Times New Roman"/>
          <w:color w:val="000000"/>
        </w:rPr>
        <w:t xml:space="preserve">, a </w:t>
      </w:r>
      <w:r>
        <w:rPr>
          <w:rFonts w:ascii="Times New Roman" w:hAnsi="Times New Roman" w:eastAsia="Calibri" w:cs="Times New Roman"/>
        </w:rPr>
        <w:t>Diretoria de Comunicação Institucional (DCI)</w:t>
      </w:r>
      <w:r>
        <w:rPr>
          <w:rFonts w:ascii="Times New Roman" w:hAnsi="Times New Roman" w:eastAsia="Calibri" w:cs="Times New Roman"/>
          <w:color w:val="000000"/>
        </w:rPr>
        <w:t>, o Núcleo de Tecnologia da Informação  (NTI) e o Sistema de Bibliotecas e Informação (Sisbin); 2- as unidades acadêmicas, no âmbito das quais os órgãos deliberativos e consultivos são as assembleias de departamento, os conselhos departamentais e os colegiados de curso.</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720" w:firstLineChars="0"/>
        <w:jc w:val="both"/>
        <w:rPr>
          <w:rFonts w:ascii="Times New Roman" w:hAnsi="Times New Roman" w:eastAsia="Liberation Serif" w:cs="Times New Roman"/>
          <w:color w:val="000000"/>
        </w:rPr>
      </w:pPr>
      <w:r>
        <w:rPr>
          <w:rFonts w:ascii="Times New Roman" w:hAnsi="Times New Roman" w:eastAsia="Calibri" w:cs="Times New Roman"/>
          <w:color w:val="000000"/>
        </w:rPr>
        <w:t>Nesses 5</w:t>
      </w:r>
      <w:r>
        <w:rPr>
          <w:rFonts w:ascii="Times New Roman" w:hAnsi="Times New Roman" w:eastAsia="Calibri" w:cs="Times New Roman"/>
        </w:rPr>
        <w:t>3</w:t>
      </w:r>
      <w:r>
        <w:rPr>
          <w:rFonts w:ascii="Times New Roman" w:hAnsi="Times New Roman" w:eastAsia="Calibri" w:cs="Times New Roman"/>
          <w:color w:val="000000"/>
        </w:rPr>
        <w:t xml:space="preserve"> anos de história, a Universidade Federal de Ouro Preto buscou sempre se manter em sintonia com as transformações observadas no país e no mundo. Olhando para o futuro, não perdeu de vista a missão e os valores que estiveram na base da sua criação: a um só tempo “se firmar e se afirmar como agente capaz de contribuir para a construção de uma sociedade justa, plural e pautada na sustentabilidade”</w:t>
      </w:r>
      <w:r>
        <w:rPr>
          <w:rFonts w:ascii="Times New Roman" w:hAnsi="Times New Roman" w:eastAsia="Calibri" w:cs="Times New Roman"/>
          <w:color w:val="000000"/>
          <w:vertAlign w:val="superscript"/>
        </w:rPr>
        <w:footnoteReference w:id="9"/>
      </w:r>
      <w:r>
        <w:rPr>
          <w:rFonts w:ascii="Times New Roman" w:hAnsi="Times New Roman" w:eastAsia="Calibri" w:cs="Times New Roman"/>
          <w:color w:val="000000"/>
        </w:rPr>
        <w:t>. A UFOP entende ser sua missão:</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Calibri" w:cs="Times New Roman"/>
          <w:color w:val="000000"/>
        </w:rPr>
      </w:pPr>
    </w:p>
    <w:p>
      <w:pPr>
        <w:ind w:left="569" w:leftChars="0" w:hanging="2" w:firstLineChars="0"/>
        <w:jc w:val="both"/>
        <w:rPr>
          <w:rFonts w:ascii="Times New Roman" w:hAnsi="Times New Roman" w:cs="Times New Roman"/>
        </w:rPr>
      </w:pPr>
      <w:r>
        <w:rPr>
          <w:rFonts w:ascii="Times New Roman" w:hAnsi="Times New Roman" w:eastAsia="Calibri" w:cs="Times New Roman"/>
        </w:rPr>
        <w:t>Produzir e disseminar o conhecimento científico, tecnológico, social, cultural, patrimonial e ambiental, contribuindo para a formação do sujeito como profissional ético, crítico-reflexivo, criativo, empreendedor, humanista e agente de mudança na construção de uma sociedade justa, desenvolvida socioeconomicamente, soberana e democrática</w:t>
      </w:r>
      <w:r>
        <w:rPr>
          <w:rFonts w:ascii="Times New Roman" w:hAnsi="Times New Roman" w:eastAsia="Calibri" w:cs="Times New Roman"/>
          <w:vertAlign w:val="superscript"/>
        </w:rPr>
        <w:footnoteReference w:id="10"/>
      </w:r>
      <w:r>
        <w:rPr>
          <w:rFonts w:ascii="Times New Roman" w:hAnsi="Times New Roman" w:eastAsia="Calibri" w:cs="Times New Roman"/>
        </w:rPr>
        <w:t>.</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567" w:firstLineChars="0"/>
        <w:jc w:val="both"/>
        <w:rPr>
          <w:rFonts w:ascii="Times New Roman" w:hAnsi="Times New Roman" w:eastAsia="Calibri" w:cs="Times New Roman"/>
          <w:color w:val="000000"/>
        </w:rPr>
      </w:pPr>
      <w:r>
        <w:rPr>
          <w:rFonts w:ascii="Times New Roman" w:hAnsi="Times New Roman" w:eastAsia="Calibri" w:cs="Times New Roman"/>
          <w:color w:val="000000"/>
        </w:rPr>
        <w:t>Para atender satisfatoriamente a tal propósito, é fundamental que: “o debate acerca do nosso presente e futuro” seja permanente. Para tanto, “a comunidade deve estar sempre mobilizada para rever metas, avaliar resultados [...] de forma democrática e participativa, respeitando a diversidade”.</w:t>
      </w:r>
      <w:r>
        <w:rPr>
          <w:rFonts w:ascii="Times New Roman" w:hAnsi="Times New Roman" w:eastAsia="Calibri" w:cs="Times New Roman"/>
          <w:color w:val="000000"/>
          <w:vertAlign w:val="superscript"/>
        </w:rPr>
        <w:footnoteReference w:id="11"/>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Liberation Serif" w:cs="Times New Roman"/>
          <w:color w:val="000000"/>
        </w:rPr>
      </w:pPr>
      <w:r>
        <w:rPr>
          <w:rFonts w:ascii="Times New Roman" w:hAnsi="Times New Roman" w:eastAsia="Calibri" w:cs="Times New Roman"/>
          <w:b/>
          <w:color w:val="000000"/>
        </w:rPr>
        <w:t>Contextualização do curso</w:t>
      </w:r>
    </w:p>
    <w:p>
      <w:pPr>
        <w:pBdr>
          <w:top w:val="none" w:color="auto" w:sz="0" w:space="0"/>
          <w:left w:val="none" w:color="auto" w:sz="0" w:space="0"/>
          <w:bottom w:val="none" w:color="auto" w:sz="0" w:space="0"/>
          <w:right w:val="none" w:color="auto" w:sz="0" w:space="0"/>
          <w:between w:val="none" w:color="auto" w:sz="0" w:space="0"/>
        </w:pBdr>
        <w:spacing w:after="140" w:line="360" w:lineRule="auto"/>
        <w:ind w:left="0" w:hanging="2"/>
        <w:jc w:val="both"/>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40"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ab/>
      </w:r>
      <w:r>
        <w:rPr>
          <w:rFonts w:ascii="Times New Roman" w:hAnsi="Times New Roman" w:eastAsia="Calibri" w:cs="Times New Roman"/>
          <w:color w:val="000000"/>
        </w:rPr>
        <w:tab/>
      </w:r>
      <w:r>
        <w:rPr>
          <w:rFonts w:ascii="Times New Roman" w:hAnsi="Times New Roman" w:eastAsia="Calibri" w:cs="Times New Roman"/>
          <w:color w:val="000000"/>
        </w:rPr>
        <w:t>O Curso de História da Universidade Federal de Ouro Preto (UFOP) foi criado pela Resolução nº 16, de 18 de abril de 1980, aprovada pelo Conselho de Ensino, Pesquisa e Extensão, tendo sido instalado no primeiro semestre letivo de 1981. Juntamente com o Curso de Letras e com o Departamento de Educação, o Curso de História comporia a terceira unidade acadêmica da UFOP. A primeira turma de História formou-se em 1985, quatro anos depois do início das suas atividades letivas. Contudo, somente em 18 de fevereiro de 1987, o curso foi reconhecido através da portaria nº 102, expedida pelo Ministério da Educação e publicada no Diário Oficial da União em 20 de fevereiro de 1987.</w:t>
      </w:r>
    </w:p>
    <w:p>
      <w:pPr>
        <w:pBdr>
          <w:top w:val="none" w:color="auto" w:sz="0" w:space="0"/>
          <w:left w:val="none" w:color="auto" w:sz="0" w:space="0"/>
          <w:bottom w:val="none" w:color="auto" w:sz="0" w:space="0"/>
          <w:right w:val="none" w:color="auto" w:sz="0" w:space="0"/>
          <w:between w:val="none" w:color="auto" w:sz="0" w:space="0"/>
        </w:pBdr>
        <w:spacing w:after="140"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ab/>
      </w:r>
      <w:r>
        <w:rPr>
          <w:rFonts w:ascii="Times New Roman" w:hAnsi="Times New Roman" w:eastAsia="Calibri" w:cs="Times New Roman"/>
          <w:color w:val="000000"/>
        </w:rPr>
        <w:tab/>
      </w:r>
      <w:r>
        <w:rPr>
          <w:rFonts w:ascii="Times New Roman" w:hAnsi="Times New Roman" w:eastAsia="Calibri" w:cs="Times New Roman"/>
          <w:color w:val="000000"/>
        </w:rPr>
        <w:t>Antes da constituição do curso universitário, a formação de profissionais na região se restringia a um aprimoramento oferecido pela Universidade Federal de Minas Gerais (UFMG), através do qual se concedia um certificado de habilitação e suficiência para o ensino de História, conforme a regulamentação da lei 4.024, de 20 de dezembro de 1961. Com a criação da Licenciatura em História na Universidade Federal de Ouro Preto, buscou-se responder à necessidade de capacitação de profissionais para o Ensino e a Pesquisa.</w:t>
      </w:r>
    </w:p>
    <w:p>
      <w:pPr>
        <w:pBdr>
          <w:top w:val="none" w:color="auto" w:sz="0" w:space="0"/>
          <w:left w:val="none" w:color="auto" w:sz="0" w:space="0"/>
          <w:bottom w:val="none" w:color="auto" w:sz="0" w:space="0"/>
          <w:right w:val="none" w:color="auto" w:sz="0" w:space="0"/>
          <w:between w:val="none" w:color="auto" w:sz="0" w:space="0"/>
        </w:pBdr>
        <w:spacing w:after="140"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ab/>
      </w:r>
      <w:r>
        <w:rPr>
          <w:rFonts w:ascii="Times New Roman" w:hAnsi="Times New Roman" w:eastAsia="Calibri" w:cs="Times New Roman"/>
          <w:color w:val="000000"/>
        </w:rPr>
        <w:tab/>
      </w:r>
      <w:r>
        <w:rPr>
          <w:rFonts w:ascii="Times New Roman" w:hAnsi="Times New Roman" w:eastAsia="Calibri" w:cs="Times New Roman"/>
          <w:color w:val="000000"/>
        </w:rPr>
        <w:t>Em conformidade com a Circular nº 935/79 do Ministério da Educação, o Curso de História da UFOP priorizou a história regional. Tal decisão se deveu aos vínculos que o curso mantinha com as cidades que se formaram a partir dos antigos termos de Mariana e Vila Rica. Não obstante o peso destas contingências e da importância histórica da região, o curso, ao longo da sua existência, habilitaria mais de um milhar de profissionais, que atuariam em diversas áreas do conhecimento histórico por todo o Brasil. Oferecendo formações em Licenciatura e Bacharelado, o curso apostou, portanto, na formação geral de profissionais capacitados a produzir e ensinar História com fundamento crítico, teórico e investigativo.</w:t>
      </w:r>
    </w:p>
    <w:p>
      <w:pPr>
        <w:pBdr>
          <w:top w:val="none" w:color="auto" w:sz="0" w:space="0"/>
          <w:left w:val="none" w:color="auto" w:sz="0" w:space="0"/>
          <w:bottom w:val="none" w:color="auto" w:sz="0" w:space="0"/>
          <w:right w:val="none" w:color="auto" w:sz="0" w:space="0"/>
          <w:between w:val="none" w:color="auto" w:sz="0" w:space="0"/>
        </w:pBdr>
        <w:spacing w:after="140"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ab/>
      </w:r>
      <w:r>
        <w:rPr>
          <w:rFonts w:ascii="Times New Roman" w:hAnsi="Times New Roman" w:eastAsia="Calibri" w:cs="Times New Roman"/>
          <w:color w:val="000000"/>
        </w:rPr>
        <w:tab/>
      </w:r>
      <w:r>
        <w:rPr>
          <w:rFonts w:ascii="Times New Roman" w:hAnsi="Times New Roman" w:eastAsia="Calibri" w:cs="Times New Roman"/>
          <w:color w:val="000000"/>
        </w:rPr>
        <w:t xml:space="preserve">Com o objetivo de proporcionar condições instrumentais para explorar os recursos documentais da região e formar o bacharel em História, foi criado, juntamente à instalação do curso, o Laboratório de Pesquisa Histórica (LPH). Voltado para a metodologia investigativa e para o ensino de História, o LPH desenvolveu inúmeras atividades. Dentre elas, distinguiam-se as produções do Centro de Documentação — que incluía um “Acervo de Fontes em Suportes não Convencionais”— e a </w:t>
      </w:r>
      <w:r>
        <w:rPr>
          <w:rFonts w:ascii="Times New Roman" w:hAnsi="Times New Roman" w:eastAsia="Calibri" w:cs="Times New Roman"/>
          <w:i/>
          <w:color w:val="000000"/>
        </w:rPr>
        <w:t>LPH: Revista de História</w:t>
      </w:r>
      <w:r>
        <w:rPr>
          <w:rFonts w:ascii="Times New Roman" w:hAnsi="Times New Roman" w:eastAsia="Calibri" w:cs="Times New Roman"/>
          <w:color w:val="000000"/>
        </w:rPr>
        <w:t>, criada em 1990. O esforço de produção e difusão do conhecimento histórico visava à formação do licenciando e do bacharelando como produtores e multiplicadores de conhecimento. Como requisito suplementar para a colação de grau em Bacharelado, foi produzido um número significativo de monografias, das quais 135 encontram-se digitalizadas e disponíveis para consulta.</w:t>
      </w:r>
    </w:p>
    <w:p>
      <w:pPr>
        <w:pBdr>
          <w:top w:val="none" w:color="auto" w:sz="0" w:space="0"/>
          <w:left w:val="none" w:color="auto" w:sz="0" w:space="0"/>
          <w:bottom w:val="none" w:color="auto" w:sz="0" w:space="0"/>
          <w:right w:val="none" w:color="auto" w:sz="0" w:space="0"/>
          <w:between w:val="none" w:color="auto" w:sz="0" w:space="0"/>
        </w:pBdr>
        <w:spacing w:after="140"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ab/>
      </w:r>
      <w:r>
        <w:rPr>
          <w:rFonts w:ascii="Times New Roman" w:hAnsi="Times New Roman" w:eastAsia="Calibri" w:cs="Times New Roman"/>
          <w:color w:val="000000"/>
        </w:rPr>
        <w:tab/>
      </w:r>
      <w:r>
        <w:rPr>
          <w:rFonts w:ascii="Times New Roman" w:hAnsi="Times New Roman" w:eastAsia="Calibri" w:cs="Times New Roman"/>
          <w:color w:val="000000"/>
        </w:rPr>
        <w:t xml:space="preserve">Ao longo da sua existência, o curso de Licenciatura em História ampliou as atividades de Ensino, Pesquisa e Extensão, articulando a educação histórica à gestão documental. Por meio de convênio firmado com a Câmara Municipal de Mariana, o Departamento de História (Dehis) recebeu, em 1994, a guarda do Arquivo Histórico da Câmara Municipal de Mariana (AHCMM), que conserva um precioso fundo documental referente aos séculos XVIII, XIX e XX. Outrossim, em 1996, um conjunto de documentos referentes aos séculos XIX e XX foi localizado em Monsenhor Horta, distrito de Mariana, e atualmente encontra-se sob a gerência do LPH. Em formato digital, o LPH disponibiliza ainda a coleção digitalizada da </w:t>
      </w:r>
      <w:r>
        <w:rPr>
          <w:rFonts w:ascii="Times New Roman" w:hAnsi="Times New Roman" w:eastAsia="Calibri" w:cs="Times New Roman"/>
          <w:i/>
          <w:color w:val="000000"/>
        </w:rPr>
        <w:t>Revista do Arquivo Público Mineiro</w:t>
      </w:r>
      <w:r>
        <w:rPr>
          <w:rFonts w:ascii="Times New Roman" w:hAnsi="Times New Roman" w:eastAsia="Calibri" w:cs="Times New Roman"/>
          <w:color w:val="000000"/>
        </w:rPr>
        <w:t>, a Coleção Mineiriana, o Projeto Resgate do Arquivo Histórico Ultramarino, fontes cíveis e criminais do Fórum de Lavras, a documentação da Câmara Municipal de Campanha e os livros de testamentos de Campanha e Baependi referentes ao século XIX. Gerenciando estes fundos documentais, o Laboratório de Pesquisa Histórica tem respeitado os princípios sob os quais foi criado quando da instituição do curso, contribuindo efetivamente para a formação dos alunos e fomentando a pesquisa.</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ab/>
      </w:r>
      <w:r>
        <w:rPr>
          <w:rFonts w:ascii="Times New Roman" w:hAnsi="Times New Roman" w:eastAsia="Calibri" w:cs="Times New Roman"/>
          <w:color w:val="000000"/>
        </w:rPr>
        <w:tab/>
      </w:r>
      <w:r>
        <w:rPr>
          <w:rFonts w:ascii="Times New Roman" w:hAnsi="Times New Roman" w:eastAsia="Calibri" w:cs="Times New Roman"/>
          <w:color w:val="000000"/>
        </w:rPr>
        <w:t xml:space="preserve">No âmbito das publicações, para além das obras autorais de discentes e docentes, o Curso de História conta com uma série de produções vinculadas aos seus núcleos e laboratórios. Na década de 90, como já se mencionou, são publicados os primeiros números da </w:t>
      </w:r>
      <w:r>
        <w:rPr>
          <w:rFonts w:ascii="Times New Roman" w:hAnsi="Times New Roman" w:eastAsia="Calibri" w:cs="Times New Roman"/>
          <w:i/>
          <w:color w:val="000000"/>
        </w:rPr>
        <w:t>LPH: Revista de História</w:t>
      </w:r>
      <w:r>
        <w:rPr>
          <w:rFonts w:ascii="Times New Roman" w:hAnsi="Times New Roman" w:eastAsia="Calibri" w:cs="Times New Roman"/>
          <w:color w:val="000000"/>
        </w:rPr>
        <w:t xml:space="preserve">. Na mesma altura, o Centro de Referência Historiográfica publicaria uma série de boletins informativos com ampla circulação pelas universidades brasileiras. Atualmente, são duas as revistas articuladas ao curso de História e disponibilizadas em formato digital: a </w:t>
      </w:r>
      <w:r>
        <w:rPr>
          <w:rFonts w:ascii="Times New Roman" w:hAnsi="Times New Roman" w:eastAsia="Calibri" w:cs="Times New Roman"/>
          <w:i/>
          <w:color w:val="000000"/>
        </w:rPr>
        <w:t>Cadernos de História</w:t>
      </w:r>
      <w:r>
        <w:rPr>
          <w:rFonts w:ascii="Times New Roman" w:hAnsi="Times New Roman" w:eastAsia="Calibri" w:cs="Times New Roman"/>
          <w:color w:val="000000"/>
        </w:rPr>
        <w:t xml:space="preserve">, editada pelos alunos de graduação e pós-graduação; e a </w:t>
      </w:r>
      <w:r>
        <w:rPr>
          <w:rFonts w:ascii="Times New Roman" w:hAnsi="Times New Roman" w:eastAsia="Calibri" w:cs="Times New Roman"/>
          <w:i/>
          <w:color w:val="000000"/>
        </w:rPr>
        <w:t>Revista História da Historiografia</w:t>
      </w:r>
      <w:r>
        <w:rPr>
          <w:rFonts w:ascii="Times New Roman" w:hAnsi="Times New Roman" w:eastAsia="Calibri" w:cs="Times New Roman"/>
          <w:color w:val="000000"/>
        </w:rPr>
        <w:t>, associada ao Núcleo de Estudos em História de Historiografia e Modernidade.</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720" w:firstLineChars="0"/>
        <w:jc w:val="both"/>
        <w:rPr>
          <w:rFonts w:ascii="Times New Roman" w:hAnsi="Times New Roman" w:eastAsia="Liberation Serif" w:cs="Times New Roman"/>
          <w:color w:val="000000"/>
        </w:rPr>
      </w:pPr>
      <w:r>
        <w:rPr>
          <w:rFonts w:ascii="Times New Roman" w:hAnsi="Times New Roman" w:eastAsia="Calibri" w:cs="Times New Roman"/>
          <w:color w:val="000000"/>
        </w:rPr>
        <w:t xml:space="preserve">Em suma, o curso iniciou suas atividades com ênfase na História de Minas Gerais, voltando-se para a investigação científica do vasto patrimônio documental da região, conservado em arquivos, museus e na própria arquitetura urbana. Essa inserção regional pautou a dinâmica do curso nos anos iniciais de sua instalação. No entanto, as mudanças ocorridas na historiografia brasileira a partir dos anos de 1990, com a expansão, inserção internacional e diversificação dos programas de pós-graduação, levaram inevitavelmente à necessidade de se pensar em termos mais globais o ensino e a pesquisa de História.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Em conformidade com as Diretrizes Curriculares Nacionais para os Cursos de Graduação em História (CNE/CES 13/2002; CNE/CES 492/2001; CNE/</w:t>
      </w:r>
      <w:r>
        <w:rPr>
          <w:rFonts w:ascii="Times New Roman" w:hAnsi="Times New Roman" w:eastAsia="Liberation Serif" w:cs="Times New Roman"/>
          <w:color w:val="000000"/>
        </w:rPr>
        <w:t>02/2015</w:t>
      </w:r>
      <w:r>
        <w:rPr>
          <w:rFonts w:ascii="Times New Roman" w:hAnsi="Times New Roman" w:eastAsia="Calibri" w:cs="Times New Roman"/>
          <w:color w:val="000000"/>
        </w:rPr>
        <w:t>), o Curso de História da UFOP passou por uma reforma curricular, em 2010, que definiu dois cursos: um de Licenciatura em História e outro de Bacharelado em História.</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720" w:firstLineChars="0"/>
        <w:jc w:val="both"/>
        <w:rPr>
          <w:rFonts w:ascii="Times New Roman" w:hAnsi="Times New Roman" w:eastAsia="Liberation Serif" w:cs="Times New Roman"/>
          <w:color w:val="000000"/>
        </w:rPr>
      </w:pPr>
      <w:r>
        <w:rPr>
          <w:rFonts w:ascii="Times New Roman" w:hAnsi="Times New Roman" w:eastAsia="Calibri" w:cs="Times New Roman"/>
          <w:color w:val="000000"/>
        </w:rPr>
        <w:t>É importante destacar que foram fundados vários núcleos e laboratórios, nos quais podem ser realizadas atividades de pesquisa e redação acadêmica supervisionadas pelos professores. Esses laboratórios, longe de apenas beneficiarem as pesquisas históricas do Curso de Bacharelado, estão integrados ao Curso de Licenciatura por meio de dois eixos: 1 - através de pesquisas voltadas ao Ensino de História, que incorporam temas e abordagens específicos de cada núcleo ou laboratório; 2 - por sua articulação com o Laboratório de Ensino de História (Lehis).</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720" w:firstLineChars="0"/>
        <w:jc w:val="both"/>
        <w:rPr>
          <w:rFonts w:ascii="Times New Roman" w:hAnsi="Times New Roman" w:eastAsia="Liberation Serif" w:cs="Times New Roman"/>
          <w:color w:val="000000"/>
        </w:rPr>
      </w:pPr>
      <w:r>
        <w:rPr>
          <w:rFonts w:ascii="Times New Roman" w:hAnsi="Times New Roman" w:eastAsia="Calibri" w:cs="Times New Roman"/>
          <w:color w:val="000000"/>
        </w:rPr>
        <w:t>O Lehis desenvolve atividades que abordam a prática docente através de reflexões produzidas nos Estágios Supervisionados; debate o conteúdo e a aplicação da legislação educacional voltada para a História — por exemplo, a Base Nacional Comum Curricular (BNCC); promove o intercâmbio de conhecimentos entre professores e pesquisadores de diferentes áreas;  e estimula a adoção de estratégias através das quais aqueles conhecimentos podem ser trabalhados nas escolas. Em resumo, o Lehis é o laboratório responsável por aproximar produção acadêmica e ensino escolar de História em seu amplo espectro.</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720" w:firstLineChars="0"/>
        <w:jc w:val="both"/>
        <w:rPr>
          <w:rFonts w:ascii="Times New Roman" w:hAnsi="Times New Roman" w:eastAsia="Liberation Serif" w:cs="Times New Roman"/>
          <w:color w:val="000000"/>
        </w:rPr>
      </w:pPr>
      <w:r>
        <w:rPr>
          <w:rFonts w:ascii="Times New Roman" w:hAnsi="Times New Roman" w:eastAsia="Calibri" w:cs="Times New Roman"/>
          <w:color w:val="000000"/>
        </w:rPr>
        <w:t>Como mencionado anteriormente, acervos documentais importantes, como o do Arquivo Histórico da Câmara Municipal de Mariana, encontram-se sob a guarda do Dehis, ou, mais especificamente, do LPH, contribuindo para a prática de caráter arquivístico (catalogação, conservação e análise documental), principalmente nas áreas de História de Minas e de História Colonial do Brasil.</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720" w:firstLineChars="0"/>
        <w:jc w:val="both"/>
        <w:rPr>
          <w:rFonts w:ascii="Times New Roman" w:hAnsi="Times New Roman" w:eastAsia="Liberation Serif" w:cs="Times New Roman"/>
          <w:color w:val="000000"/>
        </w:rPr>
      </w:pPr>
      <w:r>
        <w:rPr>
          <w:rFonts w:ascii="Times New Roman" w:hAnsi="Times New Roman" w:eastAsia="Calibri" w:cs="Times New Roman"/>
          <w:color w:val="000000"/>
        </w:rPr>
        <w:t>Criado em 2005, o Grupo Impérios e Lugares no Brasil (ILB) dedica-se a estudar, no período que vai de meados do século XVIII a fins do XIX, as relações de poder nas diversas esferas do campo social, bem como os espaços que instituem. Concebe, assim, a sociedade como ambígua, fragmentada e desprovida de sistemas definitivos e coerentes de normas, abrindo-se a mudanças e transformações. Dessa forma, segundo a perspectiva teórica que orienta as atividades do ILB, os espaços são caracterizados fundamentalmente pelo conflito e pela complexa dinâmica das relações de força. Tal instabilidade redimensiona e reposiciona os significados de centro e periferia, bem como as diversas feições assumidas pela noção de Império. Especial atenção é dada às disputas travadas por diferentes grupos em torno de projetos políticos divergentes, quando não antagônicos, no processo de construção do Estado Nacional Brasileiro.</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720" w:firstLineChars="0"/>
        <w:jc w:val="both"/>
        <w:rPr>
          <w:rFonts w:ascii="Times New Roman" w:hAnsi="Times New Roman" w:eastAsia="Liberation Serif" w:cs="Times New Roman"/>
          <w:color w:val="000000"/>
        </w:rPr>
      </w:pPr>
      <w:r>
        <w:rPr>
          <w:rFonts w:ascii="Times New Roman" w:hAnsi="Times New Roman" w:eastAsia="Calibri" w:cs="Times New Roman"/>
          <w:color w:val="000000"/>
        </w:rPr>
        <w:t>Na área de Teoria e Filosofia da História, há o Núcleo de Estudos em História da Historiografia (NEHM), que se dedica a inserir os alunos de graduação na reflexão teórica e na pesquisa sobre o discurso histórico na Modernidade. O NEHM foi criado no início de 2007, junto ao Departamento de História. A iniciativa de um núcleo de estudos voltado essencialmente para a pesquisa em Teoria e História da Historiografia é de extrema importância para o fortalecimento desse campo no Brasil.</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 xml:space="preserve"> </w:t>
      </w:r>
      <w:r>
        <w:rPr>
          <w:rFonts w:ascii="Times New Roman" w:hAnsi="Times New Roman" w:eastAsia="Calibri" w:cs="Times New Roman"/>
          <w:color w:val="000000"/>
        </w:rPr>
        <w:tab/>
      </w:r>
      <w:r>
        <w:rPr>
          <w:rFonts w:ascii="Times New Roman" w:hAnsi="Times New Roman" w:eastAsia="Calibri" w:cs="Times New Roman"/>
          <w:color w:val="000000"/>
        </w:rPr>
        <w:t>Na área de História Antiga, o curso dispõe das atividades realizadas pelo Núcleo de Estudos Sobre o Império Romano (LEIR). O Leir da UFOP, cujas atividades remontam a 2002, vincula-se a universidades públicas localizadas nas cinco regiões do país, organizando-se em rede junto a núcleos sediados na UFES, na UFG, na Unesp e na USP. Esses núcleos dedicam-se ao propósito comum de estimular a pesquisa especializada sobre o Império Romano, o Mediterrâneo e a Antiguidade em geral. Além do intercâmbio entre pesquisadores, os núcleos do LEIR promovem colóquios e publicações regulares. O Laboratório vincula-se também à Sociedade Brasileira de Estudos Clássicos (SBEC). No âmbito da UFOP, foi criado institucionalmente através da Resolução do Conselho Departamental do ICHS n</w:t>
      </w:r>
      <w:r>
        <w:rPr>
          <w:rFonts w:ascii="Times New Roman" w:hAnsi="Times New Roman" w:eastAsia="Calibri" w:cs="Times New Roman"/>
          <w:color w:val="000000"/>
          <w:vertAlign w:val="superscript"/>
        </w:rPr>
        <w:t>o</w:t>
      </w:r>
      <w:r>
        <w:rPr>
          <w:rFonts w:ascii="Times New Roman" w:hAnsi="Times New Roman" w:eastAsia="Calibri" w:cs="Times New Roman"/>
          <w:color w:val="000000"/>
        </w:rPr>
        <w:t>. 146, de 30 de abril de 2008.</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720" w:firstLineChars="0"/>
        <w:jc w:val="both"/>
        <w:rPr>
          <w:rFonts w:ascii="Times New Roman" w:hAnsi="Times New Roman" w:eastAsia="Liberation Serif" w:cs="Times New Roman"/>
          <w:color w:val="000000"/>
        </w:rPr>
      </w:pPr>
      <w:r>
        <w:rPr>
          <w:rFonts w:ascii="Times New Roman" w:hAnsi="Times New Roman" w:eastAsia="Calibri" w:cs="Times New Roman"/>
          <w:color w:val="000000"/>
        </w:rPr>
        <w:t>Em 2009, foi criado o Grupo Justiça, Administração e Luta Social (Jals), cujo objetivo é o de discutir as diversas dimensões de poder, especialmente os entrecruzamentos entre noções de justiça, dinâmicas administrativas e conflitos sociais em diferentes processos históricos. O Jals tem realizado debates e eventos reunindo um número significativo de pesquisadores, assim como suas reflexões têm estimulado a publicação de artigos e livros sobre os temas discutidos. O grupo é composto por docentes e discentes da UFOP e de outras instituições. Regularmente, o Jals recebe pesquisadores convidados de outras universidades para a realização de palestras e debates. Embora voltado inicialmente para os estudos sobre Brasil Colonial, abriu-se há alguns anos para abrigar pesquisadores dedicados a outros períodos e contextos.</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 xml:space="preserve"> </w:t>
      </w:r>
      <w:r>
        <w:rPr>
          <w:rFonts w:ascii="Times New Roman" w:hAnsi="Times New Roman" w:eastAsia="Calibri" w:cs="Times New Roman"/>
          <w:color w:val="000000"/>
        </w:rPr>
        <w:tab/>
      </w:r>
      <w:r>
        <w:rPr>
          <w:rFonts w:ascii="Times New Roman" w:hAnsi="Times New Roman" w:eastAsia="Calibri" w:cs="Times New Roman"/>
          <w:color w:val="000000"/>
        </w:rPr>
        <w:t>Fundado em 2010, o Grupo de Estudos em História das Américas (Geha) dedica-se ao estudo da história do continente e de suas relações com a Europa, a África e a Ásia. O grupo é formado por professores e estudantes da UFOP, UFMT, UFJF, UFRRJ, Unicamp, Unisinos e IFSP. Os principais objetivos do Geha são: debater pesquisas, promover atualização, trocar experiências e discutir questões relativas à pesquisa e ao ensino de História da América. Os temas abordados são amplos e buscam expressar a diversidade de interesses que preside a área na atualidade, cobrindo desde a conquista e colonização até os mais recentes acontecimentos. São tratadas temáticas dos diversos domínios históricos, tais como política, sociedade, cultura e economia, assim como questões relativas às histórias de gênero, a viagens, ao cinema, à historiografia e às relações internacionais.</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720" w:firstLineChars="0"/>
        <w:jc w:val="both"/>
        <w:rPr>
          <w:rFonts w:ascii="Times New Roman" w:hAnsi="Times New Roman" w:eastAsia="Liberation Serif" w:cs="Times New Roman"/>
          <w:color w:val="000000"/>
        </w:rPr>
      </w:pPr>
      <w:r>
        <w:rPr>
          <w:rFonts w:ascii="Times New Roman" w:hAnsi="Times New Roman" w:eastAsia="Calibri" w:cs="Times New Roman"/>
          <w:color w:val="000000"/>
        </w:rPr>
        <w:t>Criado em 2016, o núcleo do Laboratório de Estudos Medievais da Universidade Federal de Ouro Preto (Leme/UFOP) almeja problematizar a relação entre os vínculos aristocráticos e a dinâmica da construção e significação do espaço social. De modo mais específico, dedica-se à linha de pesquisa “Culturas de poder e construção do espaço social nas expressões dos compromissos senhoriais (séculos XI-XIII)”. A partir de fevereiro de 2017, o interesse que discentes manifestaram acerca dos contatos entre latinos e muçulmanos e a necessidade de problematizar estereótipos envolvendo o Islã no século XXI suscitaram a criação de uma nova linha de pesquisa, definida como “Histórias conectadas e ampliações de mundo nas diversidades do espaço mediterrânico medieval”.</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720" w:firstLineChars="0"/>
        <w:jc w:val="both"/>
        <w:rPr>
          <w:rFonts w:ascii="Times New Roman" w:hAnsi="Times New Roman" w:eastAsia="Liberation Serif" w:cs="Times New Roman"/>
          <w:color w:val="000000"/>
        </w:rPr>
      </w:pPr>
      <w:r>
        <w:rPr>
          <w:rFonts w:ascii="Times New Roman" w:hAnsi="Times New Roman" w:eastAsia="Calibri" w:cs="Times New Roman"/>
          <w:color w:val="000000"/>
        </w:rPr>
        <w:t>Por fim, é importante ressaltar que o curso de Licenciatura em História têm promovido, por meio dos laboratórios e núcleos de pesquisa descritos acima, e em conjunto com o curso de Pós-Graduação em História (mestrado e doutorado), inúmeros eventos locais, regionais, nacionais e internacionais, que têm proporcionado não somente uma articulação entre ensino de graduação e pós-graduação, pesquisa e extensão, como também oportunidades para que docentes e discentes compartilhem concepções plurais e sólidas a respeito do lugar de produção, divulgação e apropriação da história por diferentes públicos.</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720" w:firstLineChars="0"/>
        <w:jc w:val="both"/>
        <w:rPr>
          <w:rFonts w:ascii="Times New Roman" w:hAnsi="Times New Roman" w:eastAsia="Liberation Serif" w:cs="Times New Roman"/>
          <w:color w:val="000000"/>
        </w:rPr>
      </w:pPr>
      <w:r>
        <w:rPr>
          <w:rFonts w:ascii="Times New Roman" w:hAnsi="Times New Roman" w:eastAsia="Calibri" w:cs="Times New Roman"/>
          <w:color w:val="000000"/>
        </w:rPr>
        <w:t>Entre muitos outros, citamos a realização dos seguintes eventos no ICHS:</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 xml:space="preserve">- Em janeiro de 1993, foi realizado o </w:t>
      </w:r>
      <w:r>
        <w:rPr>
          <w:rFonts w:ascii="Times New Roman" w:hAnsi="Times New Roman" w:eastAsia="Calibri" w:cs="Times New Roman"/>
          <w:i/>
          <w:color w:val="000000"/>
        </w:rPr>
        <w:t>Encontro da Comissão Nacional de Pesquisadores de História Latino-Americana e Caribenha (Conaphlac)</w:t>
      </w:r>
      <w:r>
        <w:rPr>
          <w:rFonts w:ascii="Times New Roman" w:hAnsi="Times New Roman" w:eastAsia="Calibri" w:cs="Times New Roman"/>
          <w:color w:val="000000"/>
        </w:rPr>
        <w:t>, que culminou com a aprovação do “Documento de Mariana” e com a criação da Associação Nacional de Pesquisadores de História Latino-Americana e Caribenha (Anphlac)</w:t>
      </w:r>
      <w:r>
        <w:rPr>
          <w:rFonts w:ascii="Times New Roman" w:hAnsi="Times New Roman" w:eastAsia="Calibri" w:cs="Times New Roman"/>
          <w:color w:val="000000"/>
          <w:vertAlign w:val="superscript"/>
        </w:rPr>
        <w:footnoteReference w:id="12"/>
      </w:r>
      <w:r>
        <w:rPr>
          <w:rFonts w:ascii="Times New Roman" w:hAnsi="Times New Roman" w:eastAsia="Calibri" w:cs="Times New Roman"/>
          <w:color w:val="000000"/>
        </w:rPr>
        <w:t xml:space="preserve">. Em julho de 2018, o Geha sediou o </w:t>
      </w:r>
      <w:r>
        <w:rPr>
          <w:rFonts w:ascii="Times New Roman" w:hAnsi="Times New Roman" w:eastAsia="Calibri" w:cs="Times New Roman"/>
          <w:i/>
          <w:color w:val="000000"/>
        </w:rPr>
        <w:t>XIII Encontro Internacional da Anphlac</w:t>
      </w:r>
      <w:r>
        <w:rPr>
          <w:rFonts w:ascii="Times New Roman" w:hAnsi="Times New Roman" w:eastAsia="Calibri" w:cs="Times New Roman"/>
          <w:color w:val="000000"/>
        </w:rPr>
        <w:t>.</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 Entre 2007 e 2018, foram realizadas 10 edições</w:t>
      </w:r>
      <w:r>
        <w:rPr>
          <w:rFonts w:ascii="Times New Roman" w:hAnsi="Times New Roman" w:eastAsia="Calibri" w:cs="Times New Roman"/>
          <w:color w:val="000000"/>
          <w:vertAlign w:val="superscript"/>
        </w:rPr>
        <w:footnoteReference w:id="13"/>
      </w:r>
      <w:r>
        <w:rPr>
          <w:rFonts w:ascii="Times New Roman" w:hAnsi="Times New Roman" w:eastAsia="Calibri" w:cs="Times New Roman"/>
          <w:color w:val="000000"/>
        </w:rPr>
        <w:t xml:space="preserve"> do </w:t>
      </w:r>
      <w:r>
        <w:rPr>
          <w:rFonts w:ascii="Times New Roman" w:hAnsi="Times New Roman" w:eastAsia="Calibri" w:cs="Times New Roman"/>
          <w:i/>
          <w:color w:val="000000"/>
        </w:rPr>
        <w:t>Seminário Brasileiro de Teoria e História da Historiografia (SNHH)</w:t>
      </w:r>
      <w:r>
        <w:rPr>
          <w:rFonts w:ascii="Times New Roman" w:hAnsi="Times New Roman" w:eastAsia="Calibri" w:cs="Times New Roman"/>
          <w:color w:val="000000"/>
        </w:rPr>
        <w:t xml:space="preserve">. De 2011 a 2015, o NEHM desenvolveu o projeto “Variedades do discurso histórico”, financiado pela Fapemig por meio de sua linha de apoio a grupos emergentes. Ainda em 2017, o núcleo, em parceria com a UERJ, realizou o </w:t>
      </w:r>
      <w:r>
        <w:rPr>
          <w:rFonts w:ascii="Times New Roman" w:hAnsi="Times New Roman" w:eastAsia="Calibri" w:cs="Times New Roman"/>
          <w:i/>
          <w:color w:val="000000"/>
        </w:rPr>
        <w:t>I Encontro de Pesquisa em Teoria e História da Historiografia</w:t>
      </w:r>
      <w:r>
        <w:rPr>
          <w:rFonts w:ascii="Times New Roman" w:hAnsi="Times New Roman" w:eastAsia="Calibri" w:cs="Times New Roman"/>
          <w:color w:val="000000"/>
        </w:rPr>
        <w:t xml:space="preserve">, em Mariana. Em 2017, o NEHM organizou o </w:t>
      </w:r>
      <w:r>
        <w:rPr>
          <w:rFonts w:ascii="Times New Roman" w:hAnsi="Times New Roman" w:eastAsia="Calibri" w:cs="Times New Roman"/>
          <w:i/>
          <w:color w:val="000000"/>
        </w:rPr>
        <w:t>II Encontro da Rede Internacional de Teoria da História (INTH)</w:t>
      </w:r>
      <w:r>
        <w:rPr>
          <w:rFonts w:ascii="Times New Roman" w:hAnsi="Times New Roman" w:eastAsia="Calibri" w:cs="Times New Roman"/>
          <w:color w:val="000000"/>
        </w:rPr>
        <w:t xml:space="preserve">, evento internacional em que toda a comunicação foi realizada em língua inglesa. Além desses eventos, o NEHM realiza diversas oficinas, palestras e grupos de estudo, contando hoje com 11 pesquisadores-docentes. O grupo mantém ainda o portal digital </w:t>
      </w:r>
      <w:r>
        <w:rPr>
          <w:rFonts w:ascii="Times New Roman" w:hAnsi="Times New Roman" w:eastAsia="Calibri" w:cs="Times New Roman"/>
          <w:i/>
          <w:color w:val="000000"/>
        </w:rPr>
        <w:t>HH Magazine - Humanidades em Rede</w:t>
      </w:r>
      <w:r>
        <w:rPr>
          <w:rFonts w:ascii="Times New Roman" w:hAnsi="Times New Roman" w:eastAsia="Calibri" w:cs="Times New Roman"/>
          <w:color w:val="000000"/>
        </w:rPr>
        <w:t>.</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 xml:space="preserve">- Em 2014, o Jals organizou o encontro </w:t>
      </w:r>
      <w:r>
        <w:rPr>
          <w:rFonts w:ascii="Times New Roman" w:hAnsi="Times New Roman" w:eastAsia="Calibri" w:cs="Times New Roman"/>
          <w:i/>
          <w:color w:val="000000"/>
        </w:rPr>
        <w:t>Historia, Poder e Instituciones. Diálogos entre Brasil y Argentina</w:t>
      </w:r>
      <w:r>
        <w:rPr>
          <w:rFonts w:ascii="Times New Roman" w:hAnsi="Times New Roman" w:eastAsia="Calibri" w:cs="Times New Roman"/>
          <w:color w:val="000000"/>
        </w:rPr>
        <w:t xml:space="preserve">, que originou o livro de mesmo nome, publicado em Rosario, na Argentina. Em 2015, organizou também o </w:t>
      </w:r>
      <w:r>
        <w:rPr>
          <w:rFonts w:ascii="Times New Roman" w:hAnsi="Times New Roman" w:eastAsia="Calibri" w:cs="Times New Roman"/>
          <w:i/>
          <w:color w:val="000000"/>
        </w:rPr>
        <w:t>II Colóquio Cultura e Educação na América Portuguesa</w:t>
      </w:r>
      <w:r>
        <w:rPr>
          <w:rFonts w:ascii="Times New Roman" w:hAnsi="Times New Roman" w:eastAsia="Calibri" w:cs="Times New Roman"/>
          <w:color w:val="000000"/>
        </w:rPr>
        <w:t xml:space="preserve"> e, em 2018, em parceria com a Université Paul-Valery, Montpellier 3, o </w:t>
      </w:r>
      <w:r>
        <w:rPr>
          <w:rFonts w:ascii="Times New Roman" w:hAnsi="Times New Roman" w:eastAsia="Calibri" w:cs="Times New Roman"/>
          <w:i/>
          <w:color w:val="000000"/>
        </w:rPr>
        <w:t>II Colóquio Internacional – A Globalização das Luzes: contestações e contrarrevoluções na França e no mundo luso-brasileiro</w:t>
      </w:r>
      <w:r>
        <w:rPr>
          <w:rFonts w:ascii="Times New Roman" w:hAnsi="Times New Roman" w:eastAsia="Calibri" w:cs="Times New Roman"/>
          <w:color w:val="000000"/>
        </w:rPr>
        <w:t>.</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 xml:space="preserve">- Em 2015, o Leir realizou o </w:t>
      </w:r>
      <w:r>
        <w:rPr>
          <w:rFonts w:ascii="Times New Roman" w:hAnsi="Times New Roman" w:eastAsia="Calibri" w:cs="Times New Roman"/>
          <w:i/>
          <w:color w:val="000000"/>
        </w:rPr>
        <w:t>20° Congresso da Sociedade Brasileira de Estudos Clássicos</w:t>
      </w:r>
      <w:r>
        <w:rPr>
          <w:rFonts w:ascii="Times New Roman" w:hAnsi="Times New Roman" w:eastAsia="Calibri" w:cs="Times New Roman"/>
          <w:color w:val="000000"/>
        </w:rPr>
        <w:t>.</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 Entre 2017 e 2019, o ILB promoveu, em colaboração conjunta de seus membros discentes e docentes, várias palestras, com participação de professores do Brasil, da Espanha e de Portugal.</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 Em 2018 e 2019, o ILB e o Jals, em conjunto, organizaram, respectivamente,</w:t>
      </w:r>
      <w:r>
        <w:rPr>
          <w:rFonts w:ascii="Times New Roman" w:hAnsi="Times New Roman" w:eastAsia="Calibri" w:cs="Times New Roman"/>
          <w:i/>
          <w:color w:val="000000"/>
        </w:rPr>
        <w:t xml:space="preserve"> o I Colóquio dos Arquivos Históricos de Mariana</w:t>
      </w:r>
      <w:r>
        <w:rPr>
          <w:rFonts w:ascii="Times New Roman" w:hAnsi="Times New Roman" w:eastAsia="Calibri" w:cs="Times New Roman"/>
          <w:color w:val="000000"/>
        </w:rPr>
        <w:t xml:space="preserve"> e o </w:t>
      </w:r>
      <w:r>
        <w:rPr>
          <w:rFonts w:ascii="Times New Roman" w:hAnsi="Times New Roman" w:eastAsia="Calibri" w:cs="Times New Roman"/>
          <w:i/>
          <w:color w:val="000000"/>
        </w:rPr>
        <w:t>Colóquio Espaço e Habitação: Minas Gerais e Bahia (Séculos XVIII e XIX)</w:t>
      </w:r>
      <w:r>
        <w:rPr>
          <w:rFonts w:ascii="Times New Roman" w:hAnsi="Times New Roman" w:eastAsia="Calibri" w:cs="Times New Roman"/>
          <w:color w:val="000000"/>
        </w:rPr>
        <w:t xml:space="preserve">. Este último evento foi organizado em conjunto com a Ecóle des Hautes Etudes en Sciences Sociales, instituição sediada em Paris, França. </w:t>
      </w:r>
      <w:r>
        <w:rPr>
          <w:rFonts w:ascii="Times New Roman" w:hAnsi="Times New Roman" w:eastAsia="Calibri" w:cs="Times New Roman"/>
          <w:color w:val="000000"/>
        </w:rPr>
        <w:tab/>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b/>
          <w:color w:val="000000"/>
        </w:rPr>
        <w:t>Concepção do curso</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240" w:after="140"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ab/>
      </w:r>
      <w:r>
        <w:rPr>
          <w:rFonts w:ascii="Times New Roman" w:hAnsi="Times New Roman" w:eastAsia="Calibri" w:cs="Times New Roman"/>
          <w:color w:val="000000"/>
        </w:rPr>
        <w:tab/>
      </w:r>
      <w:r>
        <w:rPr>
          <w:rFonts w:ascii="Times New Roman" w:hAnsi="Times New Roman" w:eastAsia="Calibri" w:cs="Times New Roman"/>
          <w:color w:val="000000"/>
        </w:rPr>
        <w:t>Em 2010 foi implementada uma reforma com o objetivo de adequar o curso de Licenciatura às demandas do MEC e de criar o curso de Bacharelado em História. Os debates desenvolvidos pelos professores do Departamento de História levaram a alteração da matriz curricular em direção a uma estrutura mais fluida, em que o graduando poderia escolher, até certo ponto, qual percurso formativo deveria ter. Dessa forma, o número de disciplinas obrigatórias foi reduzido e concentrado em um núcleo básico a ser cursado nos primeiros dois anos. Este núcleo básico abrigava as disciplinas sobre o objeto de ensino — história — e sobre o conhecimento pedagógico. Seguindo-se a esse ciclo básico formativo, iniciava-se outro núcleo, composto de disciplinas eletivas e do Estágio Supervisionado, que completaria a segunda metade do curso. A opção por este caminho partia do princípio de que o discente poderia, em certa medida, desenvolver sua autonomia intelectual, bem como manter um diálogo intenso com o Curso de Bacharelado em História, habilitação que foi instituída em separado no ano de 2012 em conformidade com as Diretrizes Curriculares Nacionais</w:t>
      </w:r>
      <w:r>
        <w:rPr>
          <w:rFonts w:ascii="Times New Roman" w:hAnsi="Times New Roman" w:eastAsia="Calibri" w:cs="Times New Roman"/>
          <w:color w:val="000000"/>
          <w:vertAlign w:val="superscript"/>
        </w:rPr>
        <w:footnoteReference w:id="14"/>
      </w:r>
      <w:r>
        <w:rPr>
          <w:rFonts w:ascii="Times New Roman" w:hAnsi="Times New Roman" w:eastAsia="Calibri" w:cs="Times New Roman"/>
          <w:color w:val="000000"/>
        </w:rPr>
        <w:t>. O Curso de Licenciatura em História passou a apresentar a seguinte distribuição de carga horária</w:t>
      </w:r>
      <w:r>
        <w:rPr>
          <w:rFonts w:ascii="Times New Roman" w:hAnsi="Times New Roman" w:eastAsia="Calibri" w:cs="Times New Roman"/>
          <w:color w:val="000000"/>
          <w:vertAlign w:val="superscript"/>
        </w:rPr>
        <w:footnoteReference w:id="15"/>
      </w:r>
      <w:r>
        <w:rPr>
          <w:rFonts w:ascii="Times New Roman" w:hAnsi="Times New Roman" w:eastAsia="Calibri" w:cs="Times New Roman"/>
          <w:color w:val="000000"/>
        </w:rPr>
        <w:t>:</w:t>
      </w:r>
    </w:p>
    <w:tbl>
      <w:tblPr>
        <w:tblStyle w:val="470"/>
        <w:tblW w:w="8521" w:type="dxa"/>
        <w:tblInd w:w="92" w:type="dxa"/>
        <w:tblLayout w:type="fixed"/>
        <w:tblCellMar>
          <w:top w:w="55" w:type="dxa"/>
          <w:left w:w="51" w:type="dxa"/>
          <w:bottom w:w="55" w:type="dxa"/>
          <w:right w:w="55" w:type="dxa"/>
        </w:tblCellMar>
      </w:tblPr>
      <w:tblGrid>
        <w:gridCol w:w="3023"/>
        <w:gridCol w:w="3024"/>
        <w:gridCol w:w="2474"/>
      </w:tblGrid>
      <w:tr>
        <w:tblPrEx>
          <w:tblCellMar>
            <w:top w:w="55" w:type="dxa"/>
            <w:left w:w="51" w:type="dxa"/>
            <w:bottom w:w="55" w:type="dxa"/>
            <w:right w:w="55" w:type="dxa"/>
          </w:tblCellMar>
        </w:tblPrEx>
        <w:tc>
          <w:tcPr>
            <w:tcW w:w="8521" w:type="dxa"/>
            <w:gridSpan w:val="3"/>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b/>
                <w:color w:val="000000"/>
              </w:rPr>
              <w:t>Tabela 02 - Componentes curriculares - Reforma de 2010</w:t>
            </w:r>
          </w:p>
        </w:tc>
      </w:tr>
      <w:tr>
        <w:tblPrEx>
          <w:tblCellMar>
            <w:top w:w="55" w:type="dxa"/>
            <w:left w:w="51" w:type="dxa"/>
            <w:bottom w:w="55" w:type="dxa"/>
            <w:right w:w="55" w:type="dxa"/>
          </w:tblCellMar>
        </w:tblPrEx>
        <w:tc>
          <w:tcPr>
            <w:tcW w:w="3023"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Conhecimento Histórico</w:t>
            </w:r>
          </w:p>
        </w:tc>
        <w:tc>
          <w:tcPr>
            <w:tcW w:w="302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Filosofia, Introdução ao Estudo da História, História do Brasil I, Introdução às Ciências Sociais, História Moderna, História Contemporânea, História do Brasil II, História da América II, História da Historiografia Brasileira, História Antiga, História do Brasil III, História da América II, História da Historiografia Geral, História Medieval, Teoria da História e História de Minas Gerais.</w:t>
            </w:r>
          </w:p>
        </w:tc>
        <w:tc>
          <w:tcPr>
            <w:tcW w:w="2474"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960 horas</w:t>
            </w:r>
          </w:p>
        </w:tc>
      </w:tr>
      <w:tr>
        <w:tblPrEx>
          <w:tblCellMar>
            <w:top w:w="55" w:type="dxa"/>
            <w:left w:w="51" w:type="dxa"/>
            <w:bottom w:w="55" w:type="dxa"/>
            <w:right w:w="55" w:type="dxa"/>
          </w:tblCellMar>
        </w:tblPrEx>
        <w:tc>
          <w:tcPr>
            <w:tcW w:w="3023"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Conhecimento em Educação</w:t>
            </w:r>
          </w:p>
        </w:tc>
        <w:tc>
          <w:tcPr>
            <w:tcW w:w="302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Fundamentos da Educação: Sociologia, Fundamentos da Educação: História, Organização do Trabalho Escolar, Métodos e Técnicas de Pesquisa em Educação, Psicologia da Educação I, Psicologia da Educação II, Política e Gestão Educacional, Introdução a Libras.</w:t>
            </w:r>
          </w:p>
        </w:tc>
        <w:tc>
          <w:tcPr>
            <w:tcW w:w="2474"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330 horas</w:t>
            </w:r>
          </w:p>
        </w:tc>
      </w:tr>
      <w:tr>
        <w:tblPrEx>
          <w:tblCellMar>
            <w:top w:w="55" w:type="dxa"/>
            <w:left w:w="51" w:type="dxa"/>
            <w:bottom w:w="55" w:type="dxa"/>
            <w:right w:w="55" w:type="dxa"/>
          </w:tblCellMar>
        </w:tblPrEx>
        <w:tc>
          <w:tcPr>
            <w:tcW w:w="3023"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Ensino</w:t>
            </w:r>
          </w:p>
        </w:tc>
        <w:tc>
          <w:tcPr>
            <w:tcW w:w="302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Ensino de História, Estágio Supervisionado em História I, Estágio Supervisionado em História II, Estágio Supervisionado em História III e Estágio Supervisionado em História IV.</w:t>
            </w:r>
          </w:p>
        </w:tc>
        <w:tc>
          <w:tcPr>
            <w:tcW w:w="2474"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525 horas</w:t>
            </w:r>
          </w:p>
        </w:tc>
      </w:tr>
      <w:tr>
        <w:tblPrEx>
          <w:tblCellMar>
            <w:top w:w="55" w:type="dxa"/>
            <w:left w:w="51" w:type="dxa"/>
            <w:bottom w:w="55" w:type="dxa"/>
            <w:right w:w="55" w:type="dxa"/>
          </w:tblCellMar>
        </w:tblPrEx>
        <w:tc>
          <w:tcPr>
            <w:tcW w:w="3023"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Conhecimento histórico aplicado ao ensino</w:t>
            </w:r>
          </w:p>
        </w:tc>
        <w:tc>
          <w:tcPr>
            <w:tcW w:w="302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Eletivas</w:t>
            </w:r>
          </w:p>
        </w:tc>
        <w:tc>
          <w:tcPr>
            <w:tcW w:w="2474"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600 horas teóricas e 300 horas de prática.</w:t>
            </w:r>
          </w:p>
        </w:tc>
      </w:tr>
      <w:tr>
        <w:tblPrEx>
          <w:tblCellMar>
            <w:top w:w="55" w:type="dxa"/>
            <w:left w:w="51" w:type="dxa"/>
            <w:bottom w:w="55" w:type="dxa"/>
            <w:right w:w="55" w:type="dxa"/>
          </w:tblCellMar>
        </w:tblPrEx>
        <w:tc>
          <w:tcPr>
            <w:tcW w:w="3023"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Atividades Acadêmico-Científico-Culturais</w:t>
            </w:r>
          </w:p>
        </w:tc>
        <w:tc>
          <w:tcPr>
            <w:tcW w:w="302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ATVs</w:t>
            </w:r>
          </w:p>
        </w:tc>
        <w:tc>
          <w:tcPr>
            <w:tcW w:w="2474"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200 horas</w:t>
            </w:r>
          </w:p>
        </w:tc>
      </w:tr>
    </w:tbl>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ab/>
      </w:r>
      <w:r>
        <w:rPr>
          <w:rFonts w:ascii="Times New Roman" w:hAnsi="Times New Roman" w:eastAsia="Calibri" w:cs="Times New Roman"/>
          <w:color w:val="000000"/>
        </w:rPr>
        <w:tab/>
      </w:r>
      <w:r>
        <w:rPr>
          <w:rFonts w:ascii="Times New Roman" w:hAnsi="Times New Roman" w:eastAsia="Calibri" w:cs="Times New Roman"/>
          <w:color w:val="000000"/>
        </w:rPr>
        <w:t>Todas as disciplinas foram pensadas de forma a integrar as dimensões de ensino e pesquisa em História, tal como estipula a Lei de Diretrizes e Bases da Educação em seu artigo n</w:t>
      </w:r>
      <w:r>
        <w:rPr>
          <w:rFonts w:ascii="Times New Roman" w:hAnsi="Times New Roman" w:eastAsia="Calibri" w:cs="Times New Roman"/>
          <w:color w:val="000000"/>
          <w:vertAlign w:val="superscript"/>
        </w:rPr>
        <w:t>o</w:t>
      </w:r>
      <w:r>
        <w:rPr>
          <w:rFonts w:ascii="Times New Roman" w:hAnsi="Times New Roman" w:eastAsia="Calibri" w:cs="Times New Roman"/>
          <w:color w:val="000000"/>
        </w:rPr>
        <w:t xml:space="preserve"> 43. O ciclo básico era formado por dezesseis disciplinas obrigatórias. No primeiro semestre, o aluno deveria cursar Introdução à História (60 horas), História do Brasil I (60 horas), História Moderna (60 horas), Introdução às Ciências Sociais (60 horas) e Filosofia (60 horas) No segundo semestre, História Contemporânea (60 horas), História da América I (60 horas), História do Brasil II (60 horas), História da Historiografia Brasileira (60 horas). No terceiro, História da Historiografia Geral (60 horas), História da América II (60 horas), História do Brasil III (60 horas), História Antiga (60 horas). No quarto e último semestre, Teoria da História (60 horas), História Medieval (60 horas) e História de Minas Gerais (60 horas). No terceiro semestre, o aluno já poderia, se assim quisesse, matricular-se em disciplinas eletivas, respeitando sempre os limites mínimo e máximo de carga-horária semestral, definidos na Resolução Cohis nº 04/12.</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ab/>
      </w:r>
      <w:r>
        <w:rPr>
          <w:rFonts w:ascii="Times New Roman" w:hAnsi="Times New Roman" w:eastAsia="Calibri" w:cs="Times New Roman"/>
          <w:color w:val="000000"/>
        </w:rPr>
        <w:t>Finalizado este ciclo básico, iniciava-se, portanto, um ciclo que era constituído pelos estágios — sendo 4, cada um com 105 horas — e pelas disciplinas obrigatórias Psicologia da Educação I e II e Gestão Escolar. Concomitantemente a essas disciplinas, os discentes deveriam cumprir 900 horas de eletivas, as quais davam ao ciclo um caráter de formação livre, uma vez que o aluno poderia fazer escolhas com base numa vasta oferta, assim como, por meio do Centro Acadêmico, sugerir que os docentes oferecessem eletivas que não constassem da grade disponível no Colegiado de Curso.</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ab/>
      </w:r>
      <w:r>
        <w:rPr>
          <w:rFonts w:ascii="Times New Roman" w:hAnsi="Times New Roman" w:eastAsia="Calibri" w:cs="Times New Roman"/>
          <w:color w:val="000000"/>
        </w:rPr>
        <w:tab/>
      </w:r>
      <w:r>
        <w:rPr>
          <w:rFonts w:ascii="Times New Roman" w:hAnsi="Times New Roman" w:eastAsia="Calibri" w:cs="Times New Roman"/>
          <w:color w:val="000000"/>
        </w:rPr>
        <w:t>A experiência dessa oferta de eletivas foi um dos pontos positivos que se manteve no atual projeto, embora sua carga horária tenha sido reduzida para 480 horas devido à necessidade de se acrescentar as horas de extensão e de se aumentar as horas práticas. No entanto, por manter um diálogo constante com o curso de Bacharelado em História e com os departamentos de Letras, Filosofia, Pedagogia, Museologia, Economia, Serviço Social e Direito, o discente do Curso de Licenciatura ainda tem a possibilidade de fazer disciplinas eletivas e/ou facultativas para além da carga mínima exigida.</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720" w:firstLineChars="0"/>
        <w:jc w:val="both"/>
        <w:rPr>
          <w:rFonts w:ascii="Times New Roman" w:hAnsi="Times New Roman" w:eastAsia="Liberation Serif" w:cs="Times New Roman"/>
          <w:color w:val="000000"/>
        </w:rPr>
      </w:pPr>
      <w:r>
        <w:rPr>
          <w:rFonts w:ascii="Times New Roman" w:hAnsi="Times New Roman" w:eastAsia="Calibri" w:cs="Times New Roman"/>
          <w:color w:val="000000"/>
        </w:rPr>
        <w:t>Por fim, é oportuno reiterarmos, de forma mais específica, os princípios gerais referentes à concepção filosófica e pedagógica que orientam a proposta e a prática curricular do curso, os quais delineiam-se de forma significativa no interior desta proposta. A junção dos princípios inerentes à Pesquisa, ao Ensino e à Extensão, realizada durante os anos de curso, forma o impulso fundamental das atividades e iniciativas apresentadas no presente Projeto. Essa junção é fundamental para preparar o licenciando e a licencianda, futuro professor e futura professora, para a construção crítica, democrática e colaborativa do saber histórico nos diversos espaços de ensino, sejam eles físicos (sala de aula, museus, arquivos) ou virtuais (redes e mídias sociais). Pensar essa construção democrática e colaborativa do saber, fora da Universidade, deve implicar sua implementação e constância na formação dos futuros professores. Logo, valorizar o saber discente e construir um processo de ensino e aprendizagem participativo e inclusivo erige-se como experiência incontornável dentro da Universidade Federal de Ouro Preto e condição obrigatória para a formação dos professores de História. Em outras palavras, inclusão, respeito à diversidade e construção democrática do saber histórico são as palavras-chave dos eixos pedagógicos e filosóficos que estruturam o presente PPC.</w:t>
      </w:r>
    </w:p>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Liberation Serif" w:cs="Times New Roman"/>
          <w:color w:val="000000"/>
        </w:rPr>
      </w:pPr>
      <w:r>
        <w:rPr>
          <w:rFonts w:ascii="Times New Roman" w:hAnsi="Times New Roman" w:eastAsia="Calibri" w:cs="Times New Roman"/>
          <w:b/>
          <w:color w:val="000000"/>
        </w:rPr>
        <w:t>Justificativa</w:t>
      </w:r>
    </w:p>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ab/>
      </w:r>
      <w:r>
        <w:rPr>
          <w:rFonts w:ascii="Times New Roman" w:hAnsi="Times New Roman" w:eastAsia="Calibri" w:cs="Times New Roman"/>
          <w:color w:val="000000"/>
        </w:rPr>
        <w:tab/>
      </w:r>
      <w:r>
        <w:rPr>
          <w:rFonts w:ascii="Times New Roman" w:hAnsi="Times New Roman" w:eastAsia="Calibri" w:cs="Times New Roman"/>
          <w:color w:val="000000"/>
        </w:rPr>
        <w:t>No projeto de constituição do Curso de Licenciatura em História da UFOP, dois fatores devem ser destacados por serem reveladores de suas diretrizes e identidade. O primeiro diz respeito à peculiaridade da região, que comporta um significativo acervo arquitetônico, arqueológico, artístico e documental. O segundo refere-se a uma carência local de profissionais com formação plena para atuar nas diversas áreas de produção, difusão e gestão do conhecimento histórico.</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ab/>
      </w:r>
      <w:r>
        <w:rPr>
          <w:rFonts w:ascii="Times New Roman" w:hAnsi="Times New Roman" w:eastAsia="Calibri" w:cs="Times New Roman"/>
          <w:color w:val="000000"/>
        </w:rPr>
        <w:tab/>
      </w:r>
      <w:r>
        <w:rPr>
          <w:rFonts w:ascii="Times New Roman" w:hAnsi="Times New Roman" w:eastAsia="Calibri" w:cs="Times New Roman"/>
          <w:color w:val="000000"/>
        </w:rPr>
        <w:t>A significativa abundância de fontes históricas disponíveis para a construção do saber histórico e de uma educação patrimonial serviu de argumento para a constituição do curso, o qual, vale destacar, foi instalado no antigo prédio do Seminário de Nossa Senhora da Boa Morte. Fundado em 1750, o seminário foi considerado a primeira instituição de ensino de Minas Gerais. Com efeito, o projeto do Curso de História, redigido pela professora Maria Efigênia Lage de Resende, afirmava a necessidade de se valorizar e organizar o patrimônio histórico como condição para se constituir, através do bacharelado, um “centro de convergência de especialistas e demais interessados em História de Minas”. De fato, o contato com as fontes históricas, na sua ampla acepção, conferiu identidade ao curso e suscitou diversas pesquisas, consubstanciadas na considerável produção e atuação acadêmica dos seus alunos e professores.</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ab/>
      </w:r>
      <w:r>
        <w:rPr>
          <w:rFonts w:ascii="Times New Roman" w:hAnsi="Times New Roman" w:eastAsia="Calibri" w:cs="Times New Roman"/>
          <w:color w:val="000000"/>
        </w:rPr>
        <w:tab/>
      </w:r>
      <w:r>
        <w:rPr>
          <w:rFonts w:ascii="Times New Roman" w:hAnsi="Times New Roman" w:eastAsia="Calibri" w:cs="Times New Roman"/>
          <w:color w:val="000000"/>
        </w:rPr>
        <w:t>As mudanças operadas a partir dos anos de 1990, com a expansão, inserção internacional e diversificação dos programas de pós-graduação no Brasil, levaram inevitavelmente a se pensar em termos mais globais o ensino, a pesquisa e a extensão em História. Desde sua criação, o curso forma profissionais capazes de atuar no ensino e na pesquisa em História, em instituições educacionais e patrimoniais situadas na Região dos Inconfidentes e para além dela.</w:t>
      </w:r>
      <w:r>
        <w:rPr>
          <w:rFonts w:ascii="Times New Roman" w:hAnsi="Times New Roman" w:eastAsia="Calibri" w:cs="Times New Roman"/>
          <w:color w:val="000000"/>
        </w:rPr>
        <w:tab/>
      </w:r>
      <w:r>
        <w:rPr>
          <w:rFonts w:ascii="Times New Roman" w:hAnsi="Times New Roman" w:eastAsia="Calibri" w:cs="Times New Roman"/>
          <w:color w:val="000000"/>
        </w:rPr>
        <w:t>Como já dito inicialmente, em conformidade com as Diretrizes Curriculares Nacionais para os Cursos de Graduação em História (CNE/CES 13/2002; CNE/CES 492/2001; CNE/02/2015), o Curso de História da UFOP passou por uma alteração que separou as duas habilitações. A separação de Licenciatura e Bacharelado, contudo, não alterou os princípios que definiram a reforma de 2010.</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ab/>
      </w:r>
      <w:r>
        <w:rPr>
          <w:rFonts w:ascii="Times New Roman" w:hAnsi="Times New Roman" w:eastAsia="Calibri" w:cs="Times New Roman"/>
          <w:color w:val="000000"/>
        </w:rPr>
        <w:tab/>
      </w:r>
      <w:r>
        <w:rPr>
          <w:rFonts w:ascii="Times New Roman" w:hAnsi="Times New Roman" w:eastAsia="Calibri" w:cs="Times New Roman"/>
          <w:color w:val="000000"/>
        </w:rPr>
        <w:t xml:space="preserve">A realização da pesquisa histórica em instituições de memória — museus, arquivos etc. — e no planejamento de políticas patrimoniais mostra-se decisiva num contexto de democratização do acesso à cultura e ao conhecimento dos processos históricos em particular. Na Região dos Inconfidentes, o campo de atuação profissional é relativamente vasto, pois nela existem inúmeros museus, arquivos e instituições de memória, próprias de uma região de grande importância na memória histórica nacional. As cidades históricas da região são instadas a conceber políticas patrimoniais integradas a seus planos diretores. Nacionalmente, o campo de atuação também se ampliou com a instituição de uma política museológica desde a criação do Instituto Brasileiro de Museus (Ibram), com as exigências de políticas patrimoniais para os municípios, a pluralização dos agentes e instituições sociais dedicados à memória, a consolidação de segmentos do mercado editorial dedicados à História, e a multiplicação de iniciativas de divulgação histórica que fazem uso das novas mídias.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ab/>
      </w:r>
      <w:r>
        <w:rPr>
          <w:rFonts w:ascii="Times New Roman" w:hAnsi="Times New Roman" w:eastAsia="Calibri" w:cs="Times New Roman"/>
          <w:color w:val="000000"/>
        </w:rPr>
        <w:tab/>
      </w:r>
      <w:r>
        <w:rPr>
          <w:rFonts w:ascii="Times New Roman" w:hAnsi="Times New Roman" w:eastAsia="Calibri" w:cs="Times New Roman"/>
          <w:color w:val="000000"/>
        </w:rPr>
        <w:t>No que diz respeito especificamente à formação de licenciados em história, vale dizer que a experiência acumulada e as mudanças sociais e políticas que valorizaram diferentes atores políticos e espaços geográficos, como já foi dito anteriormente, estimularam a atualização do Projeto Pedagógico de Curso. Assim, sem alterar em profundidade a concepção desenvolvida em 2010, foram definidas 200 horas para TCC I e TCC II, alteradas as disciplinas relativas à componente pedagógica — distribuindo-se de maneira mais uniforme seu conteúdo por quatro disciplinas —, e redistribuídas as horas práticas, que passaram a totalizar 400h.</w:t>
      </w:r>
    </w:p>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b/>
          <w:color w:val="000000"/>
        </w:rPr>
        <w:t>Perfil e competência profissional do egresso</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720" w:firstLineChars="0"/>
        <w:jc w:val="both"/>
        <w:rPr>
          <w:rFonts w:ascii="Times New Roman" w:hAnsi="Times New Roman" w:eastAsia="Liberation Serif" w:cs="Times New Roman"/>
          <w:color w:val="000000"/>
        </w:rPr>
      </w:pPr>
      <w:r>
        <w:rPr>
          <w:rFonts w:ascii="Times New Roman" w:hAnsi="Times New Roman" w:eastAsia="Calibri" w:cs="Times New Roman"/>
          <w:color w:val="000000"/>
        </w:rPr>
        <w:t>O perfil do egresso está em consonância com as Diretrizes Curriculares do Curso e com o perfil profissional constituído em torno da formação de professores críticos. Esta consolida-se na construção colaborativa e democrática do saber e no respeito à diversidade no processo de ensino e aprendizagem. Destacam-se, para essa efetiva formação, as competências e habilidades esperadas do egresso de acordo com o Parecer CNE/CES Nº 492/2001</w:t>
      </w:r>
      <w:r>
        <w:rPr>
          <w:rFonts w:ascii="Times New Roman" w:hAnsi="Times New Roman" w:eastAsia="Calibri" w:cs="Times New Roman"/>
          <w:color w:val="000000"/>
          <w:vertAlign w:val="superscript"/>
        </w:rPr>
        <w:footnoteReference w:id="16"/>
      </w:r>
      <w:r>
        <w:rPr>
          <w:rFonts w:ascii="Times New Roman" w:hAnsi="Times New Roman" w:eastAsia="Calibri" w:cs="Times New Roman"/>
          <w:color w:val="000000"/>
        </w:rPr>
        <w:t xml:space="preserve">: </w:t>
      </w:r>
    </w:p>
    <w:p>
      <w:pPr>
        <w:spacing w:before="280" w:after="280"/>
        <w:ind w:left="0" w:hanging="2"/>
        <w:rPr>
          <w:rFonts w:ascii="Times New Roman" w:hAnsi="Times New Roman" w:cs="Times New Roman"/>
        </w:rPr>
      </w:pPr>
      <w:r>
        <w:rPr>
          <w:rFonts w:ascii="Times New Roman" w:hAnsi="Times New Roman" w:eastAsia="Calibri" w:cs="Times New Roman"/>
          <w:i/>
        </w:rPr>
        <w:t>Competências e Habilidades Gerais:</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a. Dominar as diferentes concepções metodológicas que referenciam a construção de categorias para a investigação e a análise das relações sócio-históricas.</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b. Problematizar, nas múltiplas dimensões das experiências dos sujeitos históricos, a constituição de diferentes relações de tempo e espaço.</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c. Conhecer as informações básicas referentes às diferentes épocas históricas nas várias tradições civilizatórias, assim como sua interrelação.</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d. Transitar pelas fronteiras entre a História e outras áreas do conhecimento.</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e. Desenvolver a pesquisa, a produção do conhecimento e sua difusão, não só́ no âmbito acadêmico, mas também em instituições de ensino, museus, órgãos de preservação de documentos e por meio do desenvolvimento de políticas e projetos de gestão do patrimônio cultural.</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f. Competência na utilização da informática.</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i/>
          <w:color w:val="000000"/>
        </w:rPr>
        <w:t>B) Competências e Habilidades Específicas para Licenciatura:</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a. Domínio dos conteúdos básicos que são objeto de ensino — aprendizagem no ensino fundamental e médio.</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 xml:space="preserve">b. Domínio dos métodos e técnicas pedagógicos que permitem a transmissão do conhecimento para os diferentes níveis de ensino.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720" w:firstLineChars="0"/>
        <w:jc w:val="both"/>
        <w:rPr>
          <w:rFonts w:ascii="Times New Roman" w:hAnsi="Times New Roman" w:eastAsia="Liberation Serif" w:cs="Times New Roman"/>
          <w:color w:val="000000"/>
        </w:rPr>
      </w:pPr>
      <w:r>
        <w:rPr>
          <w:rFonts w:ascii="Times New Roman" w:hAnsi="Times New Roman" w:eastAsia="Calibri" w:cs="Times New Roman"/>
          <w:color w:val="000000"/>
        </w:rPr>
        <w:t>Assim, o profissional egresso do Curso de Licenciatura em História da Universidade Federal de Ouro Preto estará capacitado para a atuação profissional na área, em seus vários âmbitos. Sua habilitação como licenciado o encaminhará, a princípio, para a docência de História no Ensino Fundamental e Médio, na Educação de Jovens e Adultos, na rede pública e particular de educação. No entanto, por ser um curso preocupado com o desenvolvimento da pesquisa e da extensão, nossos egressos serão também capacitados para a pesquisa, a produção e a difusão do conhecimento histórico, para atividades de assessoria e consultoria histórica, bem como para o desenvolvimento de cursos livres e de atividades voltadas para a guarda e publicização da memória histórica.</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ab/>
      </w:r>
      <w:r>
        <w:rPr>
          <w:rFonts w:ascii="Times New Roman" w:hAnsi="Times New Roman" w:eastAsia="Calibri" w:cs="Times New Roman"/>
          <w:color w:val="000000"/>
        </w:rPr>
        <w:tab/>
      </w:r>
      <w:r>
        <w:rPr>
          <w:rFonts w:ascii="Times New Roman" w:hAnsi="Times New Roman" w:eastAsia="Calibri" w:cs="Times New Roman"/>
          <w:color w:val="000000"/>
        </w:rPr>
        <w:t>Estará capacitado para trabalhar no desenvolvimento de políticas e projetos de gestão do patrimônio histórico, artístico e cultural, coordenando e supervisionando equipes de trabalho, elaborando laudos, pareceres e projetos de pesquisa em assuntos históricos. Terá a competência necessária, portanto, para trabalhar em instituições de pesquisa histórica, museus e arquivos históricos, junto a museólogos e arquivistas, produzindo uma reflexão aprofundada sobre os acervos e os processos históricos que os constituíram.</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ab/>
      </w:r>
      <w:r>
        <w:rPr>
          <w:rFonts w:ascii="Times New Roman" w:hAnsi="Times New Roman" w:eastAsia="Calibri" w:cs="Times New Roman"/>
          <w:color w:val="000000"/>
        </w:rPr>
        <w:tab/>
      </w:r>
      <w:r>
        <w:rPr>
          <w:rFonts w:ascii="Times New Roman" w:hAnsi="Times New Roman" w:eastAsia="Calibri" w:cs="Times New Roman"/>
          <w:color w:val="000000"/>
        </w:rPr>
        <w:t>O egresso terá uma formação intelectual ampla, que lhe permitirá sair-se bem em diversas áreas profissionais em que vier a ingressar. Além da capacidade intelectual e da erudição necessárias para exercer as atividades vinculadas especificamente ao ofício do professor-historiador, terá a competência necessária para o entendimento do significado social e cultural da área de História e de suas transformações ao longo do tempo.</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ab/>
      </w:r>
      <w:r>
        <w:rPr>
          <w:rFonts w:ascii="Times New Roman" w:hAnsi="Times New Roman" w:eastAsia="Calibri" w:cs="Times New Roman"/>
          <w:color w:val="000000"/>
        </w:rPr>
        <w:tab/>
      </w:r>
      <w:r>
        <w:rPr>
          <w:rFonts w:ascii="Times New Roman" w:hAnsi="Times New Roman" w:eastAsia="Calibri" w:cs="Times New Roman"/>
          <w:color w:val="000000"/>
        </w:rPr>
        <w:t>Para além do conhecimento e da transmissão de saberes solidificados, o profissional formado no Curso de Licenciatura em História saberá entender criticamente os campos de atuação profissional, sendo capaz de percebê-los, de forma ampla, em seu sentido filosófico, intelectual, social e humanista. Mais que apenas um profissional especializado, o egresso da área de História formado na UFOP terá aptidões intelectuais amplas que o capacitarão para a compreensão do mundo que o cerca em seus diversos domínios. Estará capacitado para a compreensão crítica e abrangente dos processos históricos, considerando suas relações sociais fundamentais, a atuação dos variados sujeitos sociais, as diferenças culturais e sociais de cada época. Por fim, saberá conjugar o saber acadêmico-científico e a prática social no sentido da transformação da sociedade que o cerca.</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Liberation Serif" w:cs="Times New Roman"/>
          <w:color w:val="000000"/>
        </w:rPr>
      </w:pPr>
      <w:r>
        <w:rPr>
          <w:rFonts w:ascii="Times New Roman" w:hAnsi="Times New Roman" w:eastAsia="Calibri" w:cs="Times New Roman"/>
          <w:b/>
          <w:color w:val="000000"/>
        </w:rPr>
        <w:t>Objetivos do curso</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ab/>
      </w:r>
      <w:r>
        <w:rPr>
          <w:rFonts w:ascii="Times New Roman" w:hAnsi="Times New Roman" w:eastAsia="Calibri" w:cs="Times New Roman"/>
          <w:color w:val="000000"/>
        </w:rPr>
        <w:tab/>
      </w:r>
      <w:r>
        <w:rPr>
          <w:rFonts w:ascii="Times New Roman" w:hAnsi="Times New Roman" w:eastAsia="Calibri" w:cs="Times New Roman"/>
          <w:color w:val="000000"/>
        </w:rPr>
        <w:t>O principal objetivo do Curso de Licenciatura em História da UFOP é formar professores-historiadores numa perspectiva pluridisciplinar que articule o campo da docência, no Ensino Fundamental e Médio, a pesquisa especializada e a formação crítica e humanística geral. O curso se destina a proporcionar ao discente uma visão panorâmica da multiplicidade de abordagens que integram o campo das discussões historiográficas atuais, fornecendo-lhe condições teóricas e metodológicas para tornar-se um profissional apto à realização de atividades de pesquisa histórica em alto nível de complexidade.</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ab/>
      </w:r>
      <w:r>
        <w:rPr>
          <w:rFonts w:ascii="Times New Roman" w:hAnsi="Times New Roman" w:eastAsia="Calibri" w:cs="Times New Roman"/>
          <w:color w:val="000000"/>
        </w:rPr>
        <w:tab/>
      </w:r>
      <w:r>
        <w:rPr>
          <w:rFonts w:ascii="Times New Roman" w:hAnsi="Times New Roman" w:eastAsia="Calibri" w:cs="Times New Roman"/>
          <w:color w:val="000000"/>
        </w:rPr>
        <w:t>O curso tem ainda como objetivo auxiliar na formação de um profissional crítico e imbuído de comprometimento ético-político, de modo que possa participar da construção de uma sociedade mais justa, solidária e democrática. Sendo assim, o curso visa a estimular o desenvolvimento do espírito científico, crítico, reflexivo, participativo e colaborativo, formando cidadãos e profissionais estimulados a refletir sobre os problemas do mundo presente em nível mundial, nacional e regional.</w:t>
      </w:r>
    </w:p>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Liberation Serif" w:cs="Times New Roman"/>
          <w:color w:val="000000"/>
        </w:rPr>
      </w:pPr>
      <w:r>
        <w:rPr>
          <w:rFonts w:ascii="Times New Roman" w:hAnsi="Times New Roman" w:eastAsia="Calibri" w:cs="Times New Roman"/>
          <w:i/>
          <w:color w:val="000000"/>
        </w:rPr>
        <w:t>Objetivos Específicos</w:t>
      </w:r>
      <w:r>
        <w:rPr>
          <w:rFonts w:ascii="Times New Roman" w:hAnsi="Times New Roman" w:eastAsia="Calibri" w:cs="Times New Roman"/>
          <w:color w:val="000000"/>
        </w:rPr>
        <w:t>:</w:t>
      </w:r>
    </w:p>
    <w:p>
      <w:pPr>
        <w:pBdr>
          <w:top w:val="none" w:color="auto" w:sz="0" w:space="0"/>
          <w:left w:val="none" w:color="auto" w:sz="0" w:space="0"/>
          <w:bottom w:val="none" w:color="auto" w:sz="0" w:space="0"/>
          <w:right w:val="none" w:color="auto" w:sz="0" w:space="0"/>
          <w:between w:val="none" w:color="auto" w:sz="0" w:space="0"/>
        </w:pBdr>
        <w:spacing w:after="140"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a) Promover a formação de professores, articulando atividades de pesquisa e extensão à relação ensino-aprendizado, num movimento que vá além dos ambientes universitários, buscando responder a questões da comunidade e fornecendo ferramentas para a produção de conhecimento.</w:t>
      </w:r>
    </w:p>
    <w:p>
      <w:pPr>
        <w:pBdr>
          <w:top w:val="none" w:color="auto" w:sz="0" w:space="0"/>
          <w:left w:val="none" w:color="auto" w:sz="0" w:space="0"/>
          <w:bottom w:val="none" w:color="auto" w:sz="0" w:space="0"/>
          <w:right w:val="none" w:color="auto" w:sz="0" w:space="0"/>
          <w:between w:val="none" w:color="auto" w:sz="0" w:space="0"/>
        </w:pBdr>
        <w:spacing w:after="140"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 xml:space="preserve">b) Proporcionar uma formação pedagógica do professor na condição de mediador da construção de conhecimentos históricos. </w:t>
      </w:r>
    </w:p>
    <w:p>
      <w:pPr>
        <w:pBdr>
          <w:top w:val="none" w:color="auto" w:sz="0" w:space="0"/>
          <w:left w:val="none" w:color="auto" w:sz="0" w:space="0"/>
          <w:bottom w:val="none" w:color="auto" w:sz="0" w:space="0"/>
          <w:right w:val="none" w:color="auto" w:sz="0" w:space="0"/>
          <w:between w:val="none" w:color="auto" w:sz="0" w:space="0"/>
        </w:pBdr>
        <w:spacing w:after="140"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 xml:space="preserve">c) Desenvolver atividades extensionistas com o intuito de reduzir o descompasso entre o conhecimento acadêmico, escolar e comunitário. </w:t>
      </w:r>
    </w:p>
    <w:p>
      <w:pPr>
        <w:pBdr>
          <w:top w:val="none" w:color="auto" w:sz="0" w:space="0"/>
          <w:left w:val="none" w:color="auto" w:sz="0" w:space="0"/>
          <w:bottom w:val="none" w:color="auto" w:sz="0" w:space="0"/>
          <w:right w:val="none" w:color="auto" w:sz="0" w:space="0"/>
          <w:between w:val="none" w:color="auto" w:sz="0" w:space="0"/>
        </w:pBdr>
        <w:spacing w:after="140"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d) Promover pesquisas com o material histórico da Região dos Inconfidentes com o intento de estimular o acesso à informação histórica por parte dos habitantes. Este processo inicia-se nas escolas através de trabalhos práticos e/ou extensionistas, mas pode desdobrar-se em oficinas, congressos, minicursos e outras atividades desenvolvidas pelo Departamento de História e abertas à comunidade.</w:t>
      </w:r>
    </w:p>
    <w:p>
      <w:pPr>
        <w:pBdr>
          <w:top w:val="none" w:color="auto" w:sz="0" w:space="0"/>
          <w:left w:val="none" w:color="auto" w:sz="0" w:space="0"/>
          <w:bottom w:val="none" w:color="auto" w:sz="0" w:space="0"/>
          <w:right w:val="none" w:color="auto" w:sz="0" w:space="0"/>
          <w:between w:val="none" w:color="auto" w:sz="0" w:space="0"/>
        </w:pBdr>
        <w:spacing w:after="140"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e) Desenvolver atividades que envolvam o conhecimento de técnicas de pesquisa em arquivos, museus e bibliotecas como forma de incentivar a educação patrimonial e museológica.</w:t>
      </w:r>
    </w:p>
    <w:p>
      <w:pPr>
        <w:pBdr>
          <w:top w:val="none" w:color="auto" w:sz="0" w:space="0"/>
          <w:left w:val="none" w:color="auto" w:sz="0" w:space="0"/>
          <w:bottom w:val="none" w:color="auto" w:sz="0" w:space="0"/>
          <w:right w:val="none" w:color="auto" w:sz="0" w:space="0"/>
          <w:between w:val="none" w:color="auto" w:sz="0" w:space="0"/>
        </w:pBdr>
        <w:spacing w:after="140"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f) Possibilitar ao egresso o acesso a uma área mais vasta de atuação que envolva, além do ensino, da pesquisa, do trabalho no campo do patrimônio e museológico, a atuação como produtor cultural, como consultor em processos que envolvam tombamentos e restauros e como agente junto às comunidades e às organizações e movimentos sociais.</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0" w:firstLineChars="0"/>
        <w:jc w:val="both"/>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Liberation Serif" w:cs="Times New Roman"/>
          <w:color w:val="000000"/>
        </w:rPr>
      </w:pPr>
      <w:r>
        <w:rPr>
          <w:rFonts w:ascii="Times New Roman" w:hAnsi="Times New Roman" w:eastAsia="Calibri" w:cs="Times New Roman"/>
          <w:b/>
          <w:color w:val="000000"/>
        </w:rPr>
        <w:t>Estrutura do curso</w:t>
      </w:r>
    </w:p>
    <w:p>
      <w:pPr>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Liberation Serif" w:cs="Times New Roman"/>
          <w:color w:val="000000"/>
        </w:rPr>
      </w:pPr>
      <w:r>
        <w:rPr>
          <w:rFonts w:ascii="Times New Roman" w:hAnsi="Times New Roman" w:eastAsia="Calibri" w:cs="Times New Roman"/>
          <w:i/>
          <w:color w:val="000000"/>
        </w:rPr>
        <w:t>Administração Acadêmica</w:t>
      </w:r>
    </w:p>
    <w:p>
      <w:pPr>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40" w:line="360" w:lineRule="auto"/>
        <w:ind w:left="0" w:hanging="2"/>
        <w:jc w:val="both"/>
        <w:rPr>
          <w:rFonts w:ascii="Times New Roman" w:hAnsi="Times New Roman" w:eastAsia="Calibri" w:cs="Times New Roman"/>
          <w:color w:val="000000"/>
        </w:rPr>
      </w:pPr>
      <w:r>
        <w:rPr>
          <w:rFonts w:ascii="Times New Roman" w:hAnsi="Times New Roman" w:eastAsia="Calibri" w:cs="Times New Roman"/>
          <w:color w:val="000000"/>
        </w:rPr>
        <w:tab/>
      </w:r>
      <w:r>
        <w:rPr>
          <w:rFonts w:ascii="Times New Roman" w:hAnsi="Times New Roman" w:eastAsia="Calibri" w:cs="Times New Roman"/>
          <w:color w:val="000000"/>
        </w:rPr>
        <w:t xml:space="preserve">O Curso de Licenciatura em História é composto por 23 professores, todos com titulação de doutorado, que trabalham em regime de 40 horas com dedicação exclusiva.  </w:t>
      </w:r>
    </w:p>
    <w:tbl>
      <w:tblPr>
        <w:tblStyle w:val="471"/>
        <w:tblW w:w="8566" w:type="dxa"/>
        <w:tblInd w:w="-2" w:type="dxa"/>
        <w:tblLayout w:type="fixed"/>
        <w:tblCellMar>
          <w:top w:w="55" w:type="dxa"/>
          <w:left w:w="51" w:type="dxa"/>
          <w:bottom w:w="55" w:type="dxa"/>
          <w:right w:w="55" w:type="dxa"/>
        </w:tblCellMar>
      </w:tblPr>
      <w:tblGrid>
        <w:gridCol w:w="1497"/>
        <w:gridCol w:w="3918"/>
        <w:gridCol w:w="3151"/>
      </w:tblGrid>
      <w:tr>
        <w:tblPrEx>
          <w:tblCellMar>
            <w:top w:w="55" w:type="dxa"/>
            <w:left w:w="51" w:type="dxa"/>
            <w:bottom w:w="55" w:type="dxa"/>
            <w:right w:w="55" w:type="dxa"/>
          </w:tblCellMar>
        </w:tblPrEx>
        <w:tc>
          <w:tcPr>
            <w:tcW w:w="8566" w:type="dxa"/>
            <w:gridSpan w:val="3"/>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b/>
                <w:color w:val="000000"/>
              </w:rPr>
              <w:t>Tabela 03 - Corpo docente</w:t>
            </w:r>
          </w:p>
        </w:tc>
      </w:tr>
      <w:tr>
        <w:tblPrEx>
          <w:tblCellMar>
            <w:top w:w="55" w:type="dxa"/>
            <w:left w:w="51" w:type="dxa"/>
            <w:bottom w:w="55" w:type="dxa"/>
            <w:right w:w="55" w:type="dxa"/>
          </w:tblCellMar>
        </w:tblPrEx>
        <w:tc>
          <w:tcPr>
            <w:tcW w:w="149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1E1E1E"/>
              </w:rPr>
            </w:pPr>
            <w:r>
              <w:rPr>
                <w:rFonts w:ascii="Times New Roman" w:hAnsi="Times New Roman" w:eastAsia="Calibri" w:cs="Times New Roman"/>
                <w:color w:val="000000"/>
                <w:lang w:eastAsia="pt-BR" w:bidi="ar-SA"/>
              </w:rPr>
              <w:drawing>
                <wp:inline distT="0" distB="0" distL="114300" distR="114300">
                  <wp:extent cx="680720" cy="612775"/>
                  <wp:effectExtent l="0" t="0" r="0" b="0"/>
                  <wp:docPr id="1078" name="image18.jpg"/>
                  <wp:cNvGraphicFramePr/>
                  <a:graphic xmlns:a="http://schemas.openxmlformats.org/drawingml/2006/main">
                    <a:graphicData uri="http://schemas.openxmlformats.org/drawingml/2006/picture">
                      <pic:pic xmlns:pic="http://schemas.openxmlformats.org/drawingml/2006/picture">
                        <pic:nvPicPr>
                          <pic:cNvPr id="1078" name="image18.jpg"/>
                          <pic:cNvPicPr preferRelativeResize="0"/>
                        </pic:nvPicPr>
                        <pic:blipFill>
                          <a:blip r:embed="rId51"/>
                          <a:srcRect/>
                          <a:stretch>
                            <a:fillRect/>
                          </a:stretch>
                        </pic:blipFill>
                        <pic:spPr>
                          <a:xfrm>
                            <a:off x="0" y="0"/>
                            <a:ext cx="680720" cy="612775"/>
                          </a:xfrm>
                          <a:prstGeom prst="rect">
                            <a:avLst/>
                          </a:prstGeom>
                        </pic:spPr>
                      </pic:pic>
                    </a:graphicData>
                  </a:graphic>
                </wp:inline>
              </w:drawing>
            </w:r>
          </w:p>
        </w:tc>
        <w:tc>
          <w:tcPr>
            <w:tcW w:w="3918"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1E1E1E"/>
              </w:rPr>
              <w:t>Álvaro de Araujo Antunes</w:t>
            </w:r>
          </w:p>
        </w:tc>
        <w:tc>
          <w:tcPr>
            <w:tcW w:w="3151"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alvoantunes@gmail.com</w:t>
            </w:r>
          </w:p>
        </w:tc>
      </w:tr>
      <w:tr>
        <w:tblPrEx>
          <w:tblCellMar>
            <w:top w:w="55" w:type="dxa"/>
            <w:left w:w="51" w:type="dxa"/>
            <w:bottom w:w="55" w:type="dxa"/>
            <w:right w:w="55" w:type="dxa"/>
          </w:tblCellMar>
        </w:tblPrEx>
        <w:tc>
          <w:tcPr>
            <w:tcW w:w="149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1E1E1E"/>
              </w:rPr>
            </w:pPr>
            <w:r>
              <w:rPr>
                <w:rFonts w:ascii="Times New Roman" w:hAnsi="Times New Roman" w:eastAsia="Calibri" w:cs="Times New Roman"/>
                <w:color w:val="000000"/>
                <w:lang w:eastAsia="pt-BR" w:bidi="ar-SA"/>
              </w:rPr>
              <w:drawing>
                <wp:inline distT="0" distB="0" distL="114300" distR="114300">
                  <wp:extent cx="679450" cy="604520"/>
                  <wp:effectExtent l="0" t="0" r="0" b="0"/>
                  <wp:docPr id="1079" name="image31.jpg"/>
                  <wp:cNvGraphicFramePr/>
                  <a:graphic xmlns:a="http://schemas.openxmlformats.org/drawingml/2006/main">
                    <a:graphicData uri="http://schemas.openxmlformats.org/drawingml/2006/picture">
                      <pic:pic xmlns:pic="http://schemas.openxmlformats.org/drawingml/2006/picture">
                        <pic:nvPicPr>
                          <pic:cNvPr id="1079" name="image31.jpg"/>
                          <pic:cNvPicPr preferRelativeResize="0"/>
                        </pic:nvPicPr>
                        <pic:blipFill>
                          <a:blip r:embed="rId52"/>
                          <a:srcRect/>
                          <a:stretch>
                            <a:fillRect/>
                          </a:stretch>
                        </pic:blipFill>
                        <pic:spPr>
                          <a:xfrm>
                            <a:off x="0" y="0"/>
                            <a:ext cx="679450" cy="604520"/>
                          </a:xfrm>
                          <a:prstGeom prst="rect">
                            <a:avLst/>
                          </a:prstGeom>
                        </pic:spPr>
                      </pic:pic>
                    </a:graphicData>
                  </a:graphic>
                </wp:inline>
              </w:drawing>
            </w:r>
          </w:p>
        </w:tc>
        <w:tc>
          <w:tcPr>
            <w:tcW w:w="3918"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1E1E1E"/>
              </w:rPr>
              <w:t>Ana Mónica Henriques Lopes</w:t>
            </w:r>
          </w:p>
        </w:tc>
        <w:tc>
          <w:tcPr>
            <w:tcW w:w="3151"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amhlopes@gmail.com</w:t>
            </w:r>
          </w:p>
        </w:tc>
      </w:tr>
      <w:tr>
        <w:tblPrEx>
          <w:tblCellMar>
            <w:top w:w="55" w:type="dxa"/>
            <w:left w:w="51" w:type="dxa"/>
            <w:bottom w:w="55" w:type="dxa"/>
            <w:right w:w="55" w:type="dxa"/>
          </w:tblCellMar>
        </w:tblPrEx>
        <w:tc>
          <w:tcPr>
            <w:tcW w:w="149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1E1E1E"/>
              </w:rPr>
            </w:pPr>
            <w:r>
              <w:rPr>
                <w:rFonts w:ascii="Times New Roman" w:hAnsi="Times New Roman" w:eastAsia="Liberation Serif" w:cs="Times New Roman"/>
                <w:color w:val="000000"/>
              </w:rPr>
              <w:object>
                <v:shape id="_x0000_i1025" o:spt="75" type="#_x0000_t75" style="height:65.1pt;width:53.2pt;" o:ole="t" filled="f" o:preferrelative="t" stroked="f" coordsize="21600,21600">
                  <v:path/>
                  <v:fill on="f" focussize="0,0"/>
                  <v:stroke on="f" joinstyle="miter"/>
                  <v:imagedata r:id="rId54" o:title=""/>
                  <o:lock v:ext="edit" aspectratio="t"/>
                  <w10:wrap type="none"/>
                  <w10:anchorlock/>
                </v:shape>
                <o:OLEObject Type="Embed" ProgID="PBrush" ShapeID="_x0000_i1025" DrawAspect="Content" ObjectID="_1468075725" r:id="rId53">
                  <o:LockedField>false</o:LockedField>
                </o:OLEObject>
              </w:object>
            </w:r>
          </w:p>
        </w:tc>
        <w:tc>
          <w:tcPr>
            <w:tcW w:w="3918"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1E1E1E"/>
              </w:rPr>
              <w:t>Anny Jackeline Torres Silveira</w:t>
            </w:r>
          </w:p>
        </w:tc>
        <w:tc>
          <w:tcPr>
            <w:tcW w:w="3151"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anny.silveira@ufop.edu.br</w:t>
            </w:r>
          </w:p>
        </w:tc>
      </w:tr>
      <w:tr>
        <w:tblPrEx>
          <w:tblCellMar>
            <w:top w:w="55" w:type="dxa"/>
            <w:left w:w="51" w:type="dxa"/>
            <w:bottom w:w="55" w:type="dxa"/>
            <w:right w:w="55" w:type="dxa"/>
          </w:tblCellMar>
        </w:tblPrEx>
        <w:tc>
          <w:tcPr>
            <w:tcW w:w="149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1E1E1E"/>
              </w:rPr>
            </w:pPr>
            <w:r>
              <w:rPr>
                <w:rFonts w:ascii="Times New Roman" w:hAnsi="Times New Roman" w:eastAsia="Calibri" w:cs="Times New Roman"/>
                <w:color w:val="000000"/>
                <w:lang w:eastAsia="pt-BR" w:bidi="ar-SA"/>
              </w:rPr>
              <w:drawing>
                <wp:inline distT="0" distB="0" distL="114300" distR="114300">
                  <wp:extent cx="706755" cy="706120"/>
                  <wp:effectExtent l="0" t="0" r="0" b="0"/>
                  <wp:docPr id="1081" name="image23.jpg"/>
                  <wp:cNvGraphicFramePr/>
                  <a:graphic xmlns:a="http://schemas.openxmlformats.org/drawingml/2006/main">
                    <a:graphicData uri="http://schemas.openxmlformats.org/drawingml/2006/picture">
                      <pic:pic xmlns:pic="http://schemas.openxmlformats.org/drawingml/2006/picture">
                        <pic:nvPicPr>
                          <pic:cNvPr id="1081" name="image23.jpg"/>
                          <pic:cNvPicPr preferRelativeResize="0"/>
                        </pic:nvPicPr>
                        <pic:blipFill>
                          <a:blip r:embed="rId55"/>
                          <a:srcRect/>
                          <a:stretch>
                            <a:fillRect/>
                          </a:stretch>
                        </pic:blipFill>
                        <pic:spPr>
                          <a:xfrm>
                            <a:off x="0" y="0"/>
                            <a:ext cx="706755" cy="706120"/>
                          </a:xfrm>
                          <a:prstGeom prst="rect">
                            <a:avLst/>
                          </a:prstGeom>
                        </pic:spPr>
                      </pic:pic>
                    </a:graphicData>
                  </a:graphic>
                </wp:inline>
              </w:drawing>
            </w:r>
          </w:p>
        </w:tc>
        <w:tc>
          <w:tcPr>
            <w:tcW w:w="3918"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1E1E1E"/>
              </w:rPr>
              <w:t>André de Lemos Freixo</w:t>
            </w:r>
          </w:p>
        </w:tc>
        <w:tc>
          <w:tcPr>
            <w:tcW w:w="3151"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andredelemos@gmail.com</w:t>
            </w:r>
          </w:p>
        </w:tc>
      </w:tr>
      <w:tr>
        <w:tblPrEx>
          <w:tblCellMar>
            <w:top w:w="55" w:type="dxa"/>
            <w:left w:w="51" w:type="dxa"/>
            <w:bottom w:w="55" w:type="dxa"/>
            <w:right w:w="55" w:type="dxa"/>
          </w:tblCellMar>
        </w:tblPrEx>
        <w:tc>
          <w:tcPr>
            <w:tcW w:w="149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1E1E1E"/>
              </w:rPr>
            </w:pPr>
            <w:r>
              <w:rPr>
                <w:rFonts w:ascii="Times New Roman" w:hAnsi="Times New Roman" w:eastAsia="Calibri" w:cs="Times New Roman"/>
                <w:color w:val="000000"/>
                <w:lang w:eastAsia="pt-BR" w:bidi="ar-SA"/>
              </w:rPr>
              <w:drawing>
                <wp:inline distT="0" distB="0" distL="114300" distR="114300">
                  <wp:extent cx="706755" cy="706120"/>
                  <wp:effectExtent l="0" t="0" r="0" b="0"/>
                  <wp:docPr id="1080" name="image21.jpg"/>
                  <wp:cNvGraphicFramePr/>
                  <a:graphic xmlns:a="http://schemas.openxmlformats.org/drawingml/2006/main">
                    <a:graphicData uri="http://schemas.openxmlformats.org/drawingml/2006/picture">
                      <pic:pic xmlns:pic="http://schemas.openxmlformats.org/drawingml/2006/picture">
                        <pic:nvPicPr>
                          <pic:cNvPr id="1080" name="image21.jpg"/>
                          <pic:cNvPicPr preferRelativeResize="0"/>
                        </pic:nvPicPr>
                        <pic:blipFill>
                          <a:blip r:embed="rId56"/>
                          <a:srcRect/>
                          <a:stretch>
                            <a:fillRect/>
                          </a:stretch>
                        </pic:blipFill>
                        <pic:spPr>
                          <a:xfrm>
                            <a:off x="0" y="0"/>
                            <a:ext cx="706755" cy="706120"/>
                          </a:xfrm>
                          <a:prstGeom prst="rect">
                            <a:avLst/>
                          </a:prstGeom>
                        </pic:spPr>
                      </pic:pic>
                    </a:graphicData>
                  </a:graphic>
                </wp:inline>
              </w:drawing>
            </w:r>
          </w:p>
        </w:tc>
        <w:tc>
          <w:tcPr>
            <w:tcW w:w="3918"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1E1E1E"/>
              </w:rPr>
              <w:t>Andréa Lisly Gonçalves</w:t>
            </w:r>
          </w:p>
        </w:tc>
        <w:tc>
          <w:tcPr>
            <w:tcW w:w="3151"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alisly@terra.com.br</w:t>
            </w:r>
          </w:p>
        </w:tc>
      </w:tr>
      <w:tr>
        <w:tblPrEx>
          <w:tblCellMar>
            <w:top w:w="55" w:type="dxa"/>
            <w:left w:w="51" w:type="dxa"/>
            <w:bottom w:w="55" w:type="dxa"/>
            <w:right w:w="55" w:type="dxa"/>
          </w:tblCellMar>
        </w:tblPrEx>
        <w:tc>
          <w:tcPr>
            <w:tcW w:w="149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1E1E1E"/>
              </w:rPr>
            </w:pPr>
            <w:r>
              <w:rPr>
                <w:rFonts w:ascii="Times New Roman" w:hAnsi="Times New Roman" w:eastAsia="Calibri" w:cs="Times New Roman"/>
                <w:color w:val="000000"/>
                <w:lang w:eastAsia="pt-BR" w:bidi="ar-SA"/>
              </w:rPr>
              <w:drawing>
                <wp:inline distT="0" distB="0" distL="114300" distR="114300">
                  <wp:extent cx="694690" cy="694055"/>
                  <wp:effectExtent l="0" t="0" r="0" b="0"/>
                  <wp:docPr id="1083" name="image24.jpg"/>
                  <wp:cNvGraphicFramePr/>
                  <a:graphic xmlns:a="http://schemas.openxmlformats.org/drawingml/2006/main">
                    <a:graphicData uri="http://schemas.openxmlformats.org/drawingml/2006/picture">
                      <pic:pic xmlns:pic="http://schemas.openxmlformats.org/drawingml/2006/picture">
                        <pic:nvPicPr>
                          <pic:cNvPr id="1083" name="image24.jpg"/>
                          <pic:cNvPicPr preferRelativeResize="0"/>
                        </pic:nvPicPr>
                        <pic:blipFill>
                          <a:blip r:embed="rId57"/>
                          <a:srcRect/>
                          <a:stretch>
                            <a:fillRect/>
                          </a:stretch>
                        </pic:blipFill>
                        <pic:spPr>
                          <a:xfrm>
                            <a:off x="0" y="0"/>
                            <a:ext cx="694690" cy="694055"/>
                          </a:xfrm>
                          <a:prstGeom prst="rect">
                            <a:avLst/>
                          </a:prstGeom>
                        </pic:spPr>
                      </pic:pic>
                    </a:graphicData>
                  </a:graphic>
                </wp:inline>
              </w:drawing>
            </w:r>
          </w:p>
        </w:tc>
        <w:tc>
          <w:tcPr>
            <w:tcW w:w="3918"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1E1E1E"/>
              </w:rPr>
              <w:t>Arnaldo José Zangelmi</w:t>
            </w:r>
          </w:p>
        </w:tc>
        <w:tc>
          <w:tcPr>
            <w:tcW w:w="3151"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arnaldozan@yahoo.com.br</w:t>
            </w:r>
          </w:p>
        </w:tc>
      </w:tr>
      <w:tr>
        <w:tblPrEx>
          <w:tblCellMar>
            <w:top w:w="55" w:type="dxa"/>
            <w:left w:w="51" w:type="dxa"/>
            <w:bottom w:w="55" w:type="dxa"/>
            <w:right w:w="55" w:type="dxa"/>
          </w:tblCellMar>
        </w:tblPrEx>
        <w:tc>
          <w:tcPr>
            <w:tcW w:w="149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1E1E1E"/>
              </w:rPr>
            </w:pPr>
            <w:r>
              <w:rPr>
                <w:rFonts w:ascii="Times New Roman" w:hAnsi="Times New Roman" w:eastAsia="Calibri" w:cs="Times New Roman"/>
                <w:color w:val="000000"/>
                <w:lang w:eastAsia="pt-BR" w:bidi="ar-SA"/>
              </w:rPr>
              <w:drawing>
                <wp:inline distT="0" distB="0" distL="114300" distR="114300">
                  <wp:extent cx="708025" cy="707390"/>
                  <wp:effectExtent l="0" t="0" r="0" b="0"/>
                  <wp:docPr id="1082" name="image30.jpg"/>
                  <wp:cNvGraphicFramePr/>
                  <a:graphic xmlns:a="http://schemas.openxmlformats.org/drawingml/2006/main">
                    <a:graphicData uri="http://schemas.openxmlformats.org/drawingml/2006/picture">
                      <pic:pic xmlns:pic="http://schemas.openxmlformats.org/drawingml/2006/picture">
                        <pic:nvPicPr>
                          <pic:cNvPr id="1082" name="image30.jpg"/>
                          <pic:cNvPicPr preferRelativeResize="0"/>
                        </pic:nvPicPr>
                        <pic:blipFill>
                          <a:blip r:embed="rId58"/>
                          <a:srcRect/>
                          <a:stretch>
                            <a:fillRect/>
                          </a:stretch>
                        </pic:blipFill>
                        <pic:spPr>
                          <a:xfrm>
                            <a:off x="0" y="0"/>
                            <a:ext cx="708025" cy="707390"/>
                          </a:xfrm>
                          <a:prstGeom prst="rect">
                            <a:avLst/>
                          </a:prstGeom>
                        </pic:spPr>
                      </pic:pic>
                    </a:graphicData>
                  </a:graphic>
                </wp:inline>
              </w:drawing>
            </w:r>
          </w:p>
        </w:tc>
        <w:tc>
          <w:tcPr>
            <w:tcW w:w="3918"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1E1E1E"/>
              </w:rPr>
              <w:t>Bruno Tadeu Salles</w:t>
            </w:r>
          </w:p>
        </w:tc>
        <w:tc>
          <w:tcPr>
            <w:tcW w:w="3151"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salles_bruno003@yahoo.fr</w:t>
            </w:r>
          </w:p>
        </w:tc>
      </w:tr>
      <w:tr>
        <w:tblPrEx>
          <w:tblCellMar>
            <w:top w:w="55" w:type="dxa"/>
            <w:left w:w="51" w:type="dxa"/>
            <w:bottom w:w="55" w:type="dxa"/>
            <w:right w:w="55" w:type="dxa"/>
          </w:tblCellMar>
        </w:tblPrEx>
        <w:tc>
          <w:tcPr>
            <w:tcW w:w="149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r>
              <w:rPr>
                <w:rFonts w:ascii="Times New Roman" w:hAnsi="Times New Roman" w:eastAsia="Calibri" w:cs="Times New Roman"/>
                <w:color w:val="000000"/>
                <w:lang w:eastAsia="pt-BR" w:bidi="ar-SA"/>
              </w:rPr>
              <w:drawing>
                <wp:inline distT="0" distB="0" distL="114300" distR="114300">
                  <wp:extent cx="902335" cy="560070"/>
                  <wp:effectExtent l="0" t="0" r="0" b="0"/>
                  <wp:docPr id="1085" name="image27.jpg"/>
                  <wp:cNvGraphicFramePr/>
                  <a:graphic xmlns:a="http://schemas.openxmlformats.org/drawingml/2006/main">
                    <a:graphicData uri="http://schemas.openxmlformats.org/drawingml/2006/picture">
                      <pic:pic xmlns:pic="http://schemas.openxmlformats.org/drawingml/2006/picture">
                        <pic:nvPicPr>
                          <pic:cNvPr id="1085" name="image27.jpg"/>
                          <pic:cNvPicPr preferRelativeResize="0"/>
                        </pic:nvPicPr>
                        <pic:blipFill>
                          <a:blip r:embed="rId59"/>
                          <a:srcRect/>
                          <a:stretch>
                            <a:fillRect/>
                          </a:stretch>
                        </pic:blipFill>
                        <pic:spPr>
                          <a:xfrm>
                            <a:off x="0" y="0"/>
                            <a:ext cx="902335" cy="560070"/>
                          </a:xfrm>
                          <a:prstGeom prst="rect">
                            <a:avLst/>
                          </a:prstGeom>
                        </pic:spPr>
                      </pic:pic>
                    </a:graphicData>
                  </a:graphic>
                </wp:inline>
              </w:drawing>
            </w:r>
          </w:p>
        </w:tc>
        <w:tc>
          <w:tcPr>
            <w:tcW w:w="3918"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Daniel Wanderson Ferreira</w:t>
            </w:r>
          </w:p>
        </w:tc>
        <w:tc>
          <w:tcPr>
            <w:tcW w:w="3151"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fldChar w:fldCharType="begin"/>
            </w:r>
            <w:r>
              <w:instrText xml:space="preserve"> HYPERLINK "mailto:daniel_ferreira_bhz@hotmail.com" \h </w:instrText>
            </w:r>
            <w:r>
              <w:fldChar w:fldCharType="separate"/>
            </w:r>
            <w:r>
              <w:rPr>
                <w:rFonts w:ascii="Times New Roman" w:hAnsi="Times New Roman" w:eastAsia="Calibri" w:cs="Times New Roman"/>
                <w:color w:val="000000"/>
              </w:rPr>
              <w:t>daniel_ferreira_bhz@hotmail.</w:t>
            </w:r>
            <w:r>
              <w:rPr>
                <w:rFonts w:ascii="Times New Roman" w:hAnsi="Times New Roman" w:eastAsia="Calibri" w:cs="Times New Roman"/>
                <w:color w:val="000000"/>
              </w:rPr>
              <w:fldChar w:fldCharType="end"/>
            </w:r>
          </w:p>
        </w:tc>
      </w:tr>
      <w:tr>
        <w:tblPrEx>
          <w:tblCellMar>
            <w:top w:w="55" w:type="dxa"/>
            <w:left w:w="51" w:type="dxa"/>
            <w:bottom w:w="55" w:type="dxa"/>
            <w:right w:w="55" w:type="dxa"/>
          </w:tblCellMar>
        </w:tblPrEx>
        <w:tc>
          <w:tcPr>
            <w:tcW w:w="149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1E1E1E"/>
              </w:rPr>
            </w:pPr>
            <w:r>
              <w:rPr>
                <w:rFonts w:ascii="Times New Roman" w:hAnsi="Times New Roman" w:eastAsia="Calibri" w:cs="Times New Roman"/>
                <w:color w:val="000000"/>
                <w:lang w:eastAsia="pt-BR" w:bidi="ar-SA"/>
              </w:rPr>
              <w:drawing>
                <wp:inline distT="0" distB="0" distL="114300" distR="114300">
                  <wp:extent cx="720725" cy="584835"/>
                  <wp:effectExtent l="0" t="0" r="0" b="0"/>
                  <wp:docPr id="1084" name="image19.jpg"/>
                  <wp:cNvGraphicFramePr/>
                  <a:graphic xmlns:a="http://schemas.openxmlformats.org/drawingml/2006/main">
                    <a:graphicData uri="http://schemas.openxmlformats.org/drawingml/2006/picture">
                      <pic:pic xmlns:pic="http://schemas.openxmlformats.org/drawingml/2006/picture">
                        <pic:nvPicPr>
                          <pic:cNvPr id="1084" name="image19.jpg"/>
                          <pic:cNvPicPr preferRelativeResize="0"/>
                        </pic:nvPicPr>
                        <pic:blipFill>
                          <a:blip r:embed="rId60"/>
                          <a:srcRect/>
                          <a:stretch>
                            <a:fillRect/>
                          </a:stretch>
                        </pic:blipFill>
                        <pic:spPr>
                          <a:xfrm>
                            <a:off x="0" y="0"/>
                            <a:ext cx="720725" cy="584835"/>
                          </a:xfrm>
                          <a:prstGeom prst="rect">
                            <a:avLst/>
                          </a:prstGeom>
                        </pic:spPr>
                      </pic:pic>
                    </a:graphicData>
                  </a:graphic>
                </wp:inline>
              </w:drawing>
            </w:r>
          </w:p>
        </w:tc>
        <w:tc>
          <w:tcPr>
            <w:tcW w:w="3918"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1E1E1E"/>
              </w:rPr>
              <w:t>Cláudia Maria das Graças Chaves</w:t>
            </w:r>
          </w:p>
        </w:tc>
        <w:tc>
          <w:tcPr>
            <w:tcW w:w="3151"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claudiachavesmg@gmail.com</w:t>
            </w:r>
          </w:p>
        </w:tc>
      </w:tr>
      <w:tr>
        <w:tblPrEx>
          <w:tblCellMar>
            <w:top w:w="55" w:type="dxa"/>
            <w:left w:w="51" w:type="dxa"/>
            <w:bottom w:w="55" w:type="dxa"/>
            <w:right w:w="55" w:type="dxa"/>
          </w:tblCellMar>
        </w:tblPrEx>
        <w:tc>
          <w:tcPr>
            <w:tcW w:w="149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1E1E1E"/>
              </w:rPr>
            </w:pPr>
            <w:r>
              <w:rPr>
                <w:rFonts w:ascii="Times New Roman" w:hAnsi="Times New Roman" w:eastAsia="Calibri" w:cs="Times New Roman"/>
                <w:color w:val="000000"/>
                <w:lang w:eastAsia="pt-BR" w:bidi="ar-SA"/>
              </w:rPr>
              <w:drawing>
                <wp:inline distT="0" distB="0" distL="114300" distR="114300">
                  <wp:extent cx="667385" cy="666750"/>
                  <wp:effectExtent l="0" t="0" r="0" b="0"/>
                  <wp:docPr id="1087" name="image26.jpg"/>
                  <wp:cNvGraphicFramePr/>
                  <a:graphic xmlns:a="http://schemas.openxmlformats.org/drawingml/2006/main">
                    <a:graphicData uri="http://schemas.openxmlformats.org/drawingml/2006/picture">
                      <pic:pic xmlns:pic="http://schemas.openxmlformats.org/drawingml/2006/picture">
                        <pic:nvPicPr>
                          <pic:cNvPr id="1087" name="image26.jpg"/>
                          <pic:cNvPicPr preferRelativeResize="0"/>
                        </pic:nvPicPr>
                        <pic:blipFill>
                          <a:blip r:embed="rId61"/>
                          <a:srcRect/>
                          <a:stretch>
                            <a:fillRect/>
                          </a:stretch>
                        </pic:blipFill>
                        <pic:spPr>
                          <a:xfrm>
                            <a:off x="0" y="0"/>
                            <a:ext cx="667385" cy="666750"/>
                          </a:xfrm>
                          <a:prstGeom prst="rect">
                            <a:avLst/>
                          </a:prstGeom>
                        </pic:spPr>
                      </pic:pic>
                    </a:graphicData>
                  </a:graphic>
                </wp:inline>
              </w:drawing>
            </w:r>
          </w:p>
        </w:tc>
        <w:tc>
          <w:tcPr>
            <w:tcW w:w="3918"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1E1E1E"/>
              </w:rPr>
              <w:t>Fábio Duarte Joly</w:t>
            </w:r>
          </w:p>
        </w:tc>
        <w:tc>
          <w:tcPr>
            <w:tcW w:w="3151"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joly@uol.com.br</w:t>
            </w:r>
          </w:p>
        </w:tc>
      </w:tr>
      <w:tr>
        <w:tblPrEx>
          <w:tblCellMar>
            <w:top w:w="55" w:type="dxa"/>
            <w:left w:w="51" w:type="dxa"/>
            <w:bottom w:w="55" w:type="dxa"/>
            <w:right w:w="55" w:type="dxa"/>
          </w:tblCellMar>
        </w:tblPrEx>
        <w:tc>
          <w:tcPr>
            <w:tcW w:w="149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1E1E1E"/>
              </w:rPr>
            </w:pPr>
            <w:r>
              <w:rPr>
                <w:rFonts w:ascii="Times New Roman" w:hAnsi="Times New Roman" w:eastAsia="Liberation Serif" w:cs="Times New Roman"/>
                <w:color w:val="000000"/>
              </w:rPr>
              <w:object>
                <v:shape id="_x0000_i1026" o:spt="75" type="#_x0000_t75" style="height:46.95pt;width:57.6pt;" o:ole="t" filled="f" o:preferrelative="t" stroked="f" coordsize="21600,21600">
                  <v:path/>
                  <v:fill on="f" focussize="0,0"/>
                  <v:stroke on="f" joinstyle="miter"/>
                  <v:imagedata r:id="rId63" o:title=""/>
                  <o:lock v:ext="edit" aspectratio="t"/>
                  <w10:wrap type="none"/>
                  <w10:anchorlock/>
                </v:shape>
                <o:OLEObject Type="Embed" ProgID="PBrush" ShapeID="_x0000_i1026" DrawAspect="Content" ObjectID="_1468075726" r:id="rId62">
                  <o:LockedField>false</o:LockedField>
                </o:OLEObject>
              </w:object>
            </w:r>
          </w:p>
        </w:tc>
        <w:tc>
          <w:tcPr>
            <w:tcW w:w="3918"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1E1E1E"/>
              </w:rPr>
              <w:t>Fábio Faversani</w:t>
            </w:r>
          </w:p>
        </w:tc>
        <w:tc>
          <w:tcPr>
            <w:tcW w:w="3151"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faversan@ufop.edu.br</w:t>
            </w:r>
          </w:p>
        </w:tc>
      </w:tr>
      <w:tr>
        <w:tblPrEx>
          <w:tblCellMar>
            <w:top w:w="55" w:type="dxa"/>
            <w:left w:w="51" w:type="dxa"/>
            <w:bottom w:w="55" w:type="dxa"/>
            <w:right w:w="55" w:type="dxa"/>
          </w:tblCellMar>
        </w:tblPrEx>
        <w:tc>
          <w:tcPr>
            <w:tcW w:w="149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1E1E1E"/>
              </w:rPr>
            </w:pPr>
            <w:r>
              <w:rPr>
                <w:rFonts w:ascii="Times New Roman" w:hAnsi="Times New Roman" w:eastAsia="Calibri" w:cs="Times New Roman"/>
                <w:color w:val="000000"/>
                <w:lang w:eastAsia="pt-BR" w:bidi="ar-SA"/>
              </w:rPr>
              <w:drawing>
                <wp:inline distT="0" distB="0" distL="114300" distR="114300">
                  <wp:extent cx="668655" cy="537845"/>
                  <wp:effectExtent l="0" t="0" r="0" b="0"/>
                  <wp:docPr id="1086" name="image20.jpg"/>
                  <wp:cNvGraphicFramePr/>
                  <a:graphic xmlns:a="http://schemas.openxmlformats.org/drawingml/2006/main">
                    <a:graphicData uri="http://schemas.openxmlformats.org/drawingml/2006/picture">
                      <pic:pic xmlns:pic="http://schemas.openxmlformats.org/drawingml/2006/picture">
                        <pic:nvPicPr>
                          <pic:cNvPr id="1086" name="image20.jpg"/>
                          <pic:cNvPicPr preferRelativeResize="0"/>
                        </pic:nvPicPr>
                        <pic:blipFill>
                          <a:blip r:embed="rId64"/>
                          <a:srcRect/>
                          <a:stretch>
                            <a:fillRect/>
                          </a:stretch>
                        </pic:blipFill>
                        <pic:spPr>
                          <a:xfrm>
                            <a:off x="0" y="0"/>
                            <a:ext cx="668655" cy="537845"/>
                          </a:xfrm>
                          <a:prstGeom prst="rect">
                            <a:avLst/>
                          </a:prstGeom>
                        </pic:spPr>
                      </pic:pic>
                    </a:graphicData>
                  </a:graphic>
                </wp:inline>
              </w:drawing>
            </w:r>
          </w:p>
        </w:tc>
        <w:tc>
          <w:tcPr>
            <w:tcW w:w="3918"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1E1E1E"/>
              </w:rPr>
              <w:t>Francisco Eduardo de Andrade</w:t>
            </w:r>
          </w:p>
        </w:tc>
        <w:tc>
          <w:tcPr>
            <w:tcW w:w="3151"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andradefe@uol.com.br</w:t>
            </w:r>
          </w:p>
        </w:tc>
      </w:tr>
      <w:tr>
        <w:tblPrEx>
          <w:tblCellMar>
            <w:top w:w="55" w:type="dxa"/>
            <w:left w:w="51" w:type="dxa"/>
            <w:bottom w:w="55" w:type="dxa"/>
            <w:right w:w="55" w:type="dxa"/>
          </w:tblCellMar>
        </w:tblPrEx>
        <w:tc>
          <w:tcPr>
            <w:tcW w:w="149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1E1E1E"/>
              </w:rPr>
            </w:pPr>
            <w:r>
              <w:rPr>
                <w:rFonts w:ascii="Times New Roman" w:hAnsi="Times New Roman" w:eastAsia="Liberation Serif" w:cs="Times New Roman"/>
                <w:color w:val="000000"/>
              </w:rPr>
              <w:object>
                <v:shape id="_x0000_i1027" o:spt="75" type="#_x0000_t75" style="height:72.65pt;width:56.95pt;" o:ole="t" filled="f" o:preferrelative="t" stroked="f" coordsize="21600,21600">
                  <v:path/>
                  <v:fill on="f" focussize="0,0"/>
                  <v:stroke on="f" joinstyle="miter"/>
                  <v:imagedata r:id="rId66" o:title=""/>
                  <o:lock v:ext="edit" aspectratio="t"/>
                  <w10:wrap type="none"/>
                  <w10:anchorlock/>
                </v:shape>
                <o:OLEObject Type="Embed" ProgID="PBrush" ShapeID="_x0000_i1027" DrawAspect="Content" ObjectID="_1468075727" r:id="rId65">
                  <o:LockedField>false</o:LockedField>
                </o:OLEObject>
              </w:object>
            </w:r>
          </w:p>
        </w:tc>
        <w:tc>
          <w:tcPr>
            <w:tcW w:w="3918"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1E1E1E"/>
              </w:rPr>
              <w:t>Helena Miranda Mollo</w:t>
            </w:r>
          </w:p>
        </w:tc>
        <w:tc>
          <w:tcPr>
            <w:tcW w:w="3151"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hmollo@alternex.com.br</w:t>
            </w:r>
          </w:p>
        </w:tc>
      </w:tr>
      <w:tr>
        <w:tblPrEx>
          <w:tblCellMar>
            <w:top w:w="55" w:type="dxa"/>
            <w:left w:w="51" w:type="dxa"/>
            <w:bottom w:w="55" w:type="dxa"/>
            <w:right w:w="55" w:type="dxa"/>
          </w:tblCellMar>
        </w:tblPrEx>
        <w:tc>
          <w:tcPr>
            <w:tcW w:w="149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r>
              <w:rPr>
                <w:rFonts w:ascii="Times New Roman" w:hAnsi="Times New Roman" w:eastAsia="Liberation Serif" w:cs="Times New Roman"/>
                <w:color w:val="000000"/>
              </w:rPr>
              <w:object>
                <v:shape id="_x0000_i1028" o:spt="75" type="#_x0000_t75" style="height:56.95pt;width:56.35pt;" o:ole="t" filled="f" o:preferrelative="t" stroked="f" coordsize="21600,21600">
                  <v:path/>
                  <v:fill on="f" focussize="0,0"/>
                  <v:stroke on="f" joinstyle="miter"/>
                  <v:imagedata r:id="rId68" o:title=""/>
                  <o:lock v:ext="edit" aspectratio="t"/>
                  <w10:wrap type="none"/>
                  <w10:anchorlock/>
                </v:shape>
                <o:OLEObject Type="Embed" ProgID="PBrush" ShapeID="_x0000_i1028" DrawAspect="Content" ObjectID="_1468075728" r:id="rId67">
                  <o:LockedField>false</o:LockedField>
                </o:OLEObject>
              </w:object>
            </w:r>
          </w:p>
        </w:tc>
        <w:tc>
          <w:tcPr>
            <w:tcW w:w="3918"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Jefferson José Queler</w:t>
            </w:r>
          </w:p>
        </w:tc>
        <w:tc>
          <w:tcPr>
            <w:tcW w:w="3151"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jeffqueler@hotmail.com</w:t>
            </w:r>
          </w:p>
        </w:tc>
      </w:tr>
      <w:tr>
        <w:tblPrEx>
          <w:tblCellMar>
            <w:top w:w="55" w:type="dxa"/>
            <w:left w:w="51" w:type="dxa"/>
            <w:bottom w:w="55" w:type="dxa"/>
            <w:right w:w="55" w:type="dxa"/>
          </w:tblCellMar>
        </w:tblPrEx>
        <w:tc>
          <w:tcPr>
            <w:tcW w:w="149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r>
              <w:rPr>
                <w:rFonts w:ascii="Times New Roman" w:hAnsi="Times New Roman" w:eastAsia="Calibri" w:cs="Times New Roman"/>
                <w:color w:val="000000"/>
                <w:lang w:eastAsia="pt-BR" w:bidi="ar-SA"/>
              </w:rPr>
              <w:drawing>
                <wp:inline distT="0" distB="0" distL="114300" distR="114300">
                  <wp:extent cx="735965" cy="570865"/>
                  <wp:effectExtent l="0" t="0" r="0" b="0"/>
                  <wp:docPr id="1088" name="image17.png"/>
                  <wp:cNvGraphicFramePr/>
                  <a:graphic xmlns:a="http://schemas.openxmlformats.org/drawingml/2006/main">
                    <a:graphicData uri="http://schemas.openxmlformats.org/drawingml/2006/picture">
                      <pic:pic xmlns:pic="http://schemas.openxmlformats.org/drawingml/2006/picture">
                        <pic:nvPicPr>
                          <pic:cNvPr id="1088" name="image17.png"/>
                          <pic:cNvPicPr preferRelativeResize="0"/>
                        </pic:nvPicPr>
                        <pic:blipFill>
                          <a:blip r:embed="rId69"/>
                          <a:srcRect/>
                          <a:stretch>
                            <a:fillRect/>
                          </a:stretch>
                        </pic:blipFill>
                        <pic:spPr>
                          <a:xfrm>
                            <a:off x="0" y="0"/>
                            <a:ext cx="735965" cy="570865"/>
                          </a:xfrm>
                          <a:prstGeom prst="rect">
                            <a:avLst/>
                          </a:prstGeom>
                        </pic:spPr>
                      </pic:pic>
                    </a:graphicData>
                  </a:graphic>
                </wp:inline>
              </w:drawing>
            </w:r>
          </w:p>
        </w:tc>
        <w:tc>
          <w:tcPr>
            <w:tcW w:w="3918"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Luísa Rauter Pereira</w:t>
            </w:r>
          </w:p>
        </w:tc>
        <w:tc>
          <w:tcPr>
            <w:tcW w:w="3151"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lurauterp@gmail.com</w:t>
            </w:r>
          </w:p>
        </w:tc>
      </w:tr>
      <w:tr>
        <w:tblPrEx>
          <w:tblCellMar>
            <w:top w:w="55" w:type="dxa"/>
            <w:left w:w="51" w:type="dxa"/>
            <w:bottom w:w="55" w:type="dxa"/>
            <w:right w:w="55" w:type="dxa"/>
          </w:tblCellMar>
        </w:tblPrEx>
        <w:tc>
          <w:tcPr>
            <w:tcW w:w="149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r>
              <w:rPr>
                <w:rFonts w:ascii="Times New Roman" w:hAnsi="Times New Roman" w:eastAsia="Calibri" w:cs="Times New Roman"/>
                <w:color w:val="000000"/>
                <w:lang w:eastAsia="pt-BR" w:bidi="ar-SA"/>
              </w:rPr>
              <w:drawing>
                <wp:inline distT="0" distB="0" distL="114300" distR="114300">
                  <wp:extent cx="735965" cy="550545"/>
                  <wp:effectExtent l="0" t="0" r="0" b="0"/>
                  <wp:docPr id="1089" name="image32.jpg"/>
                  <wp:cNvGraphicFramePr/>
                  <a:graphic xmlns:a="http://schemas.openxmlformats.org/drawingml/2006/main">
                    <a:graphicData uri="http://schemas.openxmlformats.org/drawingml/2006/picture">
                      <pic:pic xmlns:pic="http://schemas.openxmlformats.org/drawingml/2006/picture">
                        <pic:nvPicPr>
                          <pic:cNvPr id="1089" name="image32.jpg"/>
                          <pic:cNvPicPr preferRelativeResize="0"/>
                        </pic:nvPicPr>
                        <pic:blipFill>
                          <a:blip r:embed="rId70"/>
                          <a:srcRect/>
                          <a:stretch>
                            <a:fillRect/>
                          </a:stretch>
                        </pic:blipFill>
                        <pic:spPr>
                          <a:xfrm>
                            <a:off x="0" y="0"/>
                            <a:ext cx="735965" cy="550545"/>
                          </a:xfrm>
                          <a:prstGeom prst="rect">
                            <a:avLst/>
                          </a:prstGeom>
                        </pic:spPr>
                      </pic:pic>
                    </a:graphicData>
                  </a:graphic>
                </wp:inline>
              </w:drawing>
            </w:r>
          </w:p>
        </w:tc>
        <w:tc>
          <w:tcPr>
            <w:tcW w:w="3918"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Luciano Magela Roza</w:t>
            </w:r>
          </w:p>
        </w:tc>
        <w:tc>
          <w:tcPr>
            <w:tcW w:w="3151"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lucianoroza@gmail.com</w:t>
            </w:r>
          </w:p>
        </w:tc>
      </w:tr>
      <w:tr>
        <w:tblPrEx>
          <w:tblCellMar>
            <w:top w:w="55" w:type="dxa"/>
            <w:left w:w="51" w:type="dxa"/>
            <w:bottom w:w="55" w:type="dxa"/>
            <w:right w:w="55" w:type="dxa"/>
          </w:tblCellMar>
        </w:tblPrEx>
        <w:tc>
          <w:tcPr>
            <w:tcW w:w="149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r>
              <w:rPr>
                <w:rFonts w:ascii="Times New Roman" w:hAnsi="Times New Roman" w:eastAsia="Liberation Serif" w:cs="Times New Roman"/>
                <w:color w:val="000000"/>
              </w:rPr>
              <w:object>
                <v:shape id="_x0000_i1029" o:spt="75" type="#_x0000_t75" style="height:65.75pt;width:56.95pt;" o:ole="t" filled="f" o:preferrelative="t" stroked="f" coordsize="21600,21600">
                  <v:path/>
                  <v:fill on="f" focussize="0,0"/>
                  <v:stroke on="f" joinstyle="miter"/>
                  <v:imagedata r:id="rId72" o:title=""/>
                  <o:lock v:ext="edit" aspectratio="t"/>
                  <w10:wrap type="none"/>
                  <w10:anchorlock/>
                </v:shape>
                <o:OLEObject Type="Embed" ProgID="PBrush" ShapeID="_x0000_i1029" DrawAspect="Content" ObjectID="_1468075729" r:id="rId71">
                  <o:LockedField>false</o:LockedField>
                </o:OLEObject>
              </w:object>
            </w:r>
          </w:p>
        </w:tc>
        <w:tc>
          <w:tcPr>
            <w:tcW w:w="3918"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Marcelo de Mello Rangel</w:t>
            </w:r>
          </w:p>
        </w:tc>
        <w:tc>
          <w:tcPr>
            <w:tcW w:w="3151"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mmellorangel@yahoo.com.br</w:t>
            </w:r>
          </w:p>
        </w:tc>
      </w:tr>
      <w:tr>
        <w:tblPrEx>
          <w:tblCellMar>
            <w:top w:w="55" w:type="dxa"/>
            <w:left w:w="51" w:type="dxa"/>
            <w:bottom w:w="55" w:type="dxa"/>
            <w:right w:w="55" w:type="dxa"/>
          </w:tblCellMar>
        </w:tblPrEx>
        <w:tc>
          <w:tcPr>
            <w:tcW w:w="149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r>
              <w:rPr>
                <w:rFonts w:ascii="Times New Roman" w:hAnsi="Times New Roman" w:eastAsia="Liberation Serif" w:cs="Times New Roman"/>
                <w:color w:val="000000"/>
              </w:rPr>
              <w:object>
                <v:shape id="_x0000_i1030" o:spt="75" type="#_x0000_t75" style="height:57.6pt;width:59.5pt;" o:ole="t" filled="f" o:preferrelative="t" stroked="f" coordsize="21600,21600">
                  <v:path/>
                  <v:fill on="f" focussize="0,0"/>
                  <v:stroke on="f" joinstyle="miter"/>
                  <v:imagedata r:id="rId74" o:title=""/>
                  <o:lock v:ext="edit" aspectratio="t"/>
                  <w10:wrap type="none"/>
                  <w10:anchorlock/>
                </v:shape>
                <o:OLEObject Type="Embed" ProgID="PBrush" ShapeID="_x0000_i1030" DrawAspect="Content" ObjectID="_1468075730" r:id="rId73">
                  <o:LockedField>false</o:LockedField>
                </o:OLEObject>
              </w:object>
            </w:r>
          </w:p>
        </w:tc>
        <w:tc>
          <w:tcPr>
            <w:tcW w:w="3918"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Marcelo Santos de Abreu</w:t>
            </w:r>
          </w:p>
        </w:tc>
        <w:tc>
          <w:tcPr>
            <w:tcW w:w="3151"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abreums75@gmail.com</w:t>
            </w:r>
          </w:p>
        </w:tc>
      </w:tr>
      <w:tr>
        <w:tblPrEx>
          <w:tblCellMar>
            <w:top w:w="55" w:type="dxa"/>
            <w:left w:w="51" w:type="dxa"/>
            <w:bottom w:w="55" w:type="dxa"/>
            <w:right w:w="55" w:type="dxa"/>
          </w:tblCellMar>
        </w:tblPrEx>
        <w:tc>
          <w:tcPr>
            <w:tcW w:w="149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r>
              <w:rPr>
                <w:rFonts w:ascii="Times New Roman" w:hAnsi="Times New Roman" w:eastAsia="Calibri" w:cs="Times New Roman"/>
                <w:color w:val="000000"/>
                <w:lang w:eastAsia="pt-BR" w:bidi="ar-SA"/>
              </w:rPr>
              <w:drawing>
                <wp:inline distT="0" distB="0" distL="114300" distR="114300">
                  <wp:extent cx="728980" cy="651510"/>
                  <wp:effectExtent l="0" t="0" r="0" b="0"/>
                  <wp:docPr id="1090" name="image28.png"/>
                  <wp:cNvGraphicFramePr/>
                  <a:graphic xmlns:a="http://schemas.openxmlformats.org/drawingml/2006/main">
                    <a:graphicData uri="http://schemas.openxmlformats.org/drawingml/2006/picture">
                      <pic:pic xmlns:pic="http://schemas.openxmlformats.org/drawingml/2006/picture">
                        <pic:nvPicPr>
                          <pic:cNvPr id="1090" name="image28.png"/>
                          <pic:cNvPicPr preferRelativeResize="0"/>
                        </pic:nvPicPr>
                        <pic:blipFill>
                          <a:blip r:embed="rId75"/>
                          <a:srcRect/>
                          <a:stretch>
                            <a:fillRect/>
                          </a:stretch>
                        </pic:blipFill>
                        <pic:spPr>
                          <a:xfrm>
                            <a:off x="0" y="0"/>
                            <a:ext cx="728980" cy="651510"/>
                          </a:xfrm>
                          <a:prstGeom prst="rect">
                            <a:avLst/>
                          </a:prstGeom>
                        </pic:spPr>
                      </pic:pic>
                    </a:graphicData>
                  </a:graphic>
                </wp:inline>
              </w:drawing>
            </w:r>
          </w:p>
        </w:tc>
        <w:tc>
          <w:tcPr>
            <w:tcW w:w="3918"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Marco Antonio Silveira</w:t>
            </w:r>
          </w:p>
        </w:tc>
        <w:tc>
          <w:tcPr>
            <w:tcW w:w="3151"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mas@ufop.edu.br</w:t>
            </w:r>
          </w:p>
        </w:tc>
      </w:tr>
      <w:tr>
        <w:tblPrEx>
          <w:tblCellMar>
            <w:top w:w="55" w:type="dxa"/>
            <w:left w:w="51" w:type="dxa"/>
            <w:bottom w:w="55" w:type="dxa"/>
            <w:right w:w="55" w:type="dxa"/>
          </w:tblCellMar>
        </w:tblPrEx>
        <w:tc>
          <w:tcPr>
            <w:tcW w:w="149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r>
              <w:rPr>
                <w:rFonts w:ascii="Times New Roman" w:hAnsi="Times New Roman" w:eastAsia="Calibri" w:cs="Times New Roman"/>
                <w:color w:val="000000"/>
                <w:lang w:eastAsia="pt-BR" w:bidi="ar-SA"/>
              </w:rPr>
              <w:drawing>
                <wp:inline distT="0" distB="0" distL="114300" distR="114300">
                  <wp:extent cx="728980" cy="792480"/>
                  <wp:effectExtent l="0" t="0" r="0" b="0"/>
                  <wp:docPr id="1073" name="image16.png"/>
                  <wp:cNvGraphicFramePr/>
                  <a:graphic xmlns:a="http://schemas.openxmlformats.org/drawingml/2006/main">
                    <a:graphicData uri="http://schemas.openxmlformats.org/drawingml/2006/picture">
                      <pic:pic xmlns:pic="http://schemas.openxmlformats.org/drawingml/2006/picture">
                        <pic:nvPicPr>
                          <pic:cNvPr id="1073" name="image16.png"/>
                          <pic:cNvPicPr preferRelativeResize="0"/>
                        </pic:nvPicPr>
                        <pic:blipFill>
                          <a:blip r:embed="rId76"/>
                          <a:srcRect/>
                          <a:stretch>
                            <a:fillRect/>
                          </a:stretch>
                        </pic:blipFill>
                        <pic:spPr>
                          <a:xfrm>
                            <a:off x="0" y="0"/>
                            <a:ext cx="728980" cy="792480"/>
                          </a:xfrm>
                          <a:prstGeom prst="rect">
                            <a:avLst/>
                          </a:prstGeom>
                        </pic:spPr>
                      </pic:pic>
                    </a:graphicData>
                  </a:graphic>
                </wp:inline>
              </w:drawing>
            </w:r>
          </w:p>
        </w:tc>
        <w:tc>
          <w:tcPr>
            <w:tcW w:w="3918"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Mateus Fávaro Reis</w:t>
            </w:r>
          </w:p>
        </w:tc>
        <w:tc>
          <w:tcPr>
            <w:tcW w:w="3151"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mateusfav@hotmail.com</w:t>
            </w:r>
          </w:p>
        </w:tc>
      </w:tr>
      <w:tr>
        <w:tblPrEx>
          <w:tblCellMar>
            <w:top w:w="55" w:type="dxa"/>
            <w:left w:w="51" w:type="dxa"/>
            <w:bottom w:w="55" w:type="dxa"/>
            <w:right w:w="55" w:type="dxa"/>
          </w:tblCellMar>
        </w:tblPrEx>
        <w:tc>
          <w:tcPr>
            <w:tcW w:w="149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r>
              <w:rPr>
                <w:rFonts w:ascii="Times New Roman" w:hAnsi="Times New Roman" w:eastAsia="Calibri" w:cs="Times New Roman"/>
                <w:color w:val="000000"/>
                <w:lang w:eastAsia="pt-BR" w:bidi="ar-SA"/>
              </w:rPr>
              <w:drawing>
                <wp:inline distT="0" distB="0" distL="114300" distR="114300">
                  <wp:extent cx="727710" cy="727075"/>
                  <wp:effectExtent l="0" t="0" r="0" b="0"/>
                  <wp:docPr id="1074" name="image33.jpg"/>
                  <wp:cNvGraphicFramePr/>
                  <a:graphic xmlns:a="http://schemas.openxmlformats.org/drawingml/2006/main">
                    <a:graphicData uri="http://schemas.openxmlformats.org/drawingml/2006/picture">
                      <pic:pic xmlns:pic="http://schemas.openxmlformats.org/drawingml/2006/picture">
                        <pic:nvPicPr>
                          <pic:cNvPr id="1074" name="image33.jpg"/>
                          <pic:cNvPicPr preferRelativeResize="0"/>
                        </pic:nvPicPr>
                        <pic:blipFill>
                          <a:blip r:embed="rId77"/>
                          <a:srcRect/>
                          <a:stretch>
                            <a:fillRect/>
                          </a:stretch>
                        </pic:blipFill>
                        <pic:spPr>
                          <a:xfrm>
                            <a:off x="0" y="0"/>
                            <a:ext cx="727710" cy="727075"/>
                          </a:xfrm>
                          <a:prstGeom prst="rect">
                            <a:avLst/>
                          </a:prstGeom>
                        </pic:spPr>
                      </pic:pic>
                    </a:graphicData>
                  </a:graphic>
                </wp:inline>
              </w:drawing>
            </w:r>
          </w:p>
        </w:tc>
        <w:tc>
          <w:tcPr>
            <w:tcW w:w="3918"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Mateus Henrique de Faria Pereira</w:t>
            </w:r>
          </w:p>
        </w:tc>
        <w:tc>
          <w:tcPr>
            <w:tcW w:w="3151"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matteuspereira@gmail.com</w:t>
            </w:r>
          </w:p>
        </w:tc>
      </w:tr>
      <w:tr>
        <w:tblPrEx>
          <w:tblCellMar>
            <w:top w:w="55" w:type="dxa"/>
            <w:left w:w="51" w:type="dxa"/>
            <w:bottom w:w="55" w:type="dxa"/>
            <w:right w:w="55" w:type="dxa"/>
          </w:tblCellMar>
        </w:tblPrEx>
        <w:tc>
          <w:tcPr>
            <w:tcW w:w="149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r>
              <w:rPr>
                <w:rFonts w:ascii="Times New Roman" w:hAnsi="Times New Roman" w:eastAsia="Liberation Serif" w:cs="Times New Roman"/>
                <w:color w:val="000000"/>
              </w:rPr>
              <w:object>
                <v:shape id="_x0000_i1031" o:spt="75" type="#_x0000_t75" style="height:56.95pt;width:62pt;" o:ole="t" filled="f" o:preferrelative="t" stroked="f" coordsize="21600,21600">
                  <v:path/>
                  <v:fill on="f" focussize="0,0"/>
                  <v:stroke on="f" joinstyle="miter"/>
                  <v:imagedata r:id="rId79" o:title=""/>
                  <o:lock v:ext="edit" aspectratio="t"/>
                  <w10:wrap type="none"/>
                  <w10:anchorlock/>
                </v:shape>
                <o:OLEObject Type="Embed" ProgID="PBrush" ShapeID="_x0000_i1031" DrawAspect="Content" ObjectID="_1468075731" r:id="rId78">
                  <o:LockedField>false</o:LockedField>
                </o:OLEObject>
              </w:object>
            </w:r>
          </w:p>
        </w:tc>
        <w:tc>
          <w:tcPr>
            <w:tcW w:w="3918"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Sérgio Ricardo da Mata</w:t>
            </w:r>
          </w:p>
        </w:tc>
        <w:tc>
          <w:tcPr>
            <w:tcW w:w="3151"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sdmata@ufop.edu.br</w:t>
            </w:r>
          </w:p>
        </w:tc>
      </w:tr>
      <w:tr>
        <w:tblPrEx>
          <w:tblCellMar>
            <w:top w:w="55" w:type="dxa"/>
            <w:left w:w="51" w:type="dxa"/>
            <w:bottom w:w="55" w:type="dxa"/>
            <w:right w:w="55" w:type="dxa"/>
          </w:tblCellMar>
        </w:tblPrEx>
        <w:tc>
          <w:tcPr>
            <w:tcW w:w="149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r>
              <w:rPr>
                <w:rFonts w:ascii="Times New Roman" w:hAnsi="Times New Roman" w:eastAsia="Liberation Serif" w:cs="Times New Roman"/>
                <w:color w:val="000000"/>
              </w:rPr>
              <w:object>
                <v:shape id="_x0000_i1032" o:spt="75" type="#_x0000_t75" style="height:56.35pt;width:57.6pt;" o:ole="t" filled="f" o:preferrelative="t" stroked="f" coordsize="21600,21600">
                  <v:path/>
                  <v:fill on="f" focussize="0,0"/>
                  <v:stroke on="f" joinstyle="miter"/>
                  <v:imagedata r:id="rId81" o:title=""/>
                  <o:lock v:ext="edit" aspectratio="t"/>
                  <w10:wrap type="none"/>
                  <w10:anchorlock/>
                </v:shape>
                <o:OLEObject Type="Embed" ProgID="PBrush" ShapeID="_x0000_i1032" DrawAspect="Content" ObjectID="_1468075732" r:id="rId80">
                  <o:LockedField>false</o:LockedField>
                </o:OLEObject>
              </w:object>
            </w:r>
          </w:p>
        </w:tc>
        <w:tc>
          <w:tcPr>
            <w:tcW w:w="3918"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Valdei Lopes de Araujo</w:t>
            </w:r>
          </w:p>
        </w:tc>
        <w:tc>
          <w:tcPr>
            <w:tcW w:w="3151"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valdeiaraujo@ufop.edu.br</w:t>
            </w:r>
          </w:p>
        </w:tc>
      </w:tr>
    </w:tbl>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Calibri" w:cs="Times New Roman"/>
          <w:color w:val="000000"/>
        </w:rPr>
      </w:pPr>
    </w:p>
    <w:tbl>
      <w:tblPr>
        <w:tblStyle w:val="472"/>
        <w:tblW w:w="8514" w:type="dxa"/>
        <w:tblInd w:w="99" w:type="dxa"/>
        <w:tblLayout w:type="fixed"/>
        <w:tblCellMar>
          <w:top w:w="0" w:type="dxa"/>
          <w:left w:w="108" w:type="dxa"/>
          <w:bottom w:w="0" w:type="dxa"/>
          <w:right w:w="108" w:type="dxa"/>
        </w:tblCellMar>
      </w:tblPr>
      <w:tblGrid>
        <w:gridCol w:w="4248"/>
        <w:gridCol w:w="4266"/>
      </w:tblGrid>
      <w:tr>
        <w:tblPrEx>
          <w:tblCellMar>
            <w:top w:w="0" w:type="dxa"/>
            <w:left w:w="108" w:type="dxa"/>
            <w:bottom w:w="0" w:type="dxa"/>
            <w:right w:w="108" w:type="dxa"/>
          </w:tblCellMar>
        </w:tblPrEx>
        <w:tc>
          <w:tcPr>
            <w:tcW w:w="8514" w:type="dxa"/>
            <w:gridSpan w:val="2"/>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76" w:lineRule="auto"/>
              <w:ind w:left="0" w:hanging="2"/>
              <w:jc w:val="center"/>
              <w:rPr>
                <w:rFonts w:ascii="Times New Roman" w:hAnsi="Times New Roman" w:eastAsia="Liberation Serif" w:cs="Times New Roman"/>
                <w:color w:val="000000"/>
              </w:rPr>
            </w:pPr>
            <w:r>
              <w:rPr>
                <w:rFonts w:ascii="Times New Roman" w:hAnsi="Times New Roman" w:eastAsia="Calibri" w:cs="Times New Roman"/>
                <w:b/>
                <w:color w:val="000000"/>
              </w:rPr>
              <w:t>Tabela 04 - Técnicos administrativos</w:t>
            </w:r>
          </w:p>
        </w:tc>
      </w:tr>
      <w:tr>
        <w:tblPrEx>
          <w:tblCellMar>
            <w:top w:w="0" w:type="dxa"/>
            <w:left w:w="108" w:type="dxa"/>
            <w:bottom w:w="0" w:type="dxa"/>
            <w:right w:w="108" w:type="dxa"/>
          </w:tblCellMar>
        </w:tblPrEx>
        <w:tc>
          <w:tcPr>
            <w:tcW w:w="4248"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before="240" w:after="140" w:line="276"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Secretária do Departamento de História</w:t>
            </w:r>
          </w:p>
        </w:tc>
        <w:tc>
          <w:tcPr>
            <w:tcW w:w="4266"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Marcilene Kátia de Oliveira Damasceno</w:t>
            </w:r>
          </w:p>
        </w:tc>
      </w:tr>
      <w:tr>
        <w:tblPrEx>
          <w:tblCellMar>
            <w:top w:w="0" w:type="dxa"/>
            <w:left w:w="108" w:type="dxa"/>
            <w:bottom w:w="0" w:type="dxa"/>
            <w:right w:w="108" w:type="dxa"/>
          </w:tblCellMar>
        </w:tblPrEx>
        <w:tc>
          <w:tcPr>
            <w:tcW w:w="4248"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Secretária do Colegiado de Licenciatura em História</w:t>
            </w:r>
          </w:p>
        </w:tc>
        <w:tc>
          <w:tcPr>
            <w:tcW w:w="4266"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1E1E1E"/>
              </w:rPr>
              <w:t>Flávia Cristina Olivia</w:t>
            </w:r>
          </w:p>
          <w:p>
            <w:pPr>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r>
              <w:rPr>
                <w:rFonts w:ascii="Times New Roman" w:hAnsi="Times New Roman" w:eastAsia="Calibri" w:cs="Times New Roman"/>
                <w:color w:val="1E1E1E"/>
              </w:rPr>
              <w:t>Jucileide D. Lucas Tolentino</w:t>
            </w:r>
          </w:p>
        </w:tc>
      </w:tr>
    </w:tbl>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40" w:line="360" w:lineRule="auto"/>
        <w:ind w:left="0" w:hanging="2"/>
        <w:jc w:val="both"/>
        <w:rPr>
          <w:rFonts w:ascii="Times New Roman" w:hAnsi="Times New Roman" w:eastAsia="Calibri" w:cs="Times New Roman"/>
          <w:color w:val="000000"/>
        </w:rPr>
      </w:pPr>
      <w:r>
        <w:rPr>
          <w:rFonts w:ascii="Times New Roman" w:hAnsi="Times New Roman" w:eastAsia="Calibri" w:cs="Times New Roman"/>
          <w:color w:val="000000"/>
        </w:rPr>
        <w:tab/>
      </w:r>
      <w:r>
        <w:rPr>
          <w:rFonts w:ascii="Times New Roman" w:hAnsi="Times New Roman" w:eastAsia="Calibri" w:cs="Times New Roman"/>
          <w:color w:val="000000"/>
        </w:rPr>
        <w:tab/>
      </w:r>
      <w:r>
        <w:rPr>
          <w:rFonts w:ascii="Times New Roman" w:hAnsi="Times New Roman" w:eastAsia="Calibri" w:cs="Times New Roman"/>
          <w:color w:val="000000"/>
        </w:rPr>
        <w:t xml:space="preserve">No Departamento de História, as atividades pedagógicas do Curso de Licenciatura em História são organizadas em setores que agregam professores de disciplinas afins. </w:t>
      </w:r>
    </w:p>
    <w:p>
      <w:pPr>
        <w:pBdr>
          <w:top w:val="none" w:color="auto" w:sz="0" w:space="0"/>
          <w:left w:val="none" w:color="auto" w:sz="0" w:space="0"/>
          <w:bottom w:val="none" w:color="auto" w:sz="0" w:space="0"/>
          <w:right w:val="none" w:color="auto" w:sz="0" w:space="0"/>
          <w:between w:val="none" w:color="auto" w:sz="0" w:space="0"/>
        </w:pBdr>
        <w:spacing w:after="140" w:line="360" w:lineRule="auto"/>
        <w:ind w:left="0" w:hanging="2"/>
        <w:jc w:val="both"/>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40" w:line="360" w:lineRule="auto"/>
        <w:ind w:left="0" w:hanging="2"/>
        <w:jc w:val="both"/>
        <w:rPr>
          <w:rFonts w:ascii="Times New Roman" w:hAnsi="Times New Roman" w:eastAsia="Liberation Serif" w:cs="Times New Roman"/>
          <w:color w:val="000000"/>
        </w:rPr>
      </w:pPr>
    </w:p>
    <w:tbl>
      <w:tblPr>
        <w:tblStyle w:val="473"/>
        <w:tblW w:w="8566" w:type="dxa"/>
        <w:tblInd w:w="-2" w:type="dxa"/>
        <w:tblLayout w:type="fixed"/>
        <w:tblCellMar>
          <w:top w:w="55" w:type="dxa"/>
          <w:left w:w="51" w:type="dxa"/>
          <w:bottom w:w="55" w:type="dxa"/>
          <w:right w:w="55" w:type="dxa"/>
        </w:tblCellMar>
      </w:tblPr>
      <w:tblGrid>
        <w:gridCol w:w="2180"/>
        <w:gridCol w:w="6386"/>
      </w:tblGrid>
      <w:tr>
        <w:tblPrEx>
          <w:tblCellMar>
            <w:top w:w="55" w:type="dxa"/>
            <w:left w:w="51" w:type="dxa"/>
            <w:bottom w:w="55" w:type="dxa"/>
            <w:right w:w="55" w:type="dxa"/>
          </w:tblCellMar>
        </w:tblPrEx>
        <w:trPr>
          <w:trHeight w:val="258" w:hRule="atLeast"/>
        </w:trPr>
        <w:tc>
          <w:tcPr>
            <w:tcW w:w="8566" w:type="dxa"/>
            <w:gridSpan w:val="2"/>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b/>
                <w:color w:val="000000"/>
              </w:rPr>
              <w:t>Tabela 05 - Atividades pedagógicas do curso</w:t>
            </w:r>
          </w:p>
        </w:tc>
      </w:tr>
      <w:tr>
        <w:tblPrEx>
          <w:tblCellMar>
            <w:top w:w="55" w:type="dxa"/>
            <w:left w:w="51" w:type="dxa"/>
            <w:bottom w:w="55" w:type="dxa"/>
            <w:right w:w="55" w:type="dxa"/>
          </w:tblCellMar>
        </w:tblPrEx>
        <w:trPr>
          <w:trHeight w:val="258" w:hRule="atLeast"/>
        </w:trPr>
        <w:tc>
          <w:tcPr>
            <w:tcW w:w="2180"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Setor</w:t>
            </w:r>
          </w:p>
        </w:tc>
        <w:tc>
          <w:tcPr>
            <w:tcW w:w="6386"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Disciplinas</w:t>
            </w:r>
          </w:p>
        </w:tc>
      </w:tr>
      <w:tr>
        <w:tblPrEx>
          <w:tblCellMar>
            <w:top w:w="55" w:type="dxa"/>
            <w:left w:w="51" w:type="dxa"/>
            <w:bottom w:w="55" w:type="dxa"/>
            <w:right w:w="55" w:type="dxa"/>
          </w:tblCellMar>
        </w:tblPrEx>
        <w:trPr>
          <w:trHeight w:val="268" w:hRule="atLeast"/>
        </w:trPr>
        <w:tc>
          <w:tcPr>
            <w:tcW w:w="2180"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Ensino</w:t>
            </w:r>
          </w:p>
        </w:tc>
        <w:tc>
          <w:tcPr>
            <w:tcW w:w="6386"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 xml:space="preserve"> Estágio Supervisionado I, II, III, IV, Ensino de História e eletivas</w:t>
            </w:r>
          </w:p>
        </w:tc>
      </w:tr>
      <w:tr>
        <w:tblPrEx>
          <w:tblCellMar>
            <w:top w:w="55" w:type="dxa"/>
            <w:left w:w="51" w:type="dxa"/>
            <w:bottom w:w="55" w:type="dxa"/>
            <w:right w:w="55" w:type="dxa"/>
          </w:tblCellMar>
        </w:tblPrEx>
        <w:trPr>
          <w:trHeight w:val="258" w:hRule="atLeast"/>
        </w:trPr>
        <w:tc>
          <w:tcPr>
            <w:tcW w:w="2180"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História do Brasil</w:t>
            </w:r>
          </w:p>
        </w:tc>
        <w:tc>
          <w:tcPr>
            <w:tcW w:w="6386"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 xml:space="preserve"> História do Brasil I, II e III, História de Minas e eletivas</w:t>
            </w:r>
          </w:p>
        </w:tc>
      </w:tr>
      <w:tr>
        <w:tblPrEx>
          <w:tblCellMar>
            <w:top w:w="55" w:type="dxa"/>
            <w:left w:w="51" w:type="dxa"/>
            <w:bottom w:w="55" w:type="dxa"/>
            <w:right w:w="55" w:type="dxa"/>
          </w:tblCellMar>
        </w:tblPrEx>
        <w:trPr>
          <w:trHeight w:val="526" w:hRule="atLeast"/>
        </w:trPr>
        <w:tc>
          <w:tcPr>
            <w:tcW w:w="2180"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História Moderna e Contemporânea</w:t>
            </w:r>
          </w:p>
        </w:tc>
        <w:tc>
          <w:tcPr>
            <w:tcW w:w="6386"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Ciências Sociais, História das Áfricas, História Moderna, História Contemporânea e eletivas.</w:t>
            </w:r>
          </w:p>
        </w:tc>
      </w:tr>
      <w:tr>
        <w:tblPrEx>
          <w:tblCellMar>
            <w:top w:w="55" w:type="dxa"/>
            <w:left w:w="51" w:type="dxa"/>
            <w:bottom w:w="55" w:type="dxa"/>
            <w:right w:w="55" w:type="dxa"/>
          </w:tblCellMar>
        </w:tblPrEx>
        <w:trPr>
          <w:trHeight w:val="526" w:hRule="atLeast"/>
        </w:trPr>
        <w:tc>
          <w:tcPr>
            <w:tcW w:w="2180"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Teoria e Historiografia</w:t>
            </w:r>
          </w:p>
        </w:tc>
        <w:tc>
          <w:tcPr>
            <w:tcW w:w="6386"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Introdução ao Estudo da História, História da Historiografia Geral, História da Historiografia Brasileira, Teoria da História e eletivas</w:t>
            </w:r>
          </w:p>
        </w:tc>
      </w:tr>
      <w:tr>
        <w:tblPrEx>
          <w:tblCellMar>
            <w:top w:w="55" w:type="dxa"/>
            <w:left w:w="51" w:type="dxa"/>
            <w:bottom w:w="55" w:type="dxa"/>
            <w:right w:w="55" w:type="dxa"/>
          </w:tblCellMar>
        </w:tblPrEx>
        <w:trPr>
          <w:trHeight w:val="526" w:hRule="atLeast"/>
        </w:trPr>
        <w:tc>
          <w:tcPr>
            <w:tcW w:w="2180"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História Antiga e Medieval</w:t>
            </w:r>
          </w:p>
        </w:tc>
        <w:tc>
          <w:tcPr>
            <w:tcW w:w="6386"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História Antiga, História Medieval e eletivas.</w:t>
            </w:r>
          </w:p>
        </w:tc>
      </w:tr>
      <w:tr>
        <w:tblPrEx>
          <w:tblCellMar>
            <w:top w:w="55" w:type="dxa"/>
            <w:left w:w="51" w:type="dxa"/>
            <w:bottom w:w="55" w:type="dxa"/>
            <w:right w:w="55" w:type="dxa"/>
          </w:tblCellMar>
        </w:tblPrEx>
        <w:trPr>
          <w:trHeight w:val="268" w:hRule="atLeast"/>
        </w:trPr>
        <w:tc>
          <w:tcPr>
            <w:tcW w:w="2180"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História da América</w:t>
            </w:r>
          </w:p>
        </w:tc>
        <w:tc>
          <w:tcPr>
            <w:tcW w:w="6386"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História da América I, História da América II e eletivas.</w:t>
            </w:r>
          </w:p>
        </w:tc>
      </w:tr>
    </w:tbl>
    <w:p>
      <w:pPr>
        <w:pBdr>
          <w:top w:val="none" w:color="auto" w:sz="0" w:space="0"/>
          <w:left w:val="none" w:color="auto" w:sz="0" w:space="0"/>
          <w:bottom w:val="none" w:color="auto" w:sz="0" w:space="0"/>
          <w:right w:val="none" w:color="auto" w:sz="0" w:space="0"/>
          <w:between w:val="none" w:color="auto" w:sz="0" w:space="0"/>
        </w:pBdr>
        <w:spacing w:after="140" w:line="276" w:lineRule="auto"/>
        <w:ind w:left="0" w:hanging="2"/>
        <w:rPr>
          <w:rFonts w:ascii="Times New Roman" w:hAnsi="Times New Roman" w:eastAsia="Calibri" w:cs="Times New Roman"/>
          <w:color w:val="000000"/>
        </w:rPr>
      </w:pPr>
    </w:p>
    <w:p>
      <w:pPr>
        <w:spacing w:line="360" w:lineRule="auto"/>
        <w:ind w:left="0" w:leftChars="0" w:firstLine="720" w:firstLineChars="0"/>
        <w:jc w:val="both"/>
        <w:rPr>
          <w:rFonts w:ascii="Times New Roman" w:hAnsi="Times New Roman" w:eastAsia="Calibri" w:cs="Times New Roman"/>
        </w:rPr>
      </w:pPr>
      <w:r>
        <w:rPr>
          <w:rFonts w:ascii="Times New Roman" w:hAnsi="Times New Roman" w:eastAsia="Calibri" w:cs="Times New Roman"/>
        </w:rPr>
        <w:t>É importante ressaltar que outros departamentos também contribuem com a formação do professor de História, como é o caso dos Departamentos de Educação e Letras, com o oferecimento de disciplinas obrigatórias e eletivas e dos Módulos Interdisciplinares de Formação (MIFs).</w:t>
      </w:r>
    </w:p>
    <w:p>
      <w:pPr>
        <w:spacing w:line="360" w:lineRule="auto"/>
        <w:ind w:left="0" w:leftChars="0" w:firstLine="720" w:firstLineChars="0"/>
        <w:jc w:val="both"/>
        <w:rPr>
          <w:rFonts w:ascii="Times New Roman" w:hAnsi="Times New Roman" w:eastAsia="Calibri" w:cs="Times New Roman"/>
        </w:rPr>
      </w:pPr>
      <w:r>
        <w:rPr>
          <w:rFonts w:ascii="Times New Roman" w:hAnsi="Times New Roman" w:eastAsia="Calibri" w:cs="Times New Roman"/>
        </w:rPr>
        <w:t>O Curso de História - Licenciatura é coordenado por um Colegiado com função deliberativa, cujos membros, eleitos por seus pares, são professores(as) lotados no DEHIS, que assumem disciplinas que constam na matriz curricular do curso, e ainda por um(as) representante do corpo discente. O Colegiado de História - Licenciatura tem suas atividades regulamentadas pelo Regimento e pelo Estatuto da Universidade.</w:t>
      </w:r>
    </w:p>
    <w:p>
      <w:pPr>
        <w:spacing w:line="360" w:lineRule="auto"/>
        <w:ind w:left="0" w:hanging="2"/>
        <w:jc w:val="both"/>
        <w:rPr>
          <w:rFonts w:ascii="Times New Roman" w:hAnsi="Times New Roman" w:eastAsia="Calibri" w:cs="Times New Roman"/>
        </w:rPr>
      </w:pPr>
      <w:r>
        <w:rPr>
          <w:rFonts w:ascii="Times New Roman" w:hAnsi="Times New Roman" w:eastAsia="Calibri" w:cs="Times New Roman"/>
        </w:rPr>
        <w:t xml:space="preserve">No que diz respeito ao Núcleo Docente Estruturante (NDE), instituído pela Resolução da Comissão Nacional de Avaliação da Educação Superior (CONAES) nº1 de 17 de junho de 2010, o mesmo é formado exclusivamente por professores(as) do DEHIS, reconhecidos(as) pelos seus pares como liderança acadêmica, percebidos (as) na produção de conhecimentos, no desempenho das atividades de ensino e em demais esferas academicamente relevantes. O NDE é composto por um mínimo de cinco integrantes, com mandatos de três anos. Segundo a Resolução CEPE nº 4450/2011, o NDE é uma instância de caráter consultivo, e conforme a mesma resolução, compreende entre suas atribuições: </w:t>
      </w:r>
    </w:p>
    <w:p>
      <w:pPr>
        <w:spacing w:line="360" w:lineRule="auto"/>
        <w:ind w:left="0" w:hanging="2"/>
        <w:jc w:val="both"/>
        <w:rPr>
          <w:rFonts w:ascii="Times New Roman" w:hAnsi="Times New Roman" w:eastAsia="Calibri" w:cs="Times New Roman"/>
        </w:rPr>
      </w:pPr>
      <w:r>
        <w:rPr>
          <w:rFonts w:ascii="Times New Roman" w:hAnsi="Times New Roman" w:eastAsia="Calibri" w:cs="Times New Roman"/>
        </w:rPr>
        <w:t xml:space="preserve">I – acompanhar o desenvolvimento do Projeto Pedagógico do Curso (PPC), tendo em vista a preservação de sua qualidade e atualidade em face das demandas e possibilidades do campo de atuação profissional do egresso, em sentido amplo; </w:t>
      </w:r>
    </w:p>
    <w:p>
      <w:pPr>
        <w:spacing w:line="360" w:lineRule="auto"/>
        <w:ind w:left="0" w:hanging="2"/>
        <w:jc w:val="both"/>
        <w:rPr>
          <w:rFonts w:ascii="Times New Roman" w:hAnsi="Times New Roman" w:eastAsia="Calibri" w:cs="Times New Roman"/>
        </w:rPr>
      </w:pPr>
      <w:r>
        <w:rPr>
          <w:rFonts w:ascii="Times New Roman" w:hAnsi="Times New Roman" w:eastAsia="Calibri" w:cs="Times New Roman"/>
        </w:rPr>
        <w:t>II – zelar pela execução do currículo conforme o PPC, propondo políticas e estratégias que garantam sua qualidade e viabilidade;</w:t>
      </w:r>
    </w:p>
    <w:p>
      <w:pPr>
        <w:spacing w:line="360" w:lineRule="auto"/>
        <w:ind w:left="0" w:hanging="2"/>
        <w:jc w:val="both"/>
        <w:rPr>
          <w:rFonts w:ascii="Times New Roman" w:hAnsi="Times New Roman" w:eastAsia="Calibri" w:cs="Times New Roman"/>
        </w:rPr>
      </w:pPr>
      <w:r>
        <w:rPr>
          <w:rFonts w:ascii="Times New Roman" w:hAnsi="Times New Roman" w:eastAsia="Calibri" w:cs="Times New Roman"/>
        </w:rPr>
        <w:t xml:space="preserve"> III – encaminhar propostas de alteração curricular ao Colegiado do curso para apreciação; </w:t>
      </w:r>
    </w:p>
    <w:p>
      <w:pPr>
        <w:spacing w:line="360" w:lineRule="auto"/>
        <w:ind w:left="0" w:hanging="2"/>
        <w:jc w:val="both"/>
        <w:rPr>
          <w:rFonts w:ascii="Times New Roman" w:hAnsi="Times New Roman" w:eastAsia="Calibri" w:cs="Times New Roman"/>
        </w:rPr>
      </w:pPr>
      <w:r>
        <w:rPr>
          <w:rFonts w:ascii="Times New Roman" w:hAnsi="Times New Roman" w:eastAsia="Calibri" w:cs="Times New Roman"/>
        </w:rPr>
        <w:t xml:space="preserve">IV – contribuir para a consolidação do perfil profissional do egresso, considerando as Diretrizes Curriculares Nacionais do curso e a necessidade de promoção do desenvolvimento de suas competências, visando à adequada intervenção social do profissional em seu campo de atuação; </w:t>
      </w:r>
    </w:p>
    <w:p>
      <w:pPr>
        <w:spacing w:line="360" w:lineRule="auto"/>
        <w:ind w:left="0" w:hanging="2"/>
        <w:jc w:val="both"/>
        <w:rPr>
          <w:rFonts w:ascii="Times New Roman" w:hAnsi="Times New Roman" w:eastAsia="Calibri" w:cs="Times New Roman"/>
        </w:rPr>
      </w:pPr>
      <w:r>
        <w:rPr>
          <w:rFonts w:ascii="Times New Roman" w:hAnsi="Times New Roman" w:eastAsia="Calibri" w:cs="Times New Roman"/>
        </w:rPr>
        <w:t>V – indicar formas de articulação entre ensino de graduação, extensão, pesquisa e pós-graduação, considerando as demandas específicas do curso e de cada área do conhecimento; VI – sendo necessário, realizar estudos e redigir uma nova proposta de PPC para ser submetida ao Colegiado do curso (RESOLUÇÃO CEPE nº 4450/2011).</w:t>
      </w:r>
    </w:p>
    <w:p>
      <w:pPr>
        <w:spacing w:line="360" w:lineRule="auto"/>
        <w:ind w:left="0" w:hanging="2"/>
        <w:jc w:val="both"/>
        <w:rPr>
          <w:rFonts w:ascii="Times New Roman" w:hAnsi="Times New Roman" w:cs="Times New Roman"/>
        </w:rPr>
      </w:pPr>
      <w:r>
        <w:rPr>
          <w:rFonts w:ascii="Times New Roman" w:hAnsi="Times New Roman" w:eastAsia="Calibri" w:cs="Times New Roman"/>
        </w:rPr>
        <w:t xml:space="preserve"> </w:t>
      </w:r>
    </w:p>
    <w:p>
      <w:pPr>
        <w:spacing w:line="360" w:lineRule="auto"/>
        <w:ind w:left="0" w:hanging="2"/>
        <w:jc w:val="both"/>
        <w:rPr>
          <w:rFonts w:ascii="Times New Roman" w:hAnsi="Times New Roman" w:cs="Times New Roman"/>
        </w:rPr>
      </w:pPr>
      <w:r>
        <w:rPr>
          <w:rFonts w:ascii="Times New Roman" w:hAnsi="Times New Roman" w:eastAsia="Calibri" w:cs="Times New Roman"/>
          <w:b/>
        </w:rPr>
        <w:t>Organização curricular</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bl>
      <w:tblPr>
        <w:tblStyle w:val="474"/>
        <w:tblW w:w="8644" w:type="dxa"/>
        <w:tblInd w:w="-15" w:type="dxa"/>
        <w:tblLayout w:type="fixed"/>
        <w:tblCellMar>
          <w:top w:w="0" w:type="dxa"/>
          <w:left w:w="70" w:type="dxa"/>
          <w:bottom w:w="0" w:type="dxa"/>
          <w:right w:w="70" w:type="dxa"/>
        </w:tblCellMar>
      </w:tblPr>
      <w:tblGrid>
        <w:gridCol w:w="1717"/>
        <w:gridCol w:w="1079"/>
        <w:gridCol w:w="3983"/>
        <w:gridCol w:w="1865"/>
      </w:tblGrid>
      <w:tr>
        <w:tblPrEx>
          <w:tblCellMar>
            <w:top w:w="0" w:type="dxa"/>
            <w:left w:w="70" w:type="dxa"/>
            <w:bottom w:w="0" w:type="dxa"/>
            <w:right w:w="70" w:type="dxa"/>
          </w:tblCellMar>
        </w:tblPrEx>
        <w:trPr>
          <w:trHeight w:val="315" w:hRule="atLeast"/>
        </w:trPr>
        <w:tc>
          <w:tcPr>
            <w:tcW w:w="8644" w:type="dxa"/>
            <w:gridSpan w:val="4"/>
            <w:tcBorders>
              <w:top w:val="single" w:color="000000" w:sz="4" w:space="0"/>
              <w:left w:val="single" w:color="000000" w:sz="4" w:space="0"/>
              <w:bottom w:val="single" w:color="000000" w:sz="4" w:space="0"/>
              <w:right w:val="single" w:color="000000" w:sz="4" w:space="0"/>
            </w:tcBorders>
            <w:shd w:val="clear" w:color="auto" w:fill="FDE9D9"/>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b/>
                <w:color w:val="000000"/>
              </w:rPr>
              <w:t>Tabela 06 - Componentes curriculares exigidos para integralização do curso</w:t>
            </w:r>
          </w:p>
        </w:tc>
      </w:tr>
      <w:tr>
        <w:tblPrEx>
          <w:tblCellMar>
            <w:top w:w="0" w:type="dxa"/>
            <w:left w:w="70" w:type="dxa"/>
            <w:bottom w:w="0" w:type="dxa"/>
            <w:right w:w="70" w:type="dxa"/>
          </w:tblCellMar>
        </w:tblPrEx>
        <w:trPr>
          <w:trHeight w:val="315" w:hRule="atLeast"/>
        </w:trPr>
        <w:tc>
          <w:tcPr>
            <w:tcW w:w="1717" w:type="dxa"/>
            <w:tcBorders>
              <w:top w:val="single" w:color="000000" w:sz="4" w:space="0"/>
              <w:left w:val="single" w:color="000000" w:sz="4" w:space="0"/>
              <w:bottom w:val="single" w:color="000000" w:sz="4" w:space="0"/>
            </w:tcBorders>
            <w:shd w:val="clear" w:color="auto" w:fill="FDE9D9"/>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b/>
                <w:color w:val="000000"/>
              </w:rPr>
              <w:t>Natureza</w:t>
            </w:r>
          </w:p>
        </w:tc>
        <w:tc>
          <w:tcPr>
            <w:tcW w:w="1079" w:type="dxa"/>
            <w:tcBorders>
              <w:top w:val="single" w:color="000000" w:sz="4" w:space="0"/>
              <w:left w:val="single" w:color="000000" w:sz="4" w:space="0"/>
              <w:bottom w:val="single" w:color="000000" w:sz="4" w:space="0"/>
            </w:tcBorders>
            <w:shd w:val="clear" w:color="auto" w:fill="FDE9D9"/>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b/>
                <w:color w:val="000000"/>
              </w:rPr>
              <w:t>Código</w:t>
            </w:r>
          </w:p>
        </w:tc>
        <w:tc>
          <w:tcPr>
            <w:tcW w:w="3983" w:type="dxa"/>
            <w:tcBorders>
              <w:top w:val="single" w:color="000000" w:sz="4" w:space="0"/>
              <w:left w:val="single" w:color="000000" w:sz="4" w:space="0"/>
              <w:bottom w:val="single" w:color="000000" w:sz="4" w:space="0"/>
            </w:tcBorders>
            <w:shd w:val="clear" w:color="auto" w:fill="FDE9D9"/>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b/>
                <w:color w:val="000000"/>
              </w:rPr>
              <w:t xml:space="preserve"> Nome</w:t>
            </w:r>
          </w:p>
        </w:tc>
        <w:tc>
          <w:tcPr>
            <w:tcW w:w="1865" w:type="dxa"/>
            <w:tcBorders>
              <w:top w:val="single" w:color="000000" w:sz="4" w:space="0"/>
              <w:left w:val="single" w:color="000000" w:sz="4" w:space="0"/>
              <w:bottom w:val="single" w:color="000000" w:sz="4" w:space="0"/>
              <w:right w:val="single" w:color="000000" w:sz="4" w:space="0"/>
            </w:tcBorders>
            <w:shd w:val="clear" w:color="auto" w:fill="FDE9D9"/>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b/>
                <w:color w:val="000000"/>
              </w:rPr>
              <w:t>Carga Horária semestral</w:t>
            </w:r>
          </w:p>
        </w:tc>
      </w:tr>
      <w:tr>
        <w:tblPrEx>
          <w:tblCellMar>
            <w:top w:w="0" w:type="dxa"/>
            <w:left w:w="70" w:type="dxa"/>
            <w:bottom w:w="0" w:type="dxa"/>
            <w:right w:w="70" w:type="dxa"/>
          </w:tblCellMar>
        </w:tblPrEx>
        <w:trPr>
          <w:cantSplit/>
          <w:trHeight w:val="300" w:hRule="atLeast"/>
        </w:trPr>
        <w:tc>
          <w:tcPr>
            <w:tcW w:w="1717" w:type="dxa"/>
            <w:vMerge w:val="restart"/>
            <w:tcBorders>
              <w:top w:val="single" w:color="000000" w:sz="4" w:space="0"/>
              <w:left w:val="single" w:color="000000" w:sz="4" w:space="0"/>
              <w:bottom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I - Prática como componente curricular</w:t>
            </w:r>
          </w:p>
        </w:tc>
        <w:tc>
          <w:tcPr>
            <w:tcW w:w="1079" w:type="dxa"/>
            <w:tcBorders>
              <w:top w:val="single" w:color="000000" w:sz="4" w:space="0"/>
              <w:left w:val="single" w:color="000000" w:sz="4" w:space="0"/>
              <w:bottom w:val="single" w:color="000000" w:sz="4" w:space="0"/>
            </w:tcBorders>
            <w:shd w:val="clear" w:color="auto" w:fill="FFFFFF"/>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HIS063</w:t>
            </w:r>
          </w:p>
        </w:tc>
        <w:tc>
          <w:tcPr>
            <w:tcW w:w="3983"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Introdução aos Estudos Históricos</w:t>
            </w:r>
          </w:p>
        </w:tc>
        <w:tc>
          <w:tcPr>
            <w:tcW w:w="1865" w:type="dxa"/>
            <w:tcBorders>
              <w:top w:val="single" w:color="000000" w:sz="4" w:space="0"/>
              <w:left w:val="single" w:color="000000" w:sz="4" w:space="0"/>
              <w:bottom w:val="single" w:color="000000" w:sz="4" w:space="0"/>
              <w:right w:val="single" w:color="000000" w:sz="4" w:space="0"/>
            </w:tcBorders>
            <w:shd w:val="clear" w:color="auto" w:fill="FFFFFF"/>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30h</w:t>
            </w:r>
          </w:p>
        </w:tc>
      </w:tr>
      <w:tr>
        <w:tblPrEx>
          <w:tblCellMar>
            <w:top w:w="0" w:type="dxa"/>
            <w:left w:w="70" w:type="dxa"/>
            <w:bottom w:w="0" w:type="dxa"/>
            <w:right w:w="70" w:type="dxa"/>
          </w:tblCellMar>
        </w:tblPrEx>
        <w:trPr>
          <w:cantSplit/>
          <w:trHeight w:val="300" w:hRule="atLeast"/>
        </w:trPr>
        <w:tc>
          <w:tcPr>
            <w:tcW w:w="1717" w:type="dxa"/>
            <w:vMerge w:val="continue"/>
            <w:tcBorders>
              <w:top w:val="single" w:color="000000" w:sz="4" w:space="0"/>
              <w:left w:val="single" w:color="000000" w:sz="4" w:space="0"/>
              <w:bottom w:val="single" w:color="000000" w:sz="4" w:space="0"/>
            </w:tcBorders>
            <w:shd w:val="clear" w:color="auto" w:fill="auto"/>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079" w:type="dxa"/>
            <w:tcBorders>
              <w:top w:val="single" w:color="000000" w:sz="4" w:space="0"/>
              <w:left w:val="single" w:color="000000" w:sz="4" w:space="0"/>
              <w:bottom w:val="single" w:color="000000" w:sz="4" w:space="0"/>
            </w:tcBorders>
            <w:shd w:val="clear" w:color="auto" w:fill="FFFFFF"/>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HIS064</w:t>
            </w:r>
          </w:p>
        </w:tc>
        <w:tc>
          <w:tcPr>
            <w:tcW w:w="3983"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História do Brasil I</w:t>
            </w:r>
          </w:p>
        </w:tc>
        <w:tc>
          <w:tcPr>
            <w:tcW w:w="1865" w:type="dxa"/>
            <w:tcBorders>
              <w:top w:val="single" w:color="000000" w:sz="4" w:space="0"/>
              <w:left w:val="single" w:color="000000" w:sz="4" w:space="0"/>
              <w:bottom w:val="single" w:color="000000" w:sz="4" w:space="0"/>
              <w:right w:val="single" w:color="000000" w:sz="4" w:space="0"/>
            </w:tcBorders>
            <w:shd w:val="clear" w:color="auto" w:fill="FFFFFF"/>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30h</w:t>
            </w:r>
          </w:p>
        </w:tc>
      </w:tr>
      <w:tr>
        <w:tblPrEx>
          <w:tblCellMar>
            <w:top w:w="0" w:type="dxa"/>
            <w:left w:w="70" w:type="dxa"/>
            <w:bottom w:w="0" w:type="dxa"/>
            <w:right w:w="70" w:type="dxa"/>
          </w:tblCellMar>
        </w:tblPrEx>
        <w:trPr>
          <w:cantSplit/>
          <w:trHeight w:val="300" w:hRule="atLeast"/>
        </w:trPr>
        <w:tc>
          <w:tcPr>
            <w:tcW w:w="1717" w:type="dxa"/>
            <w:vMerge w:val="continue"/>
            <w:tcBorders>
              <w:top w:val="single" w:color="000000" w:sz="4" w:space="0"/>
              <w:left w:val="single" w:color="000000" w:sz="4" w:space="0"/>
              <w:bottom w:val="single" w:color="000000" w:sz="4" w:space="0"/>
            </w:tcBorders>
            <w:shd w:val="clear" w:color="auto" w:fill="auto"/>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079" w:type="dxa"/>
            <w:tcBorders>
              <w:top w:val="single" w:color="000000" w:sz="4" w:space="0"/>
              <w:left w:val="single" w:color="000000" w:sz="4" w:space="0"/>
              <w:bottom w:val="single" w:color="000000" w:sz="4" w:space="0"/>
            </w:tcBorders>
            <w:shd w:val="clear" w:color="auto" w:fill="FFFFFF"/>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HIS065</w:t>
            </w:r>
          </w:p>
        </w:tc>
        <w:tc>
          <w:tcPr>
            <w:tcW w:w="3983"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Introdução às Ciências Sociais</w:t>
            </w:r>
          </w:p>
        </w:tc>
        <w:tc>
          <w:tcPr>
            <w:tcW w:w="1865" w:type="dxa"/>
            <w:tcBorders>
              <w:top w:val="single" w:color="000000" w:sz="4" w:space="0"/>
              <w:left w:val="single" w:color="000000" w:sz="4" w:space="0"/>
              <w:bottom w:val="single" w:color="000000" w:sz="4" w:space="0"/>
              <w:right w:val="single" w:color="000000" w:sz="4" w:space="0"/>
            </w:tcBorders>
            <w:shd w:val="clear" w:color="auto" w:fill="FFFFFF"/>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30h</w:t>
            </w:r>
          </w:p>
        </w:tc>
      </w:tr>
      <w:tr>
        <w:tblPrEx>
          <w:tblCellMar>
            <w:top w:w="0" w:type="dxa"/>
            <w:left w:w="70" w:type="dxa"/>
            <w:bottom w:w="0" w:type="dxa"/>
            <w:right w:w="70" w:type="dxa"/>
          </w:tblCellMar>
        </w:tblPrEx>
        <w:trPr>
          <w:cantSplit/>
          <w:trHeight w:val="300" w:hRule="atLeast"/>
        </w:trPr>
        <w:tc>
          <w:tcPr>
            <w:tcW w:w="1717" w:type="dxa"/>
            <w:vMerge w:val="continue"/>
            <w:tcBorders>
              <w:top w:val="single" w:color="000000" w:sz="4" w:space="0"/>
              <w:left w:val="single" w:color="000000" w:sz="4" w:space="0"/>
              <w:bottom w:val="single" w:color="000000" w:sz="4" w:space="0"/>
            </w:tcBorders>
            <w:shd w:val="clear" w:color="auto" w:fill="auto"/>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079" w:type="dxa"/>
            <w:tcBorders>
              <w:top w:val="single" w:color="000000" w:sz="4" w:space="0"/>
              <w:left w:val="single" w:color="000000" w:sz="4" w:space="0"/>
              <w:bottom w:val="single" w:color="000000" w:sz="4" w:space="0"/>
            </w:tcBorders>
            <w:shd w:val="clear" w:color="auto" w:fill="FFFFFF"/>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HIS066</w:t>
            </w:r>
          </w:p>
        </w:tc>
        <w:tc>
          <w:tcPr>
            <w:tcW w:w="3983"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História Contemporânea</w:t>
            </w:r>
          </w:p>
        </w:tc>
        <w:tc>
          <w:tcPr>
            <w:tcW w:w="1865" w:type="dxa"/>
            <w:tcBorders>
              <w:top w:val="single" w:color="000000" w:sz="4" w:space="0"/>
              <w:left w:val="single" w:color="000000" w:sz="4" w:space="0"/>
              <w:bottom w:val="single" w:color="000000" w:sz="4" w:space="0"/>
              <w:right w:val="single" w:color="000000" w:sz="4" w:space="0"/>
            </w:tcBorders>
            <w:shd w:val="clear" w:color="auto" w:fill="FFFFFF"/>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30h</w:t>
            </w:r>
          </w:p>
        </w:tc>
      </w:tr>
      <w:tr>
        <w:tblPrEx>
          <w:tblCellMar>
            <w:top w:w="0" w:type="dxa"/>
            <w:left w:w="70" w:type="dxa"/>
            <w:bottom w:w="0" w:type="dxa"/>
            <w:right w:w="70" w:type="dxa"/>
          </w:tblCellMar>
        </w:tblPrEx>
        <w:trPr>
          <w:cantSplit/>
          <w:trHeight w:val="300" w:hRule="atLeast"/>
        </w:trPr>
        <w:tc>
          <w:tcPr>
            <w:tcW w:w="1717" w:type="dxa"/>
            <w:vMerge w:val="continue"/>
            <w:tcBorders>
              <w:top w:val="single" w:color="000000" w:sz="4" w:space="0"/>
              <w:left w:val="single" w:color="000000" w:sz="4" w:space="0"/>
              <w:bottom w:val="single" w:color="000000" w:sz="4" w:space="0"/>
            </w:tcBorders>
            <w:shd w:val="clear" w:color="auto" w:fill="auto"/>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079" w:type="dxa"/>
            <w:tcBorders>
              <w:top w:val="single" w:color="000000" w:sz="4" w:space="0"/>
              <w:left w:val="single" w:color="000000" w:sz="4" w:space="0"/>
              <w:bottom w:val="single" w:color="000000" w:sz="4" w:space="0"/>
            </w:tcBorders>
            <w:shd w:val="clear" w:color="auto" w:fill="FFFFFF"/>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HIS067</w:t>
            </w:r>
          </w:p>
        </w:tc>
        <w:tc>
          <w:tcPr>
            <w:tcW w:w="3983"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História do Brasil II</w:t>
            </w:r>
          </w:p>
        </w:tc>
        <w:tc>
          <w:tcPr>
            <w:tcW w:w="1865" w:type="dxa"/>
            <w:tcBorders>
              <w:top w:val="single" w:color="000000" w:sz="4" w:space="0"/>
              <w:left w:val="single" w:color="000000" w:sz="4" w:space="0"/>
              <w:bottom w:val="single" w:color="000000" w:sz="4" w:space="0"/>
              <w:right w:val="single" w:color="000000" w:sz="4" w:space="0"/>
            </w:tcBorders>
            <w:shd w:val="clear" w:color="auto" w:fill="FFFFFF"/>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30h</w:t>
            </w:r>
          </w:p>
        </w:tc>
      </w:tr>
      <w:tr>
        <w:tblPrEx>
          <w:tblCellMar>
            <w:top w:w="0" w:type="dxa"/>
            <w:left w:w="70" w:type="dxa"/>
            <w:bottom w:w="0" w:type="dxa"/>
            <w:right w:w="70" w:type="dxa"/>
          </w:tblCellMar>
        </w:tblPrEx>
        <w:trPr>
          <w:cantSplit/>
          <w:trHeight w:val="300" w:hRule="atLeast"/>
        </w:trPr>
        <w:tc>
          <w:tcPr>
            <w:tcW w:w="1717" w:type="dxa"/>
            <w:vMerge w:val="continue"/>
            <w:tcBorders>
              <w:top w:val="single" w:color="000000" w:sz="4" w:space="0"/>
              <w:left w:val="single" w:color="000000" w:sz="4" w:space="0"/>
              <w:bottom w:val="single" w:color="000000" w:sz="4" w:space="0"/>
            </w:tcBorders>
            <w:shd w:val="clear" w:color="auto" w:fill="auto"/>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079" w:type="dxa"/>
            <w:tcBorders>
              <w:top w:val="single" w:color="000000" w:sz="4" w:space="0"/>
              <w:left w:val="single" w:color="000000" w:sz="4" w:space="0"/>
              <w:bottom w:val="single" w:color="000000" w:sz="4" w:space="0"/>
            </w:tcBorders>
            <w:shd w:val="clear" w:color="auto" w:fill="FFFFFF"/>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HIS070</w:t>
            </w:r>
          </w:p>
        </w:tc>
        <w:tc>
          <w:tcPr>
            <w:tcW w:w="3983"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História das Áfricas</w:t>
            </w:r>
          </w:p>
        </w:tc>
        <w:tc>
          <w:tcPr>
            <w:tcW w:w="1865" w:type="dxa"/>
            <w:tcBorders>
              <w:top w:val="single" w:color="000000" w:sz="4" w:space="0"/>
              <w:left w:val="single" w:color="000000" w:sz="4" w:space="0"/>
              <w:bottom w:val="single" w:color="000000" w:sz="4" w:space="0"/>
              <w:right w:val="single" w:color="000000" w:sz="4" w:space="0"/>
            </w:tcBorders>
            <w:shd w:val="clear" w:color="auto" w:fill="FFFFFF"/>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30h</w:t>
            </w:r>
          </w:p>
        </w:tc>
      </w:tr>
      <w:tr>
        <w:tblPrEx>
          <w:tblCellMar>
            <w:top w:w="0" w:type="dxa"/>
            <w:left w:w="70" w:type="dxa"/>
            <w:bottom w:w="0" w:type="dxa"/>
            <w:right w:w="70" w:type="dxa"/>
          </w:tblCellMar>
        </w:tblPrEx>
        <w:trPr>
          <w:cantSplit/>
          <w:trHeight w:val="300" w:hRule="atLeast"/>
        </w:trPr>
        <w:tc>
          <w:tcPr>
            <w:tcW w:w="1717" w:type="dxa"/>
            <w:vMerge w:val="continue"/>
            <w:tcBorders>
              <w:top w:val="single" w:color="000000" w:sz="4" w:space="0"/>
              <w:left w:val="single" w:color="000000" w:sz="4" w:space="0"/>
              <w:bottom w:val="single" w:color="000000" w:sz="4" w:space="0"/>
            </w:tcBorders>
            <w:shd w:val="clear" w:color="auto" w:fill="auto"/>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079" w:type="dxa"/>
            <w:tcBorders>
              <w:left w:val="single" w:color="000000" w:sz="4" w:space="0"/>
              <w:bottom w:val="single" w:color="000000" w:sz="4" w:space="0"/>
            </w:tcBorders>
            <w:shd w:val="clear" w:color="auto" w:fill="FFFFFF"/>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HIS068</w:t>
            </w:r>
          </w:p>
        </w:tc>
        <w:tc>
          <w:tcPr>
            <w:tcW w:w="3983" w:type="dxa"/>
            <w:tcBorders>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História da América I</w:t>
            </w:r>
          </w:p>
        </w:tc>
        <w:tc>
          <w:tcPr>
            <w:tcW w:w="1865" w:type="dxa"/>
            <w:tcBorders>
              <w:left w:val="single" w:color="000000" w:sz="4" w:space="0"/>
              <w:bottom w:val="single" w:color="000000" w:sz="4" w:space="0"/>
              <w:right w:val="single" w:color="000000" w:sz="4" w:space="0"/>
            </w:tcBorders>
            <w:shd w:val="clear" w:color="auto" w:fill="FFFFFF"/>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30h</w:t>
            </w:r>
          </w:p>
        </w:tc>
      </w:tr>
      <w:tr>
        <w:tblPrEx>
          <w:tblCellMar>
            <w:top w:w="0" w:type="dxa"/>
            <w:left w:w="70" w:type="dxa"/>
            <w:bottom w:w="0" w:type="dxa"/>
            <w:right w:w="70" w:type="dxa"/>
          </w:tblCellMar>
        </w:tblPrEx>
        <w:trPr>
          <w:cantSplit/>
          <w:trHeight w:val="300" w:hRule="atLeast"/>
        </w:trPr>
        <w:tc>
          <w:tcPr>
            <w:tcW w:w="1717" w:type="dxa"/>
            <w:vMerge w:val="continue"/>
            <w:tcBorders>
              <w:top w:val="single" w:color="000000" w:sz="4" w:space="0"/>
              <w:left w:val="single" w:color="000000" w:sz="4" w:space="0"/>
              <w:bottom w:val="single" w:color="000000" w:sz="4" w:space="0"/>
            </w:tcBorders>
            <w:shd w:val="clear" w:color="auto" w:fill="auto"/>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079" w:type="dxa"/>
            <w:tcBorders>
              <w:top w:val="single" w:color="000000" w:sz="4" w:space="0"/>
              <w:left w:val="single" w:color="000000" w:sz="4" w:space="0"/>
              <w:bottom w:val="single" w:color="000000" w:sz="4" w:space="0"/>
            </w:tcBorders>
            <w:shd w:val="clear" w:color="auto" w:fill="FFFFFF"/>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HIS069</w:t>
            </w:r>
          </w:p>
        </w:tc>
        <w:tc>
          <w:tcPr>
            <w:tcW w:w="3983"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História da Historiografia Brasileira</w:t>
            </w:r>
          </w:p>
        </w:tc>
        <w:tc>
          <w:tcPr>
            <w:tcW w:w="1865" w:type="dxa"/>
            <w:tcBorders>
              <w:top w:val="single" w:color="000000" w:sz="4" w:space="0"/>
              <w:left w:val="single" w:color="000000" w:sz="4" w:space="0"/>
              <w:bottom w:val="single" w:color="000000" w:sz="4" w:space="0"/>
              <w:right w:val="single" w:color="000000" w:sz="4" w:space="0"/>
            </w:tcBorders>
            <w:shd w:val="clear" w:color="auto" w:fill="FFFFFF"/>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30h</w:t>
            </w:r>
          </w:p>
        </w:tc>
      </w:tr>
      <w:tr>
        <w:tblPrEx>
          <w:tblCellMar>
            <w:top w:w="0" w:type="dxa"/>
            <w:left w:w="70" w:type="dxa"/>
            <w:bottom w:w="0" w:type="dxa"/>
            <w:right w:w="70" w:type="dxa"/>
          </w:tblCellMar>
        </w:tblPrEx>
        <w:trPr>
          <w:cantSplit/>
          <w:trHeight w:val="300" w:hRule="atLeast"/>
        </w:trPr>
        <w:tc>
          <w:tcPr>
            <w:tcW w:w="1717" w:type="dxa"/>
            <w:vMerge w:val="continue"/>
            <w:tcBorders>
              <w:top w:val="single" w:color="000000" w:sz="4" w:space="0"/>
              <w:left w:val="single" w:color="000000" w:sz="4" w:space="0"/>
              <w:bottom w:val="single" w:color="000000" w:sz="4" w:space="0"/>
            </w:tcBorders>
            <w:shd w:val="clear" w:color="auto" w:fill="auto"/>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079" w:type="dxa"/>
            <w:tcBorders>
              <w:top w:val="single" w:color="000000" w:sz="4" w:space="0"/>
              <w:left w:val="single" w:color="000000" w:sz="4" w:space="0"/>
              <w:bottom w:val="single" w:color="000000" w:sz="4" w:space="0"/>
            </w:tcBorders>
            <w:shd w:val="clear" w:color="auto" w:fill="FFFFFF"/>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HIS071</w:t>
            </w:r>
          </w:p>
        </w:tc>
        <w:tc>
          <w:tcPr>
            <w:tcW w:w="3983"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História Antiga</w:t>
            </w:r>
          </w:p>
        </w:tc>
        <w:tc>
          <w:tcPr>
            <w:tcW w:w="1865"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30h</w:t>
            </w:r>
          </w:p>
        </w:tc>
      </w:tr>
      <w:tr>
        <w:tblPrEx>
          <w:tblCellMar>
            <w:top w:w="0" w:type="dxa"/>
            <w:left w:w="70" w:type="dxa"/>
            <w:bottom w:w="0" w:type="dxa"/>
            <w:right w:w="70" w:type="dxa"/>
          </w:tblCellMar>
        </w:tblPrEx>
        <w:trPr>
          <w:cantSplit/>
          <w:trHeight w:val="300" w:hRule="atLeast"/>
        </w:trPr>
        <w:tc>
          <w:tcPr>
            <w:tcW w:w="1717" w:type="dxa"/>
            <w:vMerge w:val="continue"/>
            <w:tcBorders>
              <w:top w:val="single" w:color="000000" w:sz="4" w:space="0"/>
              <w:left w:val="single" w:color="000000" w:sz="4" w:space="0"/>
              <w:bottom w:val="single" w:color="000000" w:sz="4" w:space="0"/>
            </w:tcBorders>
            <w:shd w:val="clear" w:color="auto" w:fill="auto"/>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079" w:type="dxa"/>
            <w:tcBorders>
              <w:top w:val="single" w:color="000000" w:sz="4" w:space="0"/>
              <w:left w:val="single" w:color="000000" w:sz="4" w:space="0"/>
              <w:bottom w:val="single" w:color="000000" w:sz="4" w:space="0"/>
            </w:tcBorders>
            <w:shd w:val="clear" w:color="auto" w:fill="FFFFFF"/>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HIS072</w:t>
            </w:r>
          </w:p>
        </w:tc>
        <w:tc>
          <w:tcPr>
            <w:tcW w:w="3983"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História do Brasil III</w:t>
            </w:r>
          </w:p>
        </w:tc>
        <w:tc>
          <w:tcPr>
            <w:tcW w:w="1865"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30h</w:t>
            </w:r>
          </w:p>
        </w:tc>
      </w:tr>
      <w:tr>
        <w:tblPrEx>
          <w:tblCellMar>
            <w:top w:w="0" w:type="dxa"/>
            <w:left w:w="70" w:type="dxa"/>
            <w:bottom w:w="0" w:type="dxa"/>
            <w:right w:w="70" w:type="dxa"/>
          </w:tblCellMar>
        </w:tblPrEx>
        <w:trPr>
          <w:cantSplit/>
          <w:trHeight w:val="300" w:hRule="atLeast"/>
        </w:trPr>
        <w:tc>
          <w:tcPr>
            <w:tcW w:w="1717" w:type="dxa"/>
            <w:vMerge w:val="continue"/>
            <w:tcBorders>
              <w:top w:val="single" w:color="000000" w:sz="4" w:space="0"/>
              <w:left w:val="single" w:color="000000" w:sz="4" w:space="0"/>
              <w:bottom w:val="single" w:color="000000" w:sz="4" w:space="0"/>
            </w:tcBorders>
            <w:shd w:val="clear" w:color="auto" w:fill="auto"/>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079" w:type="dxa"/>
            <w:tcBorders>
              <w:top w:val="single" w:color="000000" w:sz="4" w:space="0"/>
              <w:left w:val="single" w:color="000000" w:sz="4" w:space="0"/>
              <w:bottom w:val="single" w:color="000000" w:sz="4" w:space="0"/>
            </w:tcBorders>
            <w:shd w:val="clear" w:color="auto" w:fill="FFFFFF"/>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HIS073</w:t>
            </w:r>
          </w:p>
        </w:tc>
        <w:tc>
          <w:tcPr>
            <w:tcW w:w="3983"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História da América II</w:t>
            </w:r>
          </w:p>
        </w:tc>
        <w:tc>
          <w:tcPr>
            <w:tcW w:w="1865"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30h</w:t>
            </w:r>
          </w:p>
        </w:tc>
      </w:tr>
      <w:tr>
        <w:tblPrEx>
          <w:tblCellMar>
            <w:top w:w="0" w:type="dxa"/>
            <w:left w:w="70" w:type="dxa"/>
            <w:bottom w:w="0" w:type="dxa"/>
            <w:right w:w="70" w:type="dxa"/>
          </w:tblCellMar>
        </w:tblPrEx>
        <w:trPr>
          <w:cantSplit/>
          <w:trHeight w:val="300" w:hRule="atLeast"/>
        </w:trPr>
        <w:tc>
          <w:tcPr>
            <w:tcW w:w="1717" w:type="dxa"/>
            <w:vMerge w:val="continue"/>
            <w:tcBorders>
              <w:top w:val="single" w:color="000000" w:sz="4" w:space="0"/>
              <w:left w:val="single" w:color="000000" w:sz="4" w:space="0"/>
              <w:bottom w:val="single" w:color="000000" w:sz="4" w:space="0"/>
            </w:tcBorders>
            <w:shd w:val="clear" w:color="auto" w:fill="auto"/>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079" w:type="dxa"/>
            <w:tcBorders>
              <w:top w:val="single" w:color="000000" w:sz="4" w:space="0"/>
              <w:left w:val="single" w:color="000000" w:sz="4" w:space="0"/>
              <w:bottom w:val="single" w:color="000000" w:sz="4" w:space="0"/>
            </w:tcBorders>
            <w:shd w:val="clear" w:color="auto" w:fill="FFFFFF"/>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HIS074</w:t>
            </w:r>
          </w:p>
        </w:tc>
        <w:tc>
          <w:tcPr>
            <w:tcW w:w="3983"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História da Historiografia Geral</w:t>
            </w:r>
          </w:p>
        </w:tc>
        <w:tc>
          <w:tcPr>
            <w:tcW w:w="1865"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30h</w:t>
            </w:r>
          </w:p>
        </w:tc>
      </w:tr>
      <w:tr>
        <w:tblPrEx>
          <w:tblCellMar>
            <w:top w:w="0" w:type="dxa"/>
            <w:left w:w="70" w:type="dxa"/>
            <w:bottom w:w="0" w:type="dxa"/>
            <w:right w:w="70" w:type="dxa"/>
          </w:tblCellMar>
        </w:tblPrEx>
        <w:trPr>
          <w:cantSplit/>
          <w:trHeight w:val="300" w:hRule="atLeast"/>
        </w:trPr>
        <w:tc>
          <w:tcPr>
            <w:tcW w:w="1717" w:type="dxa"/>
            <w:vMerge w:val="continue"/>
            <w:tcBorders>
              <w:top w:val="single" w:color="000000" w:sz="4" w:space="0"/>
              <w:left w:val="single" w:color="000000" w:sz="4" w:space="0"/>
              <w:bottom w:val="single" w:color="000000" w:sz="4" w:space="0"/>
            </w:tcBorders>
            <w:shd w:val="clear" w:color="auto" w:fill="auto"/>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079" w:type="dxa"/>
            <w:tcBorders>
              <w:top w:val="single" w:color="000000" w:sz="4" w:space="0"/>
              <w:left w:val="single" w:color="000000" w:sz="4" w:space="0"/>
              <w:bottom w:val="single" w:color="000000" w:sz="4" w:space="0"/>
            </w:tcBorders>
            <w:shd w:val="clear" w:color="auto" w:fill="FFFFFF"/>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HIS076</w:t>
            </w:r>
          </w:p>
        </w:tc>
        <w:tc>
          <w:tcPr>
            <w:tcW w:w="3983"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História Medieval</w:t>
            </w:r>
          </w:p>
        </w:tc>
        <w:tc>
          <w:tcPr>
            <w:tcW w:w="1865"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30h</w:t>
            </w:r>
          </w:p>
        </w:tc>
      </w:tr>
      <w:tr>
        <w:tblPrEx>
          <w:tblCellMar>
            <w:top w:w="0" w:type="dxa"/>
            <w:left w:w="70" w:type="dxa"/>
            <w:bottom w:w="0" w:type="dxa"/>
            <w:right w:w="70" w:type="dxa"/>
          </w:tblCellMar>
        </w:tblPrEx>
        <w:trPr>
          <w:cantSplit/>
          <w:trHeight w:val="300" w:hRule="atLeast"/>
        </w:trPr>
        <w:tc>
          <w:tcPr>
            <w:tcW w:w="1717" w:type="dxa"/>
            <w:vMerge w:val="continue"/>
            <w:tcBorders>
              <w:top w:val="single" w:color="000000" w:sz="4" w:space="0"/>
              <w:left w:val="single" w:color="000000" w:sz="4" w:space="0"/>
              <w:bottom w:val="single" w:color="000000" w:sz="4" w:space="0"/>
            </w:tcBorders>
            <w:shd w:val="clear" w:color="auto" w:fill="auto"/>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079" w:type="dxa"/>
            <w:tcBorders>
              <w:top w:val="single" w:color="000000" w:sz="4" w:space="0"/>
              <w:left w:val="single" w:color="000000" w:sz="4" w:space="0"/>
              <w:bottom w:val="single" w:color="000000" w:sz="4" w:space="0"/>
            </w:tcBorders>
            <w:shd w:val="clear" w:color="auto" w:fill="FFFFFF"/>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HIS077</w:t>
            </w:r>
          </w:p>
        </w:tc>
        <w:tc>
          <w:tcPr>
            <w:tcW w:w="3983"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Teoria da História</w:t>
            </w:r>
          </w:p>
        </w:tc>
        <w:tc>
          <w:tcPr>
            <w:tcW w:w="1865"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30h</w:t>
            </w:r>
          </w:p>
        </w:tc>
      </w:tr>
      <w:tr>
        <w:tblPrEx>
          <w:tblCellMar>
            <w:top w:w="0" w:type="dxa"/>
            <w:left w:w="70" w:type="dxa"/>
            <w:bottom w:w="0" w:type="dxa"/>
            <w:right w:w="70" w:type="dxa"/>
          </w:tblCellMar>
        </w:tblPrEx>
        <w:trPr>
          <w:cantSplit/>
          <w:trHeight w:val="300" w:hRule="atLeast"/>
        </w:trPr>
        <w:tc>
          <w:tcPr>
            <w:tcW w:w="1717" w:type="dxa"/>
            <w:vMerge w:val="continue"/>
            <w:tcBorders>
              <w:top w:val="single" w:color="000000" w:sz="4" w:space="0"/>
              <w:left w:val="single" w:color="000000" w:sz="4" w:space="0"/>
              <w:bottom w:val="single" w:color="000000" w:sz="4" w:space="0"/>
            </w:tcBorders>
            <w:shd w:val="clear" w:color="auto" w:fill="auto"/>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079" w:type="dxa"/>
            <w:tcBorders>
              <w:top w:val="single" w:color="000000" w:sz="4" w:space="0"/>
              <w:left w:val="single" w:color="000000" w:sz="4" w:space="0"/>
              <w:bottom w:val="single" w:color="000000" w:sz="4" w:space="0"/>
            </w:tcBorders>
            <w:shd w:val="clear" w:color="auto" w:fill="FFFFFF"/>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HIS078</w:t>
            </w:r>
          </w:p>
        </w:tc>
        <w:tc>
          <w:tcPr>
            <w:tcW w:w="398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História de Minas Gerais</w:t>
            </w:r>
          </w:p>
        </w:tc>
        <w:tc>
          <w:tcPr>
            <w:tcW w:w="1865"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30h</w:t>
            </w:r>
          </w:p>
        </w:tc>
      </w:tr>
      <w:tr>
        <w:tblPrEx>
          <w:tblCellMar>
            <w:top w:w="0" w:type="dxa"/>
            <w:left w:w="70" w:type="dxa"/>
            <w:bottom w:w="0" w:type="dxa"/>
            <w:right w:w="70" w:type="dxa"/>
          </w:tblCellMar>
        </w:tblPrEx>
        <w:trPr>
          <w:cantSplit/>
          <w:trHeight w:val="300" w:hRule="atLeast"/>
        </w:trPr>
        <w:tc>
          <w:tcPr>
            <w:tcW w:w="1717" w:type="dxa"/>
            <w:vMerge w:val="continue"/>
            <w:tcBorders>
              <w:top w:val="single" w:color="000000" w:sz="4" w:space="0"/>
              <w:left w:val="single" w:color="000000" w:sz="4" w:space="0"/>
              <w:bottom w:val="single" w:color="000000" w:sz="4" w:space="0"/>
            </w:tcBorders>
            <w:shd w:val="clear" w:color="auto" w:fill="auto"/>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079" w:type="dxa"/>
            <w:tcBorders>
              <w:top w:val="single" w:color="000000" w:sz="4" w:space="0"/>
              <w:left w:val="single" w:color="000000" w:sz="4" w:space="0"/>
              <w:bottom w:val="single" w:color="000000" w:sz="4" w:space="0"/>
            </w:tcBorders>
            <w:shd w:val="clear" w:color="auto" w:fill="auto"/>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 079</w:t>
            </w:r>
          </w:p>
        </w:tc>
        <w:tc>
          <w:tcPr>
            <w:tcW w:w="3983"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História Moderna</w:t>
            </w:r>
          </w:p>
        </w:tc>
        <w:tc>
          <w:tcPr>
            <w:tcW w:w="1865"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30h</w:t>
            </w:r>
          </w:p>
        </w:tc>
      </w:tr>
      <w:tr>
        <w:tblPrEx>
          <w:tblCellMar>
            <w:top w:w="0" w:type="dxa"/>
            <w:left w:w="70" w:type="dxa"/>
            <w:bottom w:w="0" w:type="dxa"/>
            <w:right w:w="70" w:type="dxa"/>
          </w:tblCellMar>
        </w:tblPrEx>
        <w:trPr>
          <w:trHeight w:val="330" w:hRule="atLeast"/>
        </w:trPr>
        <w:tc>
          <w:tcPr>
            <w:tcW w:w="171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right"/>
              <w:rPr>
                <w:rFonts w:ascii="Times New Roman" w:hAnsi="Times New Roman" w:eastAsia="Liberation Serif" w:cs="Times New Roman"/>
                <w:color w:val="000000"/>
              </w:rPr>
            </w:pPr>
            <w:r>
              <w:rPr>
                <w:rFonts w:ascii="Times New Roman" w:hAnsi="Times New Roman" w:eastAsia="Calibri" w:cs="Times New Roman"/>
                <w:b/>
                <w:color w:val="000000"/>
              </w:rPr>
              <w:t>Carga horária</w:t>
            </w:r>
          </w:p>
        </w:tc>
        <w:tc>
          <w:tcPr>
            <w:tcW w:w="6927" w:type="dxa"/>
            <w:gridSpan w:val="3"/>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b/>
                <w:color w:val="000000"/>
              </w:rPr>
              <w:t>480 horas</w:t>
            </w:r>
          </w:p>
        </w:tc>
      </w:tr>
      <w:tr>
        <w:tblPrEx>
          <w:tblCellMar>
            <w:top w:w="0" w:type="dxa"/>
            <w:left w:w="70" w:type="dxa"/>
            <w:bottom w:w="0" w:type="dxa"/>
            <w:right w:w="70" w:type="dxa"/>
          </w:tblCellMar>
        </w:tblPrEx>
        <w:trPr>
          <w:trHeight w:val="315" w:hRule="atLeast"/>
        </w:trPr>
        <w:tc>
          <w:tcPr>
            <w:tcW w:w="8644" w:type="dxa"/>
            <w:gridSpan w:val="4"/>
            <w:tcBorders>
              <w:top w:val="single" w:color="000000" w:sz="4" w:space="0"/>
              <w:left w:val="single" w:color="000000" w:sz="4" w:space="0"/>
              <w:bottom w:val="single" w:color="000000" w:sz="4" w:space="0"/>
              <w:right w:val="single" w:color="000000" w:sz="4" w:space="0"/>
            </w:tcBorders>
            <w:shd w:val="clear" w:color="auto" w:fill="FDE9D9"/>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  </w:t>
            </w:r>
          </w:p>
        </w:tc>
      </w:tr>
      <w:tr>
        <w:tblPrEx>
          <w:tblCellMar>
            <w:top w:w="0" w:type="dxa"/>
            <w:left w:w="70" w:type="dxa"/>
            <w:bottom w:w="0" w:type="dxa"/>
            <w:right w:w="70" w:type="dxa"/>
          </w:tblCellMar>
        </w:tblPrEx>
        <w:trPr>
          <w:cantSplit/>
          <w:trHeight w:val="300" w:hRule="atLeast"/>
        </w:trPr>
        <w:tc>
          <w:tcPr>
            <w:tcW w:w="1717" w:type="dxa"/>
            <w:vMerge w:val="restart"/>
            <w:tcBorders>
              <w:top w:val="single" w:color="000000" w:sz="4" w:space="0"/>
              <w:left w:val="single" w:color="000000" w:sz="4" w:space="0"/>
              <w:bottom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 xml:space="preserve">II - Estágio Supervisionado                                                                           </w:t>
            </w:r>
          </w:p>
        </w:tc>
        <w:tc>
          <w:tcPr>
            <w:tcW w:w="1079" w:type="dxa"/>
            <w:tcBorders>
              <w:top w:val="single" w:color="000000" w:sz="4" w:space="0"/>
              <w:left w:val="single" w:color="000000" w:sz="4" w:space="0"/>
              <w:bottom w:val="single" w:color="000000" w:sz="4" w:space="0"/>
            </w:tcBorders>
            <w:shd w:val="clear" w:color="auto" w:fill="auto"/>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HIS596</w:t>
            </w:r>
          </w:p>
        </w:tc>
        <w:tc>
          <w:tcPr>
            <w:tcW w:w="3983"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Estágio Supervisionado de História I</w:t>
            </w:r>
          </w:p>
        </w:tc>
        <w:tc>
          <w:tcPr>
            <w:tcW w:w="1865"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100h</w:t>
            </w:r>
          </w:p>
        </w:tc>
      </w:tr>
      <w:tr>
        <w:tblPrEx>
          <w:tblCellMar>
            <w:top w:w="0" w:type="dxa"/>
            <w:left w:w="70" w:type="dxa"/>
            <w:bottom w:w="0" w:type="dxa"/>
            <w:right w:w="70" w:type="dxa"/>
          </w:tblCellMar>
        </w:tblPrEx>
        <w:trPr>
          <w:cantSplit/>
          <w:trHeight w:val="300" w:hRule="atLeast"/>
        </w:trPr>
        <w:tc>
          <w:tcPr>
            <w:tcW w:w="1717" w:type="dxa"/>
            <w:vMerge w:val="continue"/>
            <w:tcBorders>
              <w:top w:val="single" w:color="000000" w:sz="4" w:space="0"/>
              <w:left w:val="single" w:color="000000" w:sz="4" w:space="0"/>
              <w:bottom w:val="single" w:color="000000" w:sz="4" w:space="0"/>
            </w:tcBorders>
            <w:shd w:val="clear" w:color="auto" w:fill="auto"/>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079" w:type="dxa"/>
            <w:tcBorders>
              <w:top w:val="single" w:color="000000" w:sz="4" w:space="0"/>
              <w:left w:val="single" w:color="000000" w:sz="4" w:space="0"/>
              <w:bottom w:val="single" w:color="000000" w:sz="4" w:space="0"/>
            </w:tcBorders>
            <w:shd w:val="clear" w:color="auto" w:fill="auto"/>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HIS597</w:t>
            </w:r>
          </w:p>
        </w:tc>
        <w:tc>
          <w:tcPr>
            <w:tcW w:w="3983"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Estágio Supervisionado de História II</w:t>
            </w:r>
          </w:p>
        </w:tc>
        <w:tc>
          <w:tcPr>
            <w:tcW w:w="1865"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100h</w:t>
            </w:r>
          </w:p>
        </w:tc>
      </w:tr>
      <w:tr>
        <w:tblPrEx>
          <w:tblCellMar>
            <w:top w:w="0" w:type="dxa"/>
            <w:left w:w="70" w:type="dxa"/>
            <w:bottom w:w="0" w:type="dxa"/>
            <w:right w:w="70" w:type="dxa"/>
          </w:tblCellMar>
        </w:tblPrEx>
        <w:trPr>
          <w:cantSplit/>
          <w:trHeight w:val="300" w:hRule="atLeast"/>
        </w:trPr>
        <w:tc>
          <w:tcPr>
            <w:tcW w:w="1717" w:type="dxa"/>
            <w:vMerge w:val="continue"/>
            <w:tcBorders>
              <w:top w:val="single" w:color="000000" w:sz="4" w:space="0"/>
              <w:left w:val="single" w:color="000000" w:sz="4" w:space="0"/>
              <w:bottom w:val="single" w:color="000000" w:sz="4" w:space="0"/>
            </w:tcBorders>
            <w:shd w:val="clear" w:color="auto" w:fill="auto"/>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079" w:type="dxa"/>
            <w:tcBorders>
              <w:top w:val="single" w:color="000000" w:sz="4" w:space="0"/>
              <w:left w:val="single" w:color="000000" w:sz="4" w:space="0"/>
              <w:bottom w:val="single" w:color="000000" w:sz="4" w:space="0"/>
            </w:tcBorders>
            <w:shd w:val="clear" w:color="auto" w:fill="auto"/>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HIS598</w:t>
            </w:r>
          </w:p>
        </w:tc>
        <w:tc>
          <w:tcPr>
            <w:tcW w:w="3983"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Estágio Supervisionado de História III</w:t>
            </w:r>
          </w:p>
        </w:tc>
        <w:tc>
          <w:tcPr>
            <w:tcW w:w="1865"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100h</w:t>
            </w:r>
          </w:p>
        </w:tc>
      </w:tr>
      <w:tr>
        <w:tblPrEx>
          <w:tblCellMar>
            <w:top w:w="0" w:type="dxa"/>
            <w:left w:w="70" w:type="dxa"/>
            <w:bottom w:w="0" w:type="dxa"/>
            <w:right w:w="70" w:type="dxa"/>
          </w:tblCellMar>
        </w:tblPrEx>
        <w:trPr>
          <w:cantSplit/>
          <w:trHeight w:val="315" w:hRule="atLeast"/>
        </w:trPr>
        <w:tc>
          <w:tcPr>
            <w:tcW w:w="1717" w:type="dxa"/>
            <w:vMerge w:val="continue"/>
            <w:tcBorders>
              <w:top w:val="single" w:color="000000" w:sz="4" w:space="0"/>
              <w:left w:val="single" w:color="000000" w:sz="4" w:space="0"/>
              <w:bottom w:val="single" w:color="000000" w:sz="4" w:space="0"/>
            </w:tcBorders>
            <w:shd w:val="clear" w:color="auto" w:fill="auto"/>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079" w:type="dxa"/>
            <w:tcBorders>
              <w:top w:val="single" w:color="000000" w:sz="4" w:space="0"/>
              <w:left w:val="single" w:color="000000" w:sz="4" w:space="0"/>
              <w:bottom w:val="single" w:color="000000" w:sz="4" w:space="0"/>
            </w:tcBorders>
            <w:shd w:val="clear" w:color="auto" w:fill="auto"/>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HIS599</w:t>
            </w:r>
          </w:p>
        </w:tc>
        <w:tc>
          <w:tcPr>
            <w:tcW w:w="3983"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Estágio Supervisionado de História IV</w:t>
            </w:r>
          </w:p>
        </w:tc>
        <w:tc>
          <w:tcPr>
            <w:tcW w:w="1865"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100h</w:t>
            </w:r>
          </w:p>
        </w:tc>
      </w:tr>
      <w:tr>
        <w:tblPrEx>
          <w:tblCellMar>
            <w:top w:w="0" w:type="dxa"/>
            <w:left w:w="70" w:type="dxa"/>
            <w:bottom w:w="0" w:type="dxa"/>
            <w:right w:w="70" w:type="dxa"/>
          </w:tblCellMar>
        </w:tblPrEx>
        <w:trPr>
          <w:trHeight w:val="330" w:hRule="atLeast"/>
        </w:trPr>
        <w:tc>
          <w:tcPr>
            <w:tcW w:w="1717" w:type="dxa"/>
            <w:tcBorders>
              <w:top w:val="single" w:color="000000" w:sz="4" w:space="0"/>
              <w:left w:val="single" w:color="000000" w:sz="4" w:space="0"/>
              <w:bottom w:val="single" w:color="000000" w:sz="4" w:space="0"/>
            </w:tcBorders>
            <w:shd w:val="clear" w:color="auto" w:fill="auto"/>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right"/>
              <w:rPr>
                <w:rFonts w:ascii="Times New Roman" w:hAnsi="Times New Roman" w:eastAsia="Liberation Serif" w:cs="Times New Roman"/>
                <w:color w:val="000000"/>
              </w:rPr>
            </w:pPr>
            <w:r>
              <w:rPr>
                <w:rFonts w:ascii="Times New Roman" w:hAnsi="Times New Roman" w:eastAsia="Calibri" w:cs="Times New Roman"/>
                <w:b/>
                <w:color w:val="000000"/>
              </w:rPr>
              <w:t>Carga horária</w:t>
            </w:r>
          </w:p>
        </w:tc>
        <w:tc>
          <w:tcPr>
            <w:tcW w:w="6927" w:type="dxa"/>
            <w:gridSpan w:val="3"/>
            <w:tcBorders>
              <w:top w:val="single" w:color="000000" w:sz="4" w:space="0"/>
              <w:left w:val="single" w:color="000000" w:sz="4" w:space="0"/>
              <w:bottom w:val="single" w:color="000000" w:sz="4" w:space="0"/>
              <w:right w:val="single" w:color="000000" w:sz="4" w:space="0"/>
            </w:tcBorders>
            <w:shd w:val="clear" w:color="auto" w:fill="FFFFFF"/>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b/>
                <w:color w:val="000000"/>
              </w:rPr>
              <w:t>400 horas</w:t>
            </w:r>
          </w:p>
        </w:tc>
      </w:tr>
      <w:tr>
        <w:tblPrEx>
          <w:tblCellMar>
            <w:top w:w="0" w:type="dxa"/>
            <w:left w:w="70" w:type="dxa"/>
            <w:bottom w:w="0" w:type="dxa"/>
            <w:right w:w="70" w:type="dxa"/>
          </w:tblCellMar>
        </w:tblPrEx>
        <w:trPr>
          <w:trHeight w:val="315" w:hRule="atLeast"/>
        </w:trPr>
        <w:tc>
          <w:tcPr>
            <w:tcW w:w="8644" w:type="dxa"/>
            <w:gridSpan w:val="4"/>
            <w:tcBorders>
              <w:top w:val="single" w:color="000000" w:sz="4" w:space="0"/>
              <w:left w:val="single" w:color="000000" w:sz="4" w:space="0"/>
              <w:bottom w:val="single" w:color="000000" w:sz="4" w:space="0"/>
              <w:right w:val="single" w:color="000000" w:sz="4" w:space="0"/>
            </w:tcBorders>
            <w:shd w:val="clear" w:color="auto" w:fill="FDE9D9"/>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 </w:t>
            </w:r>
          </w:p>
        </w:tc>
      </w:tr>
      <w:tr>
        <w:tblPrEx>
          <w:tblCellMar>
            <w:top w:w="0" w:type="dxa"/>
            <w:left w:w="70" w:type="dxa"/>
            <w:bottom w:w="0" w:type="dxa"/>
            <w:right w:w="70" w:type="dxa"/>
          </w:tblCellMar>
        </w:tblPrEx>
        <w:trPr>
          <w:cantSplit/>
          <w:trHeight w:val="300" w:hRule="atLeast"/>
        </w:trPr>
        <w:tc>
          <w:tcPr>
            <w:tcW w:w="1717" w:type="dxa"/>
            <w:vMerge w:val="restart"/>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III - Atividades formativas: Conhecimento pedagógico</w:t>
            </w:r>
          </w:p>
        </w:tc>
        <w:tc>
          <w:tcPr>
            <w:tcW w:w="1079"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EDU252</w:t>
            </w:r>
          </w:p>
        </w:tc>
        <w:tc>
          <w:tcPr>
            <w:tcW w:w="3983"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Estudos Históricos sobre a Educação</w:t>
            </w:r>
          </w:p>
        </w:tc>
        <w:tc>
          <w:tcPr>
            <w:tcW w:w="1865"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60h</w:t>
            </w:r>
          </w:p>
        </w:tc>
      </w:tr>
      <w:tr>
        <w:tblPrEx>
          <w:tblCellMar>
            <w:top w:w="0" w:type="dxa"/>
            <w:left w:w="70" w:type="dxa"/>
            <w:bottom w:w="0" w:type="dxa"/>
            <w:right w:w="70" w:type="dxa"/>
          </w:tblCellMar>
        </w:tblPrEx>
        <w:trPr>
          <w:cantSplit/>
          <w:trHeight w:val="300" w:hRule="atLeast"/>
        </w:trPr>
        <w:tc>
          <w:tcPr>
            <w:tcW w:w="1717" w:type="dxa"/>
            <w:vMerge w:val="continue"/>
            <w:tcBorders>
              <w:top w:val="single" w:color="000000" w:sz="4" w:space="0"/>
              <w:left w:val="single" w:color="000000" w:sz="4" w:space="0"/>
              <w:bottom w:val="single" w:color="000000" w:sz="4" w:space="0"/>
            </w:tcBorders>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079"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EDU256</w:t>
            </w:r>
          </w:p>
        </w:tc>
        <w:tc>
          <w:tcPr>
            <w:tcW w:w="3983"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Psicologia da Educação</w:t>
            </w:r>
          </w:p>
        </w:tc>
        <w:tc>
          <w:tcPr>
            <w:tcW w:w="1865"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60h</w:t>
            </w:r>
          </w:p>
        </w:tc>
      </w:tr>
      <w:tr>
        <w:tblPrEx>
          <w:tblCellMar>
            <w:top w:w="0" w:type="dxa"/>
            <w:left w:w="70" w:type="dxa"/>
            <w:bottom w:w="0" w:type="dxa"/>
            <w:right w:w="70" w:type="dxa"/>
          </w:tblCellMar>
        </w:tblPrEx>
        <w:trPr>
          <w:cantSplit/>
          <w:trHeight w:val="300" w:hRule="atLeast"/>
        </w:trPr>
        <w:tc>
          <w:tcPr>
            <w:tcW w:w="1717" w:type="dxa"/>
            <w:vMerge w:val="continue"/>
            <w:tcBorders>
              <w:top w:val="single" w:color="000000" w:sz="4" w:space="0"/>
              <w:left w:val="single" w:color="000000" w:sz="4" w:space="0"/>
              <w:bottom w:val="single" w:color="000000" w:sz="4" w:space="0"/>
            </w:tcBorders>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079"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EDU253</w:t>
            </w:r>
          </w:p>
        </w:tc>
        <w:tc>
          <w:tcPr>
            <w:tcW w:w="3983"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Estudos Sociológicos sobre Educação</w:t>
            </w:r>
          </w:p>
        </w:tc>
        <w:tc>
          <w:tcPr>
            <w:tcW w:w="1865"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60h</w:t>
            </w:r>
          </w:p>
        </w:tc>
      </w:tr>
      <w:tr>
        <w:tblPrEx>
          <w:tblCellMar>
            <w:top w:w="0" w:type="dxa"/>
            <w:left w:w="70" w:type="dxa"/>
            <w:bottom w:w="0" w:type="dxa"/>
            <w:right w:w="70" w:type="dxa"/>
          </w:tblCellMar>
        </w:tblPrEx>
        <w:trPr>
          <w:cantSplit/>
          <w:trHeight w:val="300" w:hRule="atLeast"/>
        </w:trPr>
        <w:tc>
          <w:tcPr>
            <w:tcW w:w="1717" w:type="dxa"/>
            <w:vMerge w:val="continue"/>
            <w:tcBorders>
              <w:top w:val="single" w:color="000000" w:sz="4" w:space="0"/>
              <w:left w:val="single" w:color="000000" w:sz="4" w:space="0"/>
              <w:bottom w:val="single" w:color="000000" w:sz="4" w:space="0"/>
            </w:tcBorders>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079"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EDU254</w:t>
            </w:r>
          </w:p>
        </w:tc>
        <w:tc>
          <w:tcPr>
            <w:tcW w:w="3983"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Política e Gestão Educacional</w:t>
            </w:r>
          </w:p>
        </w:tc>
        <w:tc>
          <w:tcPr>
            <w:tcW w:w="1865"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60h</w:t>
            </w:r>
          </w:p>
        </w:tc>
      </w:tr>
      <w:tr>
        <w:tblPrEx>
          <w:tblCellMar>
            <w:top w:w="0" w:type="dxa"/>
            <w:left w:w="70" w:type="dxa"/>
            <w:bottom w:w="0" w:type="dxa"/>
            <w:right w:w="70" w:type="dxa"/>
          </w:tblCellMar>
        </w:tblPrEx>
        <w:trPr>
          <w:cantSplit/>
          <w:trHeight w:val="240" w:hRule="atLeast"/>
        </w:trPr>
        <w:tc>
          <w:tcPr>
            <w:tcW w:w="1717" w:type="dxa"/>
            <w:vMerge w:val="continue"/>
            <w:tcBorders>
              <w:top w:val="single" w:color="000000" w:sz="4" w:space="0"/>
              <w:left w:val="single" w:color="000000" w:sz="4" w:space="0"/>
              <w:bottom w:val="single" w:color="000000" w:sz="4" w:space="0"/>
            </w:tcBorders>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079"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w:t>
            </w:r>
          </w:p>
        </w:tc>
        <w:tc>
          <w:tcPr>
            <w:tcW w:w="3983"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w:t>
            </w:r>
          </w:p>
        </w:tc>
        <w:tc>
          <w:tcPr>
            <w:tcW w:w="1865"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w:t>
            </w:r>
          </w:p>
        </w:tc>
      </w:tr>
      <w:tr>
        <w:tblPrEx>
          <w:tblCellMar>
            <w:top w:w="0" w:type="dxa"/>
            <w:left w:w="70" w:type="dxa"/>
            <w:bottom w:w="0" w:type="dxa"/>
            <w:right w:w="70" w:type="dxa"/>
          </w:tblCellMar>
        </w:tblPrEx>
        <w:trPr>
          <w:trHeight w:val="330" w:hRule="atLeast"/>
        </w:trPr>
        <w:tc>
          <w:tcPr>
            <w:tcW w:w="171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right"/>
              <w:rPr>
                <w:rFonts w:ascii="Times New Roman" w:hAnsi="Times New Roman" w:eastAsia="Liberation Serif" w:cs="Times New Roman"/>
                <w:color w:val="000000"/>
              </w:rPr>
            </w:pPr>
            <w:r>
              <w:rPr>
                <w:rFonts w:ascii="Times New Roman" w:hAnsi="Times New Roman" w:eastAsia="Calibri" w:cs="Times New Roman"/>
                <w:b/>
                <w:color w:val="000000"/>
              </w:rPr>
              <w:t>Carga horária</w:t>
            </w:r>
          </w:p>
        </w:tc>
        <w:tc>
          <w:tcPr>
            <w:tcW w:w="6927" w:type="dxa"/>
            <w:gridSpan w:val="3"/>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b/>
                <w:color w:val="000000"/>
              </w:rPr>
              <w:t>240 horas</w:t>
            </w:r>
          </w:p>
        </w:tc>
      </w:tr>
      <w:tr>
        <w:tblPrEx>
          <w:tblCellMar>
            <w:top w:w="0" w:type="dxa"/>
            <w:left w:w="70" w:type="dxa"/>
            <w:bottom w:w="0" w:type="dxa"/>
            <w:right w:w="70" w:type="dxa"/>
          </w:tblCellMar>
        </w:tblPrEx>
        <w:trPr>
          <w:trHeight w:val="330" w:hRule="atLeast"/>
        </w:trPr>
        <w:tc>
          <w:tcPr>
            <w:tcW w:w="8644" w:type="dxa"/>
            <w:gridSpan w:val="4"/>
            <w:tcBorders>
              <w:top w:val="single" w:color="000000" w:sz="4" w:space="0"/>
              <w:left w:val="single" w:color="000000" w:sz="4" w:space="0"/>
              <w:bottom w:val="single" w:color="000000" w:sz="4" w:space="0"/>
              <w:right w:val="single" w:color="000000" w:sz="4" w:space="0"/>
            </w:tcBorders>
            <w:shd w:val="clear" w:color="auto" w:fill="FBE4D5"/>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Calibri" w:cs="Times New Roman"/>
                <w:color w:val="000000"/>
              </w:rPr>
            </w:pPr>
          </w:p>
        </w:tc>
      </w:tr>
      <w:tr>
        <w:tblPrEx>
          <w:tblCellMar>
            <w:top w:w="0" w:type="dxa"/>
            <w:left w:w="70" w:type="dxa"/>
            <w:bottom w:w="0" w:type="dxa"/>
            <w:right w:w="70" w:type="dxa"/>
          </w:tblCellMar>
        </w:tblPrEx>
        <w:trPr>
          <w:cantSplit/>
          <w:trHeight w:val="300" w:hRule="atLeast"/>
        </w:trPr>
        <w:tc>
          <w:tcPr>
            <w:tcW w:w="1717" w:type="dxa"/>
            <w:vMerge w:val="restart"/>
            <w:tcBorders>
              <w:top w:val="single" w:color="000000" w:sz="4" w:space="0"/>
              <w:left w:val="single" w:color="000000" w:sz="4" w:space="0"/>
              <w:bottom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 xml:space="preserve">IV- Atividades formativas: Conhecimento sobre o objeto de ensino                                                                                      </w:t>
            </w:r>
          </w:p>
        </w:tc>
        <w:tc>
          <w:tcPr>
            <w:tcW w:w="1079" w:type="dxa"/>
            <w:tcBorders>
              <w:top w:val="single" w:color="000000" w:sz="4" w:space="0"/>
              <w:left w:val="single" w:color="000000" w:sz="4" w:space="0"/>
              <w:bottom w:val="single" w:color="000000" w:sz="4" w:space="0"/>
            </w:tcBorders>
            <w:shd w:val="clear" w:color="auto" w:fill="auto"/>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HIS063</w:t>
            </w:r>
          </w:p>
        </w:tc>
        <w:tc>
          <w:tcPr>
            <w:tcW w:w="3983"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Introdução ao Estudo da História</w:t>
            </w:r>
          </w:p>
        </w:tc>
        <w:tc>
          <w:tcPr>
            <w:tcW w:w="1865" w:type="dxa"/>
            <w:tcBorders>
              <w:top w:val="single" w:color="000000" w:sz="4" w:space="0"/>
              <w:left w:val="single" w:color="000000" w:sz="4" w:space="0"/>
              <w:bottom w:val="single" w:color="000000" w:sz="4" w:space="0"/>
              <w:right w:val="single" w:color="000000" w:sz="4" w:space="0"/>
            </w:tcBorders>
            <w:shd w:val="clear" w:color="auto" w:fill="FFFFFF"/>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60h</w:t>
            </w:r>
          </w:p>
        </w:tc>
      </w:tr>
      <w:tr>
        <w:tblPrEx>
          <w:tblCellMar>
            <w:top w:w="0" w:type="dxa"/>
            <w:left w:w="70" w:type="dxa"/>
            <w:bottom w:w="0" w:type="dxa"/>
            <w:right w:w="70" w:type="dxa"/>
          </w:tblCellMar>
        </w:tblPrEx>
        <w:trPr>
          <w:cantSplit/>
          <w:trHeight w:val="300" w:hRule="atLeast"/>
        </w:trPr>
        <w:tc>
          <w:tcPr>
            <w:tcW w:w="1717" w:type="dxa"/>
            <w:vMerge w:val="continue"/>
            <w:tcBorders>
              <w:top w:val="single" w:color="000000" w:sz="4" w:space="0"/>
              <w:left w:val="single" w:color="000000" w:sz="4" w:space="0"/>
              <w:bottom w:val="single" w:color="000000" w:sz="4" w:space="0"/>
            </w:tcBorders>
            <w:shd w:val="clear" w:color="auto" w:fill="auto"/>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079" w:type="dxa"/>
            <w:tcBorders>
              <w:top w:val="single" w:color="000000" w:sz="4" w:space="0"/>
              <w:left w:val="single" w:color="000000" w:sz="4" w:space="0"/>
              <w:bottom w:val="single" w:color="000000" w:sz="4" w:space="0"/>
            </w:tcBorders>
            <w:shd w:val="clear" w:color="auto" w:fill="auto"/>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HIS064</w:t>
            </w:r>
          </w:p>
        </w:tc>
        <w:tc>
          <w:tcPr>
            <w:tcW w:w="3983"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História do Brasil I</w:t>
            </w:r>
          </w:p>
        </w:tc>
        <w:tc>
          <w:tcPr>
            <w:tcW w:w="1865" w:type="dxa"/>
            <w:tcBorders>
              <w:top w:val="single" w:color="000000" w:sz="4" w:space="0"/>
              <w:left w:val="single" w:color="000000" w:sz="4" w:space="0"/>
              <w:bottom w:val="single" w:color="000000" w:sz="4" w:space="0"/>
              <w:right w:val="single" w:color="000000" w:sz="4" w:space="0"/>
            </w:tcBorders>
            <w:shd w:val="clear" w:color="auto" w:fill="FFFFFF"/>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60h</w:t>
            </w:r>
          </w:p>
        </w:tc>
      </w:tr>
      <w:tr>
        <w:tblPrEx>
          <w:tblCellMar>
            <w:top w:w="0" w:type="dxa"/>
            <w:left w:w="70" w:type="dxa"/>
            <w:bottom w:w="0" w:type="dxa"/>
            <w:right w:w="70" w:type="dxa"/>
          </w:tblCellMar>
        </w:tblPrEx>
        <w:trPr>
          <w:cantSplit/>
          <w:trHeight w:val="272" w:hRule="atLeast"/>
        </w:trPr>
        <w:tc>
          <w:tcPr>
            <w:tcW w:w="1717" w:type="dxa"/>
            <w:vMerge w:val="continue"/>
            <w:tcBorders>
              <w:top w:val="single" w:color="000000" w:sz="4" w:space="0"/>
              <w:left w:val="single" w:color="000000" w:sz="4" w:space="0"/>
              <w:bottom w:val="single" w:color="000000" w:sz="4" w:space="0"/>
            </w:tcBorders>
            <w:shd w:val="clear" w:color="auto" w:fill="auto"/>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079" w:type="dxa"/>
            <w:tcBorders>
              <w:top w:val="single" w:color="000000" w:sz="4" w:space="0"/>
              <w:left w:val="single" w:color="000000" w:sz="4" w:space="0"/>
              <w:bottom w:val="single" w:color="000000" w:sz="4" w:space="0"/>
            </w:tcBorders>
            <w:shd w:val="clear" w:color="auto" w:fill="auto"/>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HIS065</w:t>
            </w:r>
          </w:p>
        </w:tc>
        <w:tc>
          <w:tcPr>
            <w:tcW w:w="3983"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Introdução às Ciências Sociais</w:t>
            </w:r>
          </w:p>
        </w:tc>
        <w:tc>
          <w:tcPr>
            <w:tcW w:w="1865" w:type="dxa"/>
            <w:tcBorders>
              <w:top w:val="single" w:color="000000" w:sz="4" w:space="0"/>
              <w:left w:val="single" w:color="000000" w:sz="4" w:space="0"/>
              <w:bottom w:val="single" w:color="000000" w:sz="4" w:space="0"/>
              <w:right w:val="single" w:color="000000" w:sz="4" w:space="0"/>
            </w:tcBorders>
            <w:shd w:val="clear" w:color="auto" w:fill="FFFFFF"/>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60h</w:t>
            </w:r>
          </w:p>
        </w:tc>
      </w:tr>
      <w:tr>
        <w:tblPrEx>
          <w:tblCellMar>
            <w:top w:w="0" w:type="dxa"/>
            <w:left w:w="70" w:type="dxa"/>
            <w:bottom w:w="0" w:type="dxa"/>
            <w:right w:w="70" w:type="dxa"/>
          </w:tblCellMar>
        </w:tblPrEx>
        <w:trPr>
          <w:cantSplit/>
          <w:trHeight w:val="300" w:hRule="atLeast"/>
        </w:trPr>
        <w:tc>
          <w:tcPr>
            <w:tcW w:w="1717" w:type="dxa"/>
            <w:vMerge w:val="continue"/>
            <w:tcBorders>
              <w:top w:val="single" w:color="000000" w:sz="4" w:space="0"/>
              <w:left w:val="single" w:color="000000" w:sz="4" w:space="0"/>
              <w:bottom w:val="single" w:color="000000" w:sz="4" w:space="0"/>
            </w:tcBorders>
            <w:shd w:val="clear" w:color="auto" w:fill="auto"/>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079" w:type="dxa"/>
            <w:tcBorders>
              <w:top w:val="single" w:color="000000" w:sz="4" w:space="0"/>
              <w:left w:val="single" w:color="000000" w:sz="4" w:space="0"/>
              <w:bottom w:val="single" w:color="000000" w:sz="4" w:space="0"/>
            </w:tcBorders>
            <w:shd w:val="clear" w:color="auto" w:fill="auto"/>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HIS066</w:t>
            </w:r>
          </w:p>
        </w:tc>
        <w:tc>
          <w:tcPr>
            <w:tcW w:w="3983"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História Contemporânea</w:t>
            </w:r>
          </w:p>
        </w:tc>
        <w:tc>
          <w:tcPr>
            <w:tcW w:w="1865" w:type="dxa"/>
            <w:tcBorders>
              <w:top w:val="single" w:color="000000" w:sz="4" w:space="0"/>
              <w:left w:val="single" w:color="000000" w:sz="4" w:space="0"/>
              <w:bottom w:val="single" w:color="000000" w:sz="4" w:space="0"/>
              <w:right w:val="single" w:color="000000" w:sz="4" w:space="0"/>
            </w:tcBorders>
            <w:shd w:val="clear" w:color="auto" w:fill="FFFFFF"/>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60h</w:t>
            </w:r>
          </w:p>
        </w:tc>
      </w:tr>
      <w:tr>
        <w:tblPrEx>
          <w:tblCellMar>
            <w:top w:w="0" w:type="dxa"/>
            <w:left w:w="70" w:type="dxa"/>
            <w:bottom w:w="0" w:type="dxa"/>
            <w:right w:w="70" w:type="dxa"/>
          </w:tblCellMar>
        </w:tblPrEx>
        <w:trPr>
          <w:cantSplit/>
          <w:trHeight w:val="300" w:hRule="atLeast"/>
        </w:trPr>
        <w:tc>
          <w:tcPr>
            <w:tcW w:w="1717" w:type="dxa"/>
            <w:vMerge w:val="continue"/>
            <w:tcBorders>
              <w:top w:val="single" w:color="000000" w:sz="4" w:space="0"/>
              <w:left w:val="single" w:color="000000" w:sz="4" w:space="0"/>
              <w:bottom w:val="single" w:color="000000" w:sz="4" w:space="0"/>
            </w:tcBorders>
            <w:shd w:val="clear" w:color="auto" w:fill="auto"/>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079" w:type="dxa"/>
            <w:tcBorders>
              <w:top w:val="single" w:color="000000" w:sz="4" w:space="0"/>
              <w:left w:val="single" w:color="000000" w:sz="4" w:space="0"/>
              <w:bottom w:val="single" w:color="000000" w:sz="4" w:space="0"/>
            </w:tcBorders>
            <w:shd w:val="clear" w:color="auto" w:fill="auto"/>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HIS067</w:t>
            </w:r>
          </w:p>
        </w:tc>
        <w:tc>
          <w:tcPr>
            <w:tcW w:w="3983"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História do Brasil II</w:t>
            </w:r>
          </w:p>
        </w:tc>
        <w:tc>
          <w:tcPr>
            <w:tcW w:w="1865" w:type="dxa"/>
            <w:tcBorders>
              <w:top w:val="single" w:color="000000" w:sz="4" w:space="0"/>
              <w:left w:val="single" w:color="000000" w:sz="4" w:space="0"/>
              <w:bottom w:val="single" w:color="000000" w:sz="4" w:space="0"/>
              <w:right w:val="single" w:color="000000" w:sz="4" w:space="0"/>
            </w:tcBorders>
            <w:shd w:val="clear" w:color="auto" w:fill="FFFFFF"/>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60h</w:t>
            </w:r>
          </w:p>
        </w:tc>
      </w:tr>
      <w:tr>
        <w:tblPrEx>
          <w:tblCellMar>
            <w:top w:w="0" w:type="dxa"/>
            <w:left w:w="70" w:type="dxa"/>
            <w:bottom w:w="0" w:type="dxa"/>
            <w:right w:w="70" w:type="dxa"/>
          </w:tblCellMar>
        </w:tblPrEx>
        <w:trPr>
          <w:cantSplit/>
          <w:trHeight w:val="300" w:hRule="atLeast"/>
        </w:trPr>
        <w:tc>
          <w:tcPr>
            <w:tcW w:w="1717" w:type="dxa"/>
            <w:vMerge w:val="continue"/>
            <w:tcBorders>
              <w:top w:val="single" w:color="000000" w:sz="4" w:space="0"/>
              <w:left w:val="single" w:color="000000" w:sz="4" w:space="0"/>
              <w:bottom w:val="single" w:color="000000" w:sz="4" w:space="0"/>
            </w:tcBorders>
            <w:shd w:val="clear" w:color="auto" w:fill="auto"/>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079" w:type="dxa"/>
            <w:tcBorders>
              <w:top w:val="single" w:color="000000" w:sz="4" w:space="0"/>
              <w:left w:val="single" w:color="000000" w:sz="4" w:space="0"/>
              <w:bottom w:val="single" w:color="000000" w:sz="4" w:space="0"/>
            </w:tcBorders>
            <w:shd w:val="clear" w:color="auto" w:fill="auto"/>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HIS068</w:t>
            </w:r>
          </w:p>
        </w:tc>
        <w:tc>
          <w:tcPr>
            <w:tcW w:w="3983"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História da América I</w:t>
            </w:r>
          </w:p>
        </w:tc>
        <w:tc>
          <w:tcPr>
            <w:tcW w:w="1865" w:type="dxa"/>
            <w:tcBorders>
              <w:top w:val="single" w:color="000000" w:sz="4" w:space="0"/>
              <w:left w:val="single" w:color="000000" w:sz="4" w:space="0"/>
              <w:bottom w:val="single" w:color="000000" w:sz="4" w:space="0"/>
              <w:right w:val="single" w:color="000000" w:sz="4" w:space="0"/>
            </w:tcBorders>
            <w:shd w:val="clear" w:color="auto" w:fill="FFFFFF"/>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60h</w:t>
            </w:r>
          </w:p>
        </w:tc>
      </w:tr>
      <w:tr>
        <w:tblPrEx>
          <w:tblCellMar>
            <w:top w:w="0" w:type="dxa"/>
            <w:left w:w="70" w:type="dxa"/>
            <w:bottom w:w="0" w:type="dxa"/>
            <w:right w:w="70" w:type="dxa"/>
          </w:tblCellMar>
        </w:tblPrEx>
        <w:trPr>
          <w:cantSplit/>
          <w:trHeight w:val="300" w:hRule="atLeast"/>
        </w:trPr>
        <w:tc>
          <w:tcPr>
            <w:tcW w:w="1717" w:type="dxa"/>
            <w:vMerge w:val="continue"/>
            <w:tcBorders>
              <w:top w:val="single" w:color="000000" w:sz="4" w:space="0"/>
              <w:left w:val="single" w:color="000000" w:sz="4" w:space="0"/>
              <w:bottom w:val="single" w:color="000000" w:sz="4" w:space="0"/>
            </w:tcBorders>
            <w:shd w:val="clear" w:color="auto" w:fill="auto"/>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079" w:type="dxa"/>
            <w:tcBorders>
              <w:top w:val="single" w:color="000000" w:sz="4" w:space="0"/>
              <w:left w:val="single" w:color="000000" w:sz="4" w:space="0"/>
              <w:bottom w:val="single" w:color="000000" w:sz="4" w:space="0"/>
            </w:tcBorders>
            <w:shd w:val="clear" w:color="auto" w:fill="auto"/>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HIS069</w:t>
            </w:r>
          </w:p>
        </w:tc>
        <w:tc>
          <w:tcPr>
            <w:tcW w:w="3983"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História da Historiografia Brasileira</w:t>
            </w:r>
          </w:p>
        </w:tc>
        <w:tc>
          <w:tcPr>
            <w:tcW w:w="1865" w:type="dxa"/>
            <w:tcBorders>
              <w:top w:val="single" w:color="000000" w:sz="4" w:space="0"/>
              <w:left w:val="single" w:color="000000" w:sz="4" w:space="0"/>
              <w:bottom w:val="single" w:color="000000" w:sz="4" w:space="0"/>
              <w:right w:val="single" w:color="000000" w:sz="4" w:space="0"/>
            </w:tcBorders>
            <w:shd w:val="clear" w:color="auto" w:fill="FFFFFF"/>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60h</w:t>
            </w:r>
          </w:p>
        </w:tc>
      </w:tr>
      <w:tr>
        <w:tblPrEx>
          <w:tblCellMar>
            <w:top w:w="0" w:type="dxa"/>
            <w:left w:w="70" w:type="dxa"/>
            <w:bottom w:w="0" w:type="dxa"/>
            <w:right w:w="70" w:type="dxa"/>
          </w:tblCellMar>
        </w:tblPrEx>
        <w:trPr>
          <w:cantSplit/>
          <w:trHeight w:val="300" w:hRule="atLeast"/>
        </w:trPr>
        <w:tc>
          <w:tcPr>
            <w:tcW w:w="1717" w:type="dxa"/>
            <w:vMerge w:val="continue"/>
            <w:tcBorders>
              <w:top w:val="single" w:color="000000" w:sz="4" w:space="0"/>
              <w:left w:val="single" w:color="000000" w:sz="4" w:space="0"/>
              <w:bottom w:val="single" w:color="000000" w:sz="4" w:space="0"/>
            </w:tcBorders>
            <w:shd w:val="clear" w:color="auto" w:fill="auto"/>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079" w:type="dxa"/>
            <w:tcBorders>
              <w:top w:val="single" w:color="000000" w:sz="4" w:space="0"/>
              <w:left w:val="single" w:color="000000" w:sz="4" w:space="0"/>
              <w:bottom w:val="single" w:color="000000" w:sz="4" w:space="0"/>
            </w:tcBorders>
            <w:shd w:val="clear" w:color="auto" w:fill="auto"/>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HIS070</w:t>
            </w:r>
          </w:p>
        </w:tc>
        <w:tc>
          <w:tcPr>
            <w:tcW w:w="3983"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História das Áfricas</w:t>
            </w:r>
          </w:p>
        </w:tc>
        <w:tc>
          <w:tcPr>
            <w:tcW w:w="1865" w:type="dxa"/>
            <w:tcBorders>
              <w:top w:val="single" w:color="000000" w:sz="4" w:space="0"/>
              <w:left w:val="single" w:color="000000" w:sz="4" w:space="0"/>
              <w:bottom w:val="single" w:color="000000" w:sz="4" w:space="0"/>
              <w:right w:val="single" w:color="000000" w:sz="4" w:space="0"/>
            </w:tcBorders>
            <w:shd w:val="clear" w:color="auto" w:fill="FFFFFF"/>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60h</w:t>
            </w:r>
          </w:p>
        </w:tc>
      </w:tr>
      <w:tr>
        <w:tblPrEx>
          <w:tblCellMar>
            <w:top w:w="0" w:type="dxa"/>
            <w:left w:w="70" w:type="dxa"/>
            <w:bottom w:w="0" w:type="dxa"/>
            <w:right w:w="70" w:type="dxa"/>
          </w:tblCellMar>
        </w:tblPrEx>
        <w:trPr>
          <w:cantSplit/>
          <w:trHeight w:val="300" w:hRule="atLeast"/>
        </w:trPr>
        <w:tc>
          <w:tcPr>
            <w:tcW w:w="1717" w:type="dxa"/>
            <w:vMerge w:val="continue"/>
            <w:tcBorders>
              <w:top w:val="single" w:color="000000" w:sz="4" w:space="0"/>
              <w:left w:val="single" w:color="000000" w:sz="4" w:space="0"/>
              <w:bottom w:val="single" w:color="000000" w:sz="4" w:space="0"/>
            </w:tcBorders>
            <w:shd w:val="clear" w:color="auto" w:fill="auto"/>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079" w:type="dxa"/>
            <w:tcBorders>
              <w:top w:val="single" w:color="000000" w:sz="4" w:space="0"/>
              <w:left w:val="single" w:color="000000" w:sz="4" w:space="0"/>
              <w:bottom w:val="single" w:color="000000" w:sz="4" w:space="0"/>
            </w:tcBorders>
            <w:shd w:val="clear" w:color="auto" w:fill="auto"/>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HIS071</w:t>
            </w:r>
          </w:p>
        </w:tc>
        <w:tc>
          <w:tcPr>
            <w:tcW w:w="3983"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História Antiga</w:t>
            </w:r>
          </w:p>
        </w:tc>
        <w:tc>
          <w:tcPr>
            <w:tcW w:w="1865" w:type="dxa"/>
            <w:tcBorders>
              <w:top w:val="single" w:color="000000" w:sz="4" w:space="0"/>
              <w:left w:val="single" w:color="000000" w:sz="4" w:space="0"/>
              <w:bottom w:val="single" w:color="000000" w:sz="4" w:space="0"/>
              <w:right w:val="single" w:color="000000" w:sz="4" w:space="0"/>
            </w:tcBorders>
            <w:shd w:val="clear" w:color="auto" w:fill="FFFFFF"/>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40h</w:t>
            </w:r>
          </w:p>
        </w:tc>
      </w:tr>
      <w:tr>
        <w:tblPrEx>
          <w:tblCellMar>
            <w:top w:w="0" w:type="dxa"/>
            <w:left w:w="70" w:type="dxa"/>
            <w:bottom w:w="0" w:type="dxa"/>
            <w:right w:w="70" w:type="dxa"/>
          </w:tblCellMar>
        </w:tblPrEx>
        <w:trPr>
          <w:cantSplit/>
          <w:trHeight w:val="300" w:hRule="atLeast"/>
        </w:trPr>
        <w:tc>
          <w:tcPr>
            <w:tcW w:w="1717" w:type="dxa"/>
            <w:vMerge w:val="continue"/>
            <w:tcBorders>
              <w:top w:val="single" w:color="000000" w:sz="4" w:space="0"/>
              <w:left w:val="single" w:color="000000" w:sz="4" w:space="0"/>
              <w:bottom w:val="single" w:color="000000" w:sz="4" w:space="0"/>
            </w:tcBorders>
            <w:shd w:val="clear" w:color="auto" w:fill="auto"/>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079" w:type="dxa"/>
            <w:tcBorders>
              <w:top w:val="single" w:color="000000" w:sz="4" w:space="0"/>
              <w:left w:val="single" w:color="000000" w:sz="4" w:space="0"/>
              <w:bottom w:val="single" w:color="000000" w:sz="4" w:space="0"/>
            </w:tcBorders>
            <w:shd w:val="clear" w:color="auto" w:fill="auto"/>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HIS072</w:t>
            </w:r>
          </w:p>
        </w:tc>
        <w:tc>
          <w:tcPr>
            <w:tcW w:w="3983"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História do Brasil III</w:t>
            </w:r>
          </w:p>
        </w:tc>
        <w:tc>
          <w:tcPr>
            <w:tcW w:w="1865" w:type="dxa"/>
            <w:tcBorders>
              <w:top w:val="single" w:color="000000" w:sz="4" w:space="0"/>
              <w:left w:val="single" w:color="000000" w:sz="4" w:space="0"/>
              <w:bottom w:val="single" w:color="000000" w:sz="4" w:space="0"/>
              <w:right w:val="single" w:color="000000" w:sz="4" w:space="0"/>
            </w:tcBorders>
            <w:shd w:val="clear" w:color="auto" w:fill="FFFFFF"/>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60h</w:t>
            </w:r>
          </w:p>
        </w:tc>
      </w:tr>
      <w:tr>
        <w:tblPrEx>
          <w:tblCellMar>
            <w:top w:w="0" w:type="dxa"/>
            <w:left w:w="70" w:type="dxa"/>
            <w:bottom w:w="0" w:type="dxa"/>
            <w:right w:w="70" w:type="dxa"/>
          </w:tblCellMar>
        </w:tblPrEx>
        <w:trPr>
          <w:cantSplit/>
          <w:trHeight w:val="300" w:hRule="atLeast"/>
        </w:trPr>
        <w:tc>
          <w:tcPr>
            <w:tcW w:w="1717" w:type="dxa"/>
            <w:vMerge w:val="continue"/>
            <w:tcBorders>
              <w:top w:val="single" w:color="000000" w:sz="4" w:space="0"/>
              <w:left w:val="single" w:color="000000" w:sz="4" w:space="0"/>
              <w:bottom w:val="single" w:color="000000" w:sz="4" w:space="0"/>
            </w:tcBorders>
            <w:shd w:val="clear" w:color="auto" w:fill="auto"/>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079" w:type="dxa"/>
            <w:tcBorders>
              <w:top w:val="single" w:color="000000" w:sz="4" w:space="0"/>
              <w:left w:val="single" w:color="000000" w:sz="4" w:space="0"/>
              <w:bottom w:val="single" w:color="000000" w:sz="4" w:space="0"/>
            </w:tcBorders>
            <w:shd w:val="clear" w:color="auto" w:fill="auto"/>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HIS073</w:t>
            </w:r>
          </w:p>
        </w:tc>
        <w:tc>
          <w:tcPr>
            <w:tcW w:w="3983"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História da América II</w:t>
            </w:r>
          </w:p>
        </w:tc>
        <w:tc>
          <w:tcPr>
            <w:tcW w:w="1865" w:type="dxa"/>
            <w:tcBorders>
              <w:top w:val="single" w:color="000000" w:sz="4" w:space="0"/>
              <w:left w:val="single" w:color="000000" w:sz="4" w:space="0"/>
              <w:bottom w:val="single" w:color="000000" w:sz="4" w:space="0"/>
              <w:right w:val="single" w:color="000000" w:sz="4" w:space="0"/>
            </w:tcBorders>
            <w:shd w:val="clear" w:color="auto" w:fill="FFFFFF"/>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60h</w:t>
            </w:r>
          </w:p>
        </w:tc>
      </w:tr>
      <w:tr>
        <w:tblPrEx>
          <w:tblCellMar>
            <w:top w:w="0" w:type="dxa"/>
            <w:left w:w="70" w:type="dxa"/>
            <w:bottom w:w="0" w:type="dxa"/>
            <w:right w:w="70" w:type="dxa"/>
          </w:tblCellMar>
        </w:tblPrEx>
        <w:trPr>
          <w:cantSplit/>
          <w:trHeight w:val="300" w:hRule="atLeast"/>
        </w:trPr>
        <w:tc>
          <w:tcPr>
            <w:tcW w:w="1717" w:type="dxa"/>
            <w:vMerge w:val="continue"/>
            <w:tcBorders>
              <w:top w:val="single" w:color="000000" w:sz="4" w:space="0"/>
              <w:left w:val="single" w:color="000000" w:sz="4" w:space="0"/>
              <w:bottom w:val="single" w:color="000000" w:sz="4" w:space="0"/>
            </w:tcBorders>
            <w:shd w:val="clear" w:color="auto" w:fill="auto"/>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079" w:type="dxa"/>
            <w:tcBorders>
              <w:top w:val="single" w:color="000000" w:sz="4" w:space="0"/>
              <w:left w:val="single" w:color="000000" w:sz="4" w:space="0"/>
              <w:bottom w:val="single" w:color="000000" w:sz="4" w:space="0"/>
            </w:tcBorders>
            <w:shd w:val="clear" w:color="auto" w:fill="auto"/>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HIS074</w:t>
            </w:r>
          </w:p>
        </w:tc>
        <w:tc>
          <w:tcPr>
            <w:tcW w:w="3983"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História da Historiografia Geral</w:t>
            </w:r>
          </w:p>
        </w:tc>
        <w:tc>
          <w:tcPr>
            <w:tcW w:w="1865" w:type="dxa"/>
            <w:tcBorders>
              <w:top w:val="single" w:color="000000" w:sz="4" w:space="0"/>
              <w:left w:val="single" w:color="000000" w:sz="4" w:space="0"/>
              <w:bottom w:val="single" w:color="000000" w:sz="4" w:space="0"/>
              <w:right w:val="single" w:color="000000" w:sz="4" w:space="0"/>
            </w:tcBorders>
            <w:shd w:val="clear" w:color="auto" w:fill="FFFFFF"/>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60h</w:t>
            </w:r>
          </w:p>
        </w:tc>
      </w:tr>
      <w:tr>
        <w:tblPrEx>
          <w:tblCellMar>
            <w:top w:w="0" w:type="dxa"/>
            <w:left w:w="70" w:type="dxa"/>
            <w:bottom w:w="0" w:type="dxa"/>
            <w:right w:w="70" w:type="dxa"/>
          </w:tblCellMar>
        </w:tblPrEx>
        <w:trPr>
          <w:cantSplit/>
          <w:trHeight w:val="300" w:hRule="atLeast"/>
        </w:trPr>
        <w:tc>
          <w:tcPr>
            <w:tcW w:w="1717" w:type="dxa"/>
            <w:vMerge w:val="continue"/>
            <w:tcBorders>
              <w:top w:val="single" w:color="000000" w:sz="4" w:space="0"/>
              <w:left w:val="single" w:color="000000" w:sz="4" w:space="0"/>
              <w:bottom w:val="single" w:color="000000" w:sz="4" w:space="0"/>
            </w:tcBorders>
            <w:shd w:val="clear" w:color="auto" w:fill="auto"/>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079" w:type="dxa"/>
            <w:tcBorders>
              <w:top w:val="single" w:color="000000" w:sz="4" w:space="0"/>
              <w:left w:val="single" w:color="000000" w:sz="4" w:space="0"/>
              <w:bottom w:val="single" w:color="000000" w:sz="4" w:space="0"/>
            </w:tcBorders>
            <w:shd w:val="clear" w:color="auto" w:fill="auto"/>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HIS076</w:t>
            </w:r>
          </w:p>
        </w:tc>
        <w:tc>
          <w:tcPr>
            <w:tcW w:w="3983"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História Medieval</w:t>
            </w:r>
          </w:p>
        </w:tc>
        <w:tc>
          <w:tcPr>
            <w:tcW w:w="1865" w:type="dxa"/>
            <w:tcBorders>
              <w:top w:val="single" w:color="000000" w:sz="4" w:space="0"/>
              <w:left w:val="single" w:color="000000" w:sz="4" w:space="0"/>
              <w:bottom w:val="single" w:color="000000" w:sz="4" w:space="0"/>
              <w:right w:val="single" w:color="000000" w:sz="4" w:space="0"/>
            </w:tcBorders>
            <w:shd w:val="clear" w:color="auto" w:fill="FFFFFF"/>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60h</w:t>
            </w:r>
          </w:p>
        </w:tc>
      </w:tr>
      <w:tr>
        <w:tblPrEx>
          <w:tblCellMar>
            <w:top w:w="0" w:type="dxa"/>
            <w:left w:w="70" w:type="dxa"/>
            <w:bottom w:w="0" w:type="dxa"/>
            <w:right w:w="70" w:type="dxa"/>
          </w:tblCellMar>
        </w:tblPrEx>
        <w:trPr>
          <w:cantSplit/>
          <w:trHeight w:val="300" w:hRule="atLeast"/>
        </w:trPr>
        <w:tc>
          <w:tcPr>
            <w:tcW w:w="1717" w:type="dxa"/>
            <w:vMerge w:val="continue"/>
            <w:tcBorders>
              <w:top w:val="single" w:color="000000" w:sz="4" w:space="0"/>
              <w:left w:val="single" w:color="000000" w:sz="4" w:space="0"/>
              <w:bottom w:val="single" w:color="000000" w:sz="4" w:space="0"/>
            </w:tcBorders>
            <w:shd w:val="clear" w:color="auto" w:fill="auto"/>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079" w:type="dxa"/>
            <w:tcBorders>
              <w:top w:val="single" w:color="000000" w:sz="4" w:space="0"/>
              <w:left w:val="single" w:color="000000" w:sz="4" w:space="0"/>
              <w:bottom w:val="single" w:color="000000" w:sz="4" w:space="0"/>
            </w:tcBorders>
            <w:shd w:val="clear" w:color="auto" w:fill="auto"/>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HIS077</w:t>
            </w:r>
          </w:p>
        </w:tc>
        <w:tc>
          <w:tcPr>
            <w:tcW w:w="3983"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Teoria da História</w:t>
            </w:r>
          </w:p>
        </w:tc>
        <w:tc>
          <w:tcPr>
            <w:tcW w:w="1865" w:type="dxa"/>
            <w:tcBorders>
              <w:top w:val="single" w:color="000000" w:sz="4" w:space="0"/>
              <w:left w:val="single" w:color="000000" w:sz="4" w:space="0"/>
              <w:bottom w:val="single" w:color="000000" w:sz="4" w:space="0"/>
              <w:right w:val="single" w:color="000000" w:sz="4" w:space="0"/>
            </w:tcBorders>
            <w:shd w:val="clear" w:color="auto" w:fill="FFFFFF"/>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60h</w:t>
            </w:r>
          </w:p>
        </w:tc>
      </w:tr>
      <w:tr>
        <w:tblPrEx>
          <w:tblCellMar>
            <w:top w:w="0" w:type="dxa"/>
            <w:left w:w="70" w:type="dxa"/>
            <w:bottom w:w="0" w:type="dxa"/>
            <w:right w:w="70" w:type="dxa"/>
          </w:tblCellMar>
        </w:tblPrEx>
        <w:trPr>
          <w:cantSplit/>
          <w:trHeight w:val="300" w:hRule="atLeast"/>
        </w:trPr>
        <w:tc>
          <w:tcPr>
            <w:tcW w:w="1717" w:type="dxa"/>
            <w:vMerge w:val="continue"/>
            <w:tcBorders>
              <w:top w:val="single" w:color="000000" w:sz="4" w:space="0"/>
              <w:left w:val="single" w:color="000000" w:sz="4" w:space="0"/>
              <w:bottom w:val="single" w:color="000000" w:sz="4" w:space="0"/>
            </w:tcBorders>
            <w:shd w:val="clear" w:color="auto" w:fill="auto"/>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079" w:type="dxa"/>
            <w:tcBorders>
              <w:top w:val="single" w:color="000000" w:sz="4" w:space="0"/>
              <w:left w:val="single" w:color="000000" w:sz="4" w:space="0"/>
              <w:bottom w:val="single" w:color="000000" w:sz="4" w:space="0"/>
            </w:tcBorders>
            <w:shd w:val="clear" w:color="auto" w:fill="auto"/>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HIS078</w:t>
            </w:r>
          </w:p>
        </w:tc>
        <w:tc>
          <w:tcPr>
            <w:tcW w:w="3983" w:type="dxa"/>
            <w:tcBorders>
              <w:top w:val="single" w:color="000000" w:sz="4" w:space="0"/>
              <w:left w:val="single" w:color="000000" w:sz="4" w:space="0"/>
              <w:bottom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História de Minas Gerais</w:t>
            </w:r>
          </w:p>
        </w:tc>
        <w:tc>
          <w:tcPr>
            <w:tcW w:w="1865" w:type="dxa"/>
            <w:tcBorders>
              <w:top w:val="single" w:color="000000" w:sz="4" w:space="0"/>
              <w:left w:val="single" w:color="000000" w:sz="4" w:space="0"/>
              <w:bottom w:val="single" w:color="000000" w:sz="4" w:space="0"/>
              <w:right w:val="single" w:color="000000" w:sz="4" w:space="0"/>
            </w:tcBorders>
            <w:shd w:val="clear" w:color="auto" w:fill="FFFFFF"/>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60h</w:t>
            </w:r>
          </w:p>
        </w:tc>
      </w:tr>
      <w:tr>
        <w:tblPrEx>
          <w:tblCellMar>
            <w:top w:w="0" w:type="dxa"/>
            <w:left w:w="70" w:type="dxa"/>
            <w:bottom w:w="0" w:type="dxa"/>
            <w:right w:w="70" w:type="dxa"/>
          </w:tblCellMar>
        </w:tblPrEx>
        <w:trPr>
          <w:cantSplit/>
          <w:trHeight w:val="300" w:hRule="atLeast"/>
        </w:trPr>
        <w:tc>
          <w:tcPr>
            <w:tcW w:w="1717" w:type="dxa"/>
            <w:vMerge w:val="continue"/>
            <w:tcBorders>
              <w:top w:val="single" w:color="000000" w:sz="4" w:space="0"/>
              <w:left w:val="single" w:color="000000" w:sz="4" w:space="0"/>
              <w:bottom w:val="single" w:color="000000" w:sz="4" w:space="0"/>
            </w:tcBorders>
            <w:shd w:val="clear" w:color="auto" w:fill="auto"/>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079" w:type="dxa"/>
            <w:tcBorders>
              <w:top w:val="single" w:color="000000" w:sz="4" w:space="0"/>
              <w:left w:val="single" w:color="000000" w:sz="4" w:space="0"/>
              <w:bottom w:val="single" w:color="000000" w:sz="4" w:space="0"/>
            </w:tcBorders>
            <w:shd w:val="clear" w:color="auto" w:fill="auto"/>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HIS079</w:t>
            </w:r>
          </w:p>
        </w:tc>
        <w:tc>
          <w:tcPr>
            <w:tcW w:w="3983"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História Moderna</w:t>
            </w:r>
          </w:p>
        </w:tc>
        <w:tc>
          <w:tcPr>
            <w:tcW w:w="1865" w:type="dxa"/>
            <w:tcBorders>
              <w:top w:val="single" w:color="000000" w:sz="4" w:space="0"/>
              <w:left w:val="single" w:color="000000" w:sz="4" w:space="0"/>
              <w:bottom w:val="single" w:color="000000" w:sz="4" w:space="0"/>
              <w:right w:val="single" w:color="000000" w:sz="4" w:space="0"/>
            </w:tcBorders>
            <w:shd w:val="clear" w:color="auto" w:fill="FFFFFF"/>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60h</w:t>
            </w:r>
          </w:p>
        </w:tc>
      </w:tr>
      <w:tr>
        <w:tblPrEx>
          <w:tblCellMar>
            <w:top w:w="0" w:type="dxa"/>
            <w:left w:w="70" w:type="dxa"/>
            <w:bottom w:w="0" w:type="dxa"/>
            <w:right w:w="70" w:type="dxa"/>
          </w:tblCellMar>
        </w:tblPrEx>
        <w:trPr>
          <w:cantSplit/>
          <w:trHeight w:val="300" w:hRule="atLeast"/>
        </w:trPr>
        <w:tc>
          <w:tcPr>
            <w:tcW w:w="1717" w:type="dxa"/>
            <w:vMerge w:val="continue"/>
            <w:tcBorders>
              <w:top w:val="single" w:color="000000" w:sz="4" w:space="0"/>
              <w:left w:val="single" w:color="000000" w:sz="4" w:space="0"/>
              <w:bottom w:val="single" w:color="000000" w:sz="4" w:space="0"/>
            </w:tcBorders>
            <w:shd w:val="clear" w:color="auto" w:fill="auto"/>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079" w:type="dxa"/>
            <w:tcBorders>
              <w:top w:val="single" w:color="000000" w:sz="4" w:space="0"/>
              <w:left w:val="single" w:color="000000" w:sz="4" w:space="0"/>
              <w:bottom w:val="single" w:color="000000" w:sz="4" w:space="0"/>
            </w:tcBorders>
            <w:shd w:val="clear" w:color="auto" w:fill="auto"/>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MIF001</w:t>
            </w:r>
          </w:p>
        </w:tc>
        <w:tc>
          <w:tcPr>
            <w:tcW w:w="3983"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Módulo Interdisciplinar de Formação I</w:t>
            </w:r>
          </w:p>
        </w:tc>
        <w:tc>
          <w:tcPr>
            <w:tcW w:w="1865" w:type="dxa"/>
            <w:tcBorders>
              <w:top w:val="single" w:color="000000" w:sz="4" w:space="0"/>
              <w:left w:val="single" w:color="000000" w:sz="4" w:space="0"/>
              <w:bottom w:val="single" w:color="000000" w:sz="4" w:space="0"/>
              <w:right w:val="single" w:color="000000" w:sz="4" w:space="0"/>
            </w:tcBorders>
            <w:shd w:val="clear" w:color="auto" w:fill="FFFFFF"/>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30h</w:t>
            </w:r>
          </w:p>
        </w:tc>
      </w:tr>
      <w:tr>
        <w:tblPrEx>
          <w:tblCellMar>
            <w:top w:w="0" w:type="dxa"/>
            <w:left w:w="70" w:type="dxa"/>
            <w:bottom w:w="0" w:type="dxa"/>
            <w:right w:w="70" w:type="dxa"/>
          </w:tblCellMar>
        </w:tblPrEx>
        <w:trPr>
          <w:cantSplit/>
          <w:trHeight w:val="300" w:hRule="atLeast"/>
        </w:trPr>
        <w:tc>
          <w:tcPr>
            <w:tcW w:w="1717" w:type="dxa"/>
            <w:vMerge w:val="continue"/>
            <w:tcBorders>
              <w:top w:val="single" w:color="000000" w:sz="4" w:space="0"/>
              <w:left w:val="single" w:color="000000" w:sz="4" w:space="0"/>
              <w:bottom w:val="single" w:color="000000" w:sz="4" w:space="0"/>
            </w:tcBorders>
            <w:shd w:val="clear" w:color="auto" w:fill="auto"/>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079" w:type="dxa"/>
            <w:tcBorders>
              <w:top w:val="single" w:color="000000" w:sz="4" w:space="0"/>
              <w:left w:val="single" w:color="000000" w:sz="4" w:space="0"/>
              <w:bottom w:val="single" w:color="000000" w:sz="4" w:space="0"/>
            </w:tcBorders>
            <w:shd w:val="clear" w:color="auto" w:fill="auto"/>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MIF002</w:t>
            </w:r>
          </w:p>
        </w:tc>
        <w:tc>
          <w:tcPr>
            <w:tcW w:w="3983"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Módulo Interdisciplinar de Formação II</w:t>
            </w:r>
          </w:p>
        </w:tc>
        <w:tc>
          <w:tcPr>
            <w:tcW w:w="1865" w:type="dxa"/>
            <w:tcBorders>
              <w:top w:val="single" w:color="000000" w:sz="4" w:space="0"/>
              <w:left w:val="single" w:color="000000" w:sz="4" w:space="0"/>
              <w:bottom w:val="single" w:color="000000" w:sz="4" w:space="0"/>
              <w:right w:val="single" w:color="000000" w:sz="4" w:space="0"/>
            </w:tcBorders>
            <w:shd w:val="clear" w:color="auto" w:fill="FFFFFF"/>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30h</w:t>
            </w:r>
          </w:p>
        </w:tc>
      </w:tr>
      <w:tr>
        <w:tblPrEx>
          <w:tblCellMar>
            <w:top w:w="0" w:type="dxa"/>
            <w:left w:w="70" w:type="dxa"/>
            <w:bottom w:w="0" w:type="dxa"/>
            <w:right w:w="70" w:type="dxa"/>
          </w:tblCellMar>
        </w:tblPrEx>
        <w:trPr>
          <w:cantSplit/>
          <w:trHeight w:val="300" w:hRule="atLeast"/>
        </w:trPr>
        <w:tc>
          <w:tcPr>
            <w:tcW w:w="1717" w:type="dxa"/>
            <w:vMerge w:val="continue"/>
            <w:tcBorders>
              <w:top w:val="single" w:color="000000" w:sz="4" w:space="0"/>
              <w:left w:val="single" w:color="000000" w:sz="4" w:space="0"/>
              <w:bottom w:val="single" w:color="000000" w:sz="4" w:space="0"/>
            </w:tcBorders>
            <w:shd w:val="clear" w:color="auto" w:fill="auto"/>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079" w:type="dxa"/>
            <w:tcBorders>
              <w:top w:val="single" w:color="000000" w:sz="4" w:space="0"/>
              <w:left w:val="single" w:color="000000" w:sz="4" w:space="0"/>
              <w:bottom w:val="single" w:color="000000" w:sz="4" w:space="0"/>
            </w:tcBorders>
            <w:shd w:val="clear" w:color="auto" w:fill="auto"/>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MIF003</w:t>
            </w:r>
          </w:p>
        </w:tc>
        <w:tc>
          <w:tcPr>
            <w:tcW w:w="3983"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Módulo Interdisciplinar de Formação III</w:t>
            </w:r>
          </w:p>
        </w:tc>
        <w:tc>
          <w:tcPr>
            <w:tcW w:w="1865" w:type="dxa"/>
            <w:tcBorders>
              <w:top w:val="single" w:color="000000" w:sz="4" w:space="0"/>
              <w:left w:val="single" w:color="000000" w:sz="4" w:space="0"/>
              <w:bottom w:val="single" w:color="000000" w:sz="4" w:space="0"/>
              <w:right w:val="single" w:color="000000" w:sz="4" w:space="0"/>
            </w:tcBorders>
            <w:shd w:val="clear" w:color="auto" w:fill="FFFFFF"/>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30h</w:t>
            </w:r>
          </w:p>
        </w:tc>
      </w:tr>
      <w:tr>
        <w:tblPrEx>
          <w:tblCellMar>
            <w:top w:w="0" w:type="dxa"/>
            <w:left w:w="70" w:type="dxa"/>
            <w:bottom w:w="0" w:type="dxa"/>
            <w:right w:w="70" w:type="dxa"/>
          </w:tblCellMar>
        </w:tblPrEx>
        <w:trPr>
          <w:cantSplit/>
          <w:trHeight w:val="210" w:hRule="atLeast"/>
        </w:trPr>
        <w:tc>
          <w:tcPr>
            <w:tcW w:w="1717" w:type="dxa"/>
            <w:vMerge w:val="continue"/>
            <w:tcBorders>
              <w:top w:val="single" w:color="000000" w:sz="4" w:space="0"/>
              <w:left w:val="single" w:color="000000" w:sz="4" w:space="0"/>
              <w:bottom w:val="single" w:color="000000" w:sz="4" w:space="0"/>
            </w:tcBorders>
            <w:shd w:val="clear" w:color="auto" w:fill="auto"/>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079" w:type="dxa"/>
            <w:tcBorders>
              <w:top w:val="single" w:color="000000" w:sz="4" w:space="0"/>
              <w:left w:val="single" w:color="000000" w:sz="4" w:space="0"/>
              <w:bottom w:val="single" w:color="000000" w:sz="4" w:space="0"/>
            </w:tcBorders>
            <w:shd w:val="clear" w:color="auto" w:fill="auto"/>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w:t>
            </w:r>
          </w:p>
        </w:tc>
        <w:tc>
          <w:tcPr>
            <w:tcW w:w="3983"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Eletivas</w:t>
            </w:r>
          </w:p>
        </w:tc>
        <w:tc>
          <w:tcPr>
            <w:tcW w:w="18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480h</w:t>
            </w:r>
          </w:p>
        </w:tc>
      </w:tr>
      <w:tr>
        <w:tblPrEx>
          <w:tblCellMar>
            <w:top w:w="0" w:type="dxa"/>
            <w:left w:w="70" w:type="dxa"/>
            <w:bottom w:w="0" w:type="dxa"/>
            <w:right w:w="70" w:type="dxa"/>
          </w:tblCellMar>
        </w:tblPrEx>
        <w:trPr>
          <w:cantSplit/>
          <w:trHeight w:val="112" w:hRule="atLeast"/>
        </w:trPr>
        <w:tc>
          <w:tcPr>
            <w:tcW w:w="1717" w:type="dxa"/>
            <w:vMerge w:val="continue"/>
            <w:tcBorders>
              <w:top w:val="single" w:color="000000" w:sz="4" w:space="0"/>
              <w:left w:val="single" w:color="000000" w:sz="4" w:space="0"/>
              <w:bottom w:val="single" w:color="000000" w:sz="4" w:space="0"/>
            </w:tcBorders>
            <w:shd w:val="clear" w:color="auto" w:fill="auto"/>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079"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FIL126</w:t>
            </w:r>
          </w:p>
        </w:tc>
        <w:tc>
          <w:tcPr>
            <w:tcW w:w="398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Filosofia</w:t>
            </w:r>
          </w:p>
        </w:tc>
        <w:tc>
          <w:tcPr>
            <w:tcW w:w="1865"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60h</w:t>
            </w:r>
          </w:p>
        </w:tc>
      </w:tr>
      <w:tr>
        <w:tblPrEx>
          <w:tblCellMar>
            <w:top w:w="0" w:type="dxa"/>
            <w:left w:w="70" w:type="dxa"/>
            <w:bottom w:w="0" w:type="dxa"/>
            <w:right w:w="70" w:type="dxa"/>
          </w:tblCellMar>
        </w:tblPrEx>
        <w:trPr>
          <w:trHeight w:val="330" w:hRule="atLeast"/>
        </w:trPr>
        <w:tc>
          <w:tcPr>
            <w:tcW w:w="1717" w:type="dxa"/>
            <w:tcBorders>
              <w:top w:val="single" w:color="000000" w:sz="4" w:space="0"/>
              <w:left w:val="single" w:color="000000" w:sz="4" w:space="0"/>
              <w:bottom w:val="single" w:color="000000" w:sz="4" w:space="0"/>
            </w:tcBorders>
            <w:shd w:val="clear" w:color="auto" w:fill="auto"/>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b/>
                <w:color w:val="000000"/>
              </w:rPr>
              <w:t>Carga horária:</w:t>
            </w:r>
          </w:p>
        </w:tc>
        <w:tc>
          <w:tcPr>
            <w:tcW w:w="6927" w:type="dxa"/>
            <w:gridSpan w:val="3"/>
            <w:tcBorders>
              <w:top w:val="single" w:color="000000" w:sz="4" w:space="0"/>
              <w:left w:val="single" w:color="000000" w:sz="4" w:space="0"/>
              <w:bottom w:val="single" w:color="000000" w:sz="4" w:space="0"/>
              <w:right w:val="single" w:color="000000" w:sz="4" w:space="0"/>
            </w:tcBorders>
            <w:shd w:val="clear" w:color="auto" w:fill="FFFFFF"/>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b/>
                <w:color w:val="000000"/>
              </w:rPr>
              <w:t>1570 horas</w:t>
            </w:r>
          </w:p>
        </w:tc>
      </w:tr>
      <w:tr>
        <w:tblPrEx>
          <w:tblCellMar>
            <w:top w:w="0" w:type="dxa"/>
            <w:left w:w="70" w:type="dxa"/>
            <w:bottom w:w="0" w:type="dxa"/>
            <w:right w:w="70" w:type="dxa"/>
          </w:tblCellMar>
        </w:tblPrEx>
        <w:trPr>
          <w:trHeight w:val="330" w:hRule="atLeast"/>
        </w:trPr>
        <w:tc>
          <w:tcPr>
            <w:tcW w:w="8644" w:type="dxa"/>
            <w:gridSpan w:val="4"/>
            <w:tcBorders>
              <w:top w:val="single" w:color="000000" w:sz="4" w:space="0"/>
              <w:left w:val="single" w:color="000000" w:sz="4" w:space="0"/>
              <w:bottom w:val="single" w:color="000000" w:sz="4" w:space="0"/>
              <w:right w:val="single" w:color="000000" w:sz="4" w:space="0"/>
            </w:tcBorders>
            <w:shd w:val="clear" w:color="auto" w:fill="FBE4D5"/>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Calibri" w:cs="Times New Roman"/>
                <w:color w:val="000000"/>
              </w:rPr>
            </w:pPr>
          </w:p>
        </w:tc>
      </w:tr>
      <w:tr>
        <w:tblPrEx>
          <w:tblCellMar>
            <w:top w:w="0" w:type="dxa"/>
            <w:left w:w="70" w:type="dxa"/>
            <w:bottom w:w="0" w:type="dxa"/>
            <w:right w:w="70" w:type="dxa"/>
          </w:tblCellMar>
        </w:tblPrEx>
        <w:trPr>
          <w:cantSplit/>
          <w:trHeight w:val="300" w:hRule="atLeast"/>
        </w:trPr>
        <w:tc>
          <w:tcPr>
            <w:tcW w:w="1717" w:type="dxa"/>
            <w:vMerge w:val="restart"/>
            <w:tcBorders>
              <w:top w:val="single" w:color="000000" w:sz="4" w:space="0"/>
              <w:left w:val="single" w:color="000000" w:sz="4" w:space="0"/>
              <w:bottom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pacing w:after="240"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V - Atividades formativas no Ensino de História</w:t>
            </w:r>
          </w:p>
        </w:tc>
        <w:tc>
          <w:tcPr>
            <w:tcW w:w="1079" w:type="dxa"/>
            <w:tcBorders>
              <w:top w:val="single" w:color="000000" w:sz="4" w:space="0"/>
              <w:left w:val="single" w:color="000000" w:sz="4" w:space="0"/>
              <w:bottom w:val="single" w:color="000000" w:sz="4" w:space="0"/>
            </w:tcBorders>
            <w:shd w:val="clear" w:color="auto" w:fill="auto"/>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HIS075</w:t>
            </w:r>
          </w:p>
        </w:tc>
        <w:tc>
          <w:tcPr>
            <w:tcW w:w="3983"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Ensino de História</w:t>
            </w:r>
          </w:p>
        </w:tc>
        <w:tc>
          <w:tcPr>
            <w:tcW w:w="1865"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90h</w:t>
            </w:r>
          </w:p>
        </w:tc>
      </w:tr>
      <w:tr>
        <w:tblPrEx>
          <w:tblCellMar>
            <w:top w:w="0" w:type="dxa"/>
            <w:left w:w="70" w:type="dxa"/>
            <w:bottom w:w="0" w:type="dxa"/>
            <w:right w:w="70" w:type="dxa"/>
          </w:tblCellMar>
        </w:tblPrEx>
        <w:trPr>
          <w:cantSplit/>
          <w:trHeight w:val="300" w:hRule="atLeast"/>
        </w:trPr>
        <w:tc>
          <w:tcPr>
            <w:tcW w:w="1717" w:type="dxa"/>
            <w:vMerge w:val="continue"/>
            <w:tcBorders>
              <w:top w:val="single" w:color="000000" w:sz="4" w:space="0"/>
              <w:left w:val="single" w:color="000000" w:sz="4" w:space="0"/>
              <w:bottom w:val="single" w:color="000000" w:sz="4" w:space="0"/>
            </w:tcBorders>
            <w:shd w:val="clear" w:color="auto" w:fill="auto"/>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079" w:type="dxa"/>
            <w:tcBorders>
              <w:top w:val="single" w:color="000000" w:sz="4" w:space="0"/>
              <w:left w:val="single" w:color="000000" w:sz="4" w:space="0"/>
              <w:bottom w:val="single" w:color="000000" w:sz="4" w:space="0"/>
            </w:tcBorders>
            <w:shd w:val="clear" w:color="auto" w:fill="auto"/>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LET966</w:t>
            </w:r>
          </w:p>
        </w:tc>
        <w:tc>
          <w:tcPr>
            <w:tcW w:w="3983"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Introdução a Libras</w:t>
            </w:r>
          </w:p>
        </w:tc>
        <w:tc>
          <w:tcPr>
            <w:tcW w:w="1865"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60h</w:t>
            </w:r>
          </w:p>
        </w:tc>
      </w:tr>
      <w:tr>
        <w:tblPrEx>
          <w:tblCellMar>
            <w:top w:w="0" w:type="dxa"/>
            <w:left w:w="70" w:type="dxa"/>
            <w:bottom w:w="0" w:type="dxa"/>
            <w:right w:w="70" w:type="dxa"/>
          </w:tblCellMar>
        </w:tblPrEx>
        <w:trPr>
          <w:cantSplit/>
          <w:trHeight w:val="300" w:hRule="atLeast"/>
        </w:trPr>
        <w:tc>
          <w:tcPr>
            <w:tcW w:w="1717" w:type="dxa"/>
            <w:vMerge w:val="continue"/>
            <w:tcBorders>
              <w:top w:val="single" w:color="000000" w:sz="4" w:space="0"/>
              <w:left w:val="single" w:color="000000" w:sz="4" w:space="0"/>
              <w:bottom w:val="single" w:color="000000" w:sz="4" w:space="0"/>
            </w:tcBorders>
            <w:shd w:val="clear" w:color="auto" w:fill="auto"/>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079"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HIS070</w:t>
            </w:r>
          </w:p>
        </w:tc>
        <w:tc>
          <w:tcPr>
            <w:tcW w:w="398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História das Áfricas</w:t>
            </w:r>
          </w:p>
        </w:tc>
        <w:tc>
          <w:tcPr>
            <w:tcW w:w="1865"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50h</w:t>
            </w:r>
          </w:p>
        </w:tc>
      </w:tr>
      <w:tr>
        <w:tblPrEx>
          <w:tblCellMar>
            <w:top w:w="0" w:type="dxa"/>
            <w:left w:w="70" w:type="dxa"/>
            <w:bottom w:w="0" w:type="dxa"/>
            <w:right w:w="70" w:type="dxa"/>
          </w:tblCellMar>
        </w:tblPrEx>
        <w:trPr>
          <w:cantSplit/>
          <w:trHeight w:val="300" w:hRule="atLeast"/>
        </w:trPr>
        <w:tc>
          <w:tcPr>
            <w:tcW w:w="1717" w:type="dxa"/>
            <w:vMerge w:val="continue"/>
            <w:tcBorders>
              <w:top w:val="single" w:color="000000" w:sz="4" w:space="0"/>
              <w:left w:val="single" w:color="000000" w:sz="4" w:space="0"/>
              <w:bottom w:val="single" w:color="000000" w:sz="4" w:space="0"/>
            </w:tcBorders>
            <w:shd w:val="clear" w:color="auto" w:fill="auto"/>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079"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HIS082</w:t>
            </w:r>
          </w:p>
        </w:tc>
        <w:tc>
          <w:tcPr>
            <w:tcW w:w="398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Trabalho de Conclusão de Curso I</w:t>
            </w:r>
          </w:p>
        </w:tc>
        <w:tc>
          <w:tcPr>
            <w:tcW w:w="1865"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90h</w:t>
            </w:r>
          </w:p>
        </w:tc>
      </w:tr>
      <w:tr>
        <w:tblPrEx>
          <w:tblCellMar>
            <w:top w:w="0" w:type="dxa"/>
            <w:left w:w="70" w:type="dxa"/>
            <w:bottom w:w="0" w:type="dxa"/>
            <w:right w:w="70" w:type="dxa"/>
          </w:tblCellMar>
        </w:tblPrEx>
        <w:trPr>
          <w:cantSplit/>
          <w:trHeight w:val="300" w:hRule="atLeast"/>
        </w:trPr>
        <w:tc>
          <w:tcPr>
            <w:tcW w:w="1717" w:type="dxa"/>
            <w:vMerge w:val="continue"/>
            <w:tcBorders>
              <w:top w:val="single" w:color="000000" w:sz="4" w:space="0"/>
              <w:left w:val="single" w:color="000000" w:sz="4" w:space="0"/>
              <w:bottom w:val="single" w:color="000000" w:sz="4" w:space="0"/>
            </w:tcBorders>
            <w:shd w:val="clear" w:color="auto" w:fill="auto"/>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079"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HIS083</w:t>
            </w:r>
          </w:p>
        </w:tc>
        <w:tc>
          <w:tcPr>
            <w:tcW w:w="398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Trabalho de Conclusão de Curso II</w:t>
            </w:r>
          </w:p>
        </w:tc>
        <w:tc>
          <w:tcPr>
            <w:tcW w:w="1865"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90h</w:t>
            </w:r>
          </w:p>
        </w:tc>
      </w:tr>
      <w:tr>
        <w:tblPrEx>
          <w:tblCellMar>
            <w:top w:w="0" w:type="dxa"/>
            <w:left w:w="70" w:type="dxa"/>
            <w:bottom w:w="0" w:type="dxa"/>
            <w:right w:w="70" w:type="dxa"/>
          </w:tblCellMar>
        </w:tblPrEx>
        <w:trPr>
          <w:cantSplit/>
          <w:trHeight w:val="300" w:hRule="atLeast"/>
        </w:trPr>
        <w:tc>
          <w:tcPr>
            <w:tcW w:w="1717" w:type="dxa"/>
            <w:vMerge w:val="continue"/>
            <w:tcBorders>
              <w:top w:val="single" w:color="000000" w:sz="4" w:space="0"/>
              <w:left w:val="single" w:color="000000" w:sz="4" w:space="0"/>
              <w:bottom w:val="single" w:color="000000" w:sz="4" w:space="0"/>
            </w:tcBorders>
            <w:shd w:val="clear" w:color="auto" w:fill="auto"/>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079"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 596</w:t>
            </w:r>
          </w:p>
        </w:tc>
        <w:tc>
          <w:tcPr>
            <w:tcW w:w="3983"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Estágio Supervisionado de História I</w:t>
            </w:r>
          </w:p>
        </w:tc>
        <w:tc>
          <w:tcPr>
            <w:tcW w:w="1865"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05h</w:t>
            </w:r>
          </w:p>
        </w:tc>
      </w:tr>
      <w:tr>
        <w:tblPrEx>
          <w:tblCellMar>
            <w:top w:w="0" w:type="dxa"/>
            <w:left w:w="70" w:type="dxa"/>
            <w:bottom w:w="0" w:type="dxa"/>
            <w:right w:w="70" w:type="dxa"/>
          </w:tblCellMar>
        </w:tblPrEx>
        <w:trPr>
          <w:cantSplit/>
          <w:trHeight w:val="300" w:hRule="atLeast"/>
        </w:trPr>
        <w:tc>
          <w:tcPr>
            <w:tcW w:w="1717" w:type="dxa"/>
            <w:vMerge w:val="continue"/>
            <w:tcBorders>
              <w:top w:val="single" w:color="000000" w:sz="4" w:space="0"/>
              <w:left w:val="single" w:color="000000" w:sz="4" w:space="0"/>
              <w:bottom w:val="single" w:color="000000" w:sz="4" w:space="0"/>
            </w:tcBorders>
            <w:shd w:val="clear" w:color="auto" w:fill="auto"/>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079"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HIS597</w:t>
            </w:r>
          </w:p>
        </w:tc>
        <w:tc>
          <w:tcPr>
            <w:tcW w:w="3983"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Estágio Supervisionado de História II</w:t>
            </w:r>
          </w:p>
        </w:tc>
        <w:tc>
          <w:tcPr>
            <w:tcW w:w="1865"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05h</w:t>
            </w:r>
          </w:p>
        </w:tc>
      </w:tr>
      <w:tr>
        <w:tblPrEx>
          <w:tblCellMar>
            <w:top w:w="0" w:type="dxa"/>
            <w:left w:w="70" w:type="dxa"/>
            <w:bottom w:w="0" w:type="dxa"/>
            <w:right w:w="70" w:type="dxa"/>
          </w:tblCellMar>
        </w:tblPrEx>
        <w:trPr>
          <w:cantSplit/>
          <w:trHeight w:val="300" w:hRule="atLeast"/>
        </w:trPr>
        <w:tc>
          <w:tcPr>
            <w:tcW w:w="1717" w:type="dxa"/>
            <w:vMerge w:val="continue"/>
            <w:tcBorders>
              <w:top w:val="single" w:color="000000" w:sz="4" w:space="0"/>
              <w:left w:val="single" w:color="000000" w:sz="4" w:space="0"/>
              <w:bottom w:val="single" w:color="000000" w:sz="4" w:space="0"/>
            </w:tcBorders>
            <w:shd w:val="clear" w:color="auto" w:fill="auto"/>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079"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HIS598</w:t>
            </w:r>
          </w:p>
        </w:tc>
        <w:tc>
          <w:tcPr>
            <w:tcW w:w="3983"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Estágio Supervisionado de História III</w:t>
            </w:r>
          </w:p>
        </w:tc>
        <w:tc>
          <w:tcPr>
            <w:tcW w:w="1865"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05h</w:t>
            </w:r>
          </w:p>
        </w:tc>
      </w:tr>
      <w:tr>
        <w:tblPrEx>
          <w:tblCellMar>
            <w:top w:w="0" w:type="dxa"/>
            <w:left w:w="70" w:type="dxa"/>
            <w:bottom w:w="0" w:type="dxa"/>
            <w:right w:w="70" w:type="dxa"/>
          </w:tblCellMar>
        </w:tblPrEx>
        <w:trPr>
          <w:cantSplit/>
          <w:trHeight w:val="300" w:hRule="atLeast"/>
        </w:trPr>
        <w:tc>
          <w:tcPr>
            <w:tcW w:w="1717" w:type="dxa"/>
            <w:vMerge w:val="continue"/>
            <w:tcBorders>
              <w:top w:val="single" w:color="000000" w:sz="4" w:space="0"/>
              <w:left w:val="single" w:color="000000" w:sz="4" w:space="0"/>
              <w:bottom w:val="single" w:color="000000" w:sz="4" w:space="0"/>
            </w:tcBorders>
            <w:shd w:val="clear" w:color="auto" w:fill="auto"/>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079"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HIS599</w:t>
            </w:r>
          </w:p>
        </w:tc>
        <w:tc>
          <w:tcPr>
            <w:tcW w:w="3983"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Estágio Supervisionado de História IV</w:t>
            </w:r>
          </w:p>
        </w:tc>
        <w:tc>
          <w:tcPr>
            <w:tcW w:w="1865"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05h</w:t>
            </w:r>
          </w:p>
        </w:tc>
      </w:tr>
      <w:tr>
        <w:tblPrEx>
          <w:tblCellMar>
            <w:top w:w="0" w:type="dxa"/>
            <w:left w:w="70" w:type="dxa"/>
            <w:bottom w:w="0" w:type="dxa"/>
            <w:right w:w="70" w:type="dxa"/>
          </w:tblCellMar>
        </w:tblPrEx>
        <w:trPr>
          <w:trHeight w:val="330" w:hRule="atLeast"/>
        </w:trPr>
        <w:tc>
          <w:tcPr>
            <w:tcW w:w="171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right"/>
              <w:rPr>
                <w:rFonts w:ascii="Times New Roman" w:hAnsi="Times New Roman" w:eastAsia="Liberation Serif" w:cs="Times New Roman"/>
                <w:color w:val="000000"/>
              </w:rPr>
            </w:pPr>
            <w:r>
              <w:rPr>
                <w:rFonts w:ascii="Times New Roman" w:hAnsi="Times New Roman" w:eastAsia="Calibri" w:cs="Times New Roman"/>
                <w:b/>
                <w:color w:val="000000"/>
              </w:rPr>
              <w:t>Carga horária:</w:t>
            </w:r>
          </w:p>
        </w:tc>
        <w:tc>
          <w:tcPr>
            <w:tcW w:w="6927" w:type="dxa"/>
            <w:gridSpan w:val="3"/>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b/>
                <w:color w:val="000000"/>
              </w:rPr>
              <w:t>400 horas</w:t>
            </w:r>
          </w:p>
        </w:tc>
      </w:tr>
      <w:tr>
        <w:tblPrEx>
          <w:tblCellMar>
            <w:top w:w="0" w:type="dxa"/>
            <w:left w:w="70" w:type="dxa"/>
            <w:bottom w:w="0" w:type="dxa"/>
            <w:right w:w="70" w:type="dxa"/>
          </w:tblCellMar>
        </w:tblPrEx>
        <w:trPr>
          <w:trHeight w:val="315" w:hRule="atLeast"/>
        </w:trPr>
        <w:tc>
          <w:tcPr>
            <w:tcW w:w="8644" w:type="dxa"/>
            <w:gridSpan w:val="4"/>
            <w:tcBorders>
              <w:top w:val="single" w:color="000000" w:sz="4" w:space="0"/>
              <w:left w:val="single" w:color="000000" w:sz="4" w:space="0"/>
              <w:bottom w:val="single" w:color="000000" w:sz="4" w:space="0"/>
              <w:right w:val="single" w:color="000000" w:sz="4" w:space="0"/>
            </w:tcBorders>
            <w:shd w:val="clear" w:color="auto" w:fill="FDE9D9"/>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Calibri" w:cs="Times New Roman"/>
                <w:color w:val="000000"/>
              </w:rPr>
            </w:pPr>
          </w:p>
        </w:tc>
      </w:tr>
      <w:tr>
        <w:tblPrEx>
          <w:tblCellMar>
            <w:top w:w="0" w:type="dxa"/>
            <w:left w:w="70" w:type="dxa"/>
            <w:bottom w:w="0" w:type="dxa"/>
            <w:right w:w="70" w:type="dxa"/>
          </w:tblCellMar>
        </w:tblPrEx>
        <w:trPr>
          <w:trHeight w:val="315" w:hRule="atLeast"/>
        </w:trPr>
        <w:tc>
          <w:tcPr>
            <w:tcW w:w="171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w:t>
            </w:r>
            <w:r>
              <w:rPr>
                <w:rFonts w:ascii="Times New Roman" w:hAnsi="Times New Roman" w:eastAsia="Calibri" w:cs="Times New Roman"/>
                <w:b/>
                <w:color w:val="000000"/>
              </w:rPr>
              <w:t>AACC</w:t>
            </w:r>
            <w:r>
              <w:rPr>
                <w:rFonts w:ascii="Times New Roman" w:hAnsi="Times New Roman" w:eastAsia="Calibri" w:cs="Times New Roman"/>
                <w:color w:val="000000"/>
              </w:rPr>
              <w:t xml:space="preserve"> - Atividades Acadêmico- Científico- Culturais).</w:t>
            </w:r>
          </w:p>
        </w:tc>
        <w:tc>
          <w:tcPr>
            <w:tcW w:w="1079"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ATV100</w:t>
            </w:r>
          </w:p>
        </w:tc>
        <w:tc>
          <w:tcPr>
            <w:tcW w:w="3983"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Atividades Acadêmico-Científico-Culturais</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1865"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200h</w:t>
            </w:r>
          </w:p>
        </w:tc>
      </w:tr>
      <w:tr>
        <w:tblPrEx>
          <w:tblCellMar>
            <w:top w:w="0" w:type="dxa"/>
            <w:left w:w="70" w:type="dxa"/>
            <w:bottom w:w="0" w:type="dxa"/>
            <w:right w:w="70" w:type="dxa"/>
          </w:tblCellMar>
        </w:tblPrEx>
        <w:trPr>
          <w:trHeight w:val="330" w:hRule="atLeast"/>
        </w:trPr>
        <w:tc>
          <w:tcPr>
            <w:tcW w:w="1717" w:type="dxa"/>
            <w:tcBorders>
              <w:top w:val="single" w:color="000000" w:sz="4" w:space="0"/>
              <w:left w:val="single" w:color="000000" w:sz="4" w:space="0"/>
              <w:bottom w:val="single" w:color="000000" w:sz="4" w:space="0"/>
            </w:tcBorders>
            <w:shd w:val="clear" w:color="auto" w:fill="auto"/>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b/>
                <w:color w:val="000000"/>
              </w:rPr>
              <w:t>Carga horária:</w:t>
            </w:r>
          </w:p>
        </w:tc>
        <w:tc>
          <w:tcPr>
            <w:tcW w:w="6927"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b/>
                <w:color w:val="000000"/>
              </w:rPr>
              <w:t>200 horas</w:t>
            </w:r>
          </w:p>
        </w:tc>
      </w:tr>
      <w:tr>
        <w:tblPrEx>
          <w:tblCellMar>
            <w:top w:w="0" w:type="dxa"/>
            <w:left w:w="70" w:type="dxa"/>
            <w:bottom w:w="0" w:type="dxa"/>
            <w:right w:w="70" w:type="dxa"/>
          </w:tblCellMar>
        </w:tblPrEx>
        <w:trPr>
          <w:trHeight w:val="330" w:hRule="atLeast"/>
        </w:trPr>
        <w:tc>
          <w:tcPr>
            <w:tcW w:w="1717" w:type="dxa"/>
            <w:tcBorders>
              <w:top w:val="single" w:color="000000" w:sz="4" w:space="0"/>
              <w:left w:val="single" w:color="000000" w:sz="4" w:space="0"/>
              <w:bottom w:val="single" w:color="000000" w:sz="4" w:space="0"/>
            </w:tcBorders>
            <w:shd w:val="clear" w:color="auto" w:fill="DEEAF6"/>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b/>
                <w:color w:val="000000"/>
              </w:rPr>
              <w:t>TOTAL:</w:t>
            </w:r>
          </w:p>
        </w:tc>
        <w:tc>
          <w:tcPr>
            <w:tcW w:w="6927" w:type="dxa"/>
            <w:gridSpan w:val="3"/>
            <w:tcBorders>
              <w:top w:val="single" w:color="000000" w:sz="4" w:space="0"/>
              <w:left w:val="single" w:color="000000" w:sz="4" w:space="0"/>
              <w:bottom w:val="single" w:color="000000" w:sz="4" w:space="0"/>
              <w:right w:val="single" w:color="000000" w:sz="4" w:space="0"/>
            </w:tcBorders>
            <w:shd w:val="clear" w:color="auto" w:fill="DEEAF6"/>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b/>
                <w:color w:val="000000"/>
              </w:rPr>
              <w:t>3260 horas</w:t>
            </w:r>
          </w:p>
        </w:tc>
      </w:tr>
    </w:tbl>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bl>
      <w:tblPr>
        <w:tblStyle w:val="475"/>
        <w:tblW w:w="8458" w:type="dxa"/>
        <w:tblInd w:w="18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65" w:type="dxa"/>
          <w:bottom w:w="0" w:type="dxa"/>
          <w:right w:w="70" w:type="dxa"/>
        </w:tblCellMar>
      </w:tblPr>
      <w:tblGrid>
        <w:gridCol w:w="923"/>
        <w:gridCol w:w="2836"/>
        <w:gridCol w:w="1491"/>
        <w:gridCol w:w="638"/>
        <w:gridCol w:w="707"/>
        <w:gridCol w:w="568"/>
        <w:gridCol w:w="567"/>
        <w:gridCol w:w="7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5" w:type="dxa"/>
            <w:bottom w:w="0" w:type="dxa"/>
            <w:right w:w="70" w:type="dxa"/>
          </w:tblCellMar>
        </w:tblPrEx>
        <w:trPr>
          <w:trHeight w:val="300" w:hRule="atLeast"/>
        </w:trPr>
        <w:tc>
          <w:tcPr>
            <w:tcW w:w="8458" w:type="dxa"/>
            <w:gridSpan w:val="8"/>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b/>
                <w:color w:val="000000"/>
              </w:rPr>
              <w:t>Tabela 07 - Disciplinas obrigatórias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5" w:type="dxa"/>
            <w:bottom w:w="0" w:type="dxa"/>
            <w:right w:w="70" w:type="dxa"/>
          </w:tblCellMar>
        </w:tblPrEx>
        <w:trPr>
          <w:cantSplit/>
          <w:trHeight w:val="300" w:hRule="atLeast"/>
        </w:trPr>
        <w:tc>
          <w:tcPr>
            <w:tcW w:w="923" w:type="dxa"/>
            <w:vMerge w:val="restart"/>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CÓDIGO</w:t>
            </w:r>
          </w:p>
        </w:tc>
        <w:tc>
          <w:tcPr>
            <w:tcW w:w="2836" w:type="dxa"/>
            <w:vMerge w:val="restart"/>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DISCIPLINAS OBRIGATÓRIAS</w:t>
            </w:r>
          </w:p>
        </w:tc>
        <w:tc>
          <w:tcPr>
            <w:tcW w:w="1491" w:type="dxa"/>
            <w:vMerge w:val="restart"/>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PRÉ-REQUISITO</w:t>
            </w:r>
          </w:p>
        </w:tc>
        <w:tc>
          <w:tcPr>
            <w:tcW w:w="638" w:type="dxa"/>
            <w:vMerge w:val="restart"/>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CHS</w:t>
            </w:r>
          </w:p>
        </w:tc>
        <w:tc>
          <w:tcPr>
            <w:tcW w:w="707" w:type="dxa"/>
            <w:vMerge w:val="restart"/>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CHA</w:t>
            </w:r>
          </w:p>
        </w:tc>
        <w:tc>
          <w:tcPr>
            <w:tcW w:w="1135" w:type="dxa"/>
            <w:gridSpan w:val="2"/>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AULAS</w:t>
            </w:r>
          </w:p>
        </w:tc>
        <w:tc>
          <w:tcPr>
            <w:tcW w:w="728" w:type="dxa"/>
            <w:vMerge w:val="restart"/>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PER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5" w:type="dxa"/>
            <w:bottom w:w="0" w:type="dxa"/>
            <w:right w:w="70" w:type="dxa"/>
          </w:tblCellMar>
        </w:tblPrEx>
        <w:trPr>
          <w:cantSplit/>
          <w:trHeight w:val="300" w:hRule="atLeast"/>
        </w:trPr>
        <w:tc>
          <w:tcPr>
            <w:tcW w:w="923" w:type="dxa"/>
            <w:vMerge w:val="continue"/>
            <w:tcBorders>
              <w:top w:val="single" w:color="000000" w:sz="4" w:space="0"/>
              <w:left w:val="single" w:color="000000" w:sz="4" w:space="0"/>
            </w:tcBorders>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2836" w:type="dxa"/>
            <w:vMerge w:val="continue"/>
            <w:tcBorders>
              <w:top w:val="single" w:color="000000" w:sz="4" w:space="0"/>
              <w:left w:val="single" w:color="000000" w:sz="4" w:space="0"/>
            </w:tcBorders>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491" w:type="dxa"/>
            <w:vMerge w:val="continue"/>
            <w:tcBorders>
              <w:top w:val="single" w:color="000000" w:sz="4" w:space="0"/>
              <w:left w:val="single" w:color="000000" w:sz="4" w:space="0"/>
            </w:tcBorders>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638" w:type="dxa"/>
            <w:vMerge w:val="continue"/>
            <w:tcBorders>
              <w:top w:val="single" w:color="000000" w:sz="4" w:space="0"/>
              <w:left w:val="single" w:color="000000" w:sz="4" w:space="0"/>
            </w:tcBorders>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707" w:type="dxa"/>
            <w:vMerge w:val="continue"/>
            <w:tcBorders>
              <w:top w:val="single" w:color="000000" w:sz="4" w:space="0"/>
              <w:left w:val="single" w:color="000000" w:sz="4" w:space="0"/>
            </w:tcBorders>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568" w:type="dxa"/>
            <w:tcBorders>
              <w:top w:val="single" w:color="000000" w:sz="4" w:space="0"/>
              <w:lef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T</w:t>
            </w:r>
          </w:p>
        </w:tc>
        <w:tc>
          <w:tcPr>
            <w:tcW w:w="567" w:type="dxa"/>
            <w:tcBorders>
              <w:top w:val="single" w:color="000000" w:sz="4" w:space="0"/>
              <w:lef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P</w:t>
            </w:r>
          </w:p>
        </w:tc>
        <w:tc>
          <w:tcPr>
            <w:tcW w:w="728" w:type="dxa"/>
            <w:vMerge w:val="continue"/>
            <w:tcBorders>
              <w:top w:val="single" w:color="000000" w:sz="4" w:space="0"/>
              <w:left w:val="single" w:color="000000" w:sz="4" w:space="0"/>
              <w:right w:val="single" w:color="000000" w:sz="4" w:space="0"/>
            </w:tcBorders>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5" w:type="dxa"/>
            <w:bottom w:w="0" w:type="dxa"/>
            <w:right w:w="70" w:type="dxa"/>
          </w:tblCellMar>
        </w:tblPrEx>
        <w:trPr>
          <w:trHeight w:val="300" w:hRule="atLeast"/>
        </w:trPr>
        <w:tc>
          <w:tcPr>
            <w:tcW w:w="923" w:type="dxa"/>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FIL126</w:t>
            </w:r>
          </w:p>
        </w:tc>
        <w:tc>
          <w:tcPr>
            <w:tcW w:w="2836" w:type="dxa"/>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Filosofia</w:t>
            </w:r>
          </w:p>
        </w:tc>
        <w:tc>
          <w:tcPr>
            <w:tcW w:w="1491" w:type="dxa"/>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638" w:type="dxa"/>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w:t>
            </w:r>
          </w:p>
        </w:tc>
        <w:tc>
          <w:tcPr>
            <w:tcW w:w="707" w:type="dxa"/>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72</w:t>
            </w:r>
          </w:p>
        </w:tc>
        <w:tc>
          <w:tcPr>
            <w:tcW w:w="568" w:type="dxa"/>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567" w:type="dxa"/>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c>
          <w:tcPr>
            <w:tcW w:w="728" w:type="dxa"/>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5" w:type="dxa"/>
            <w:bottom w:w="0" w:type="dxa"/>
            <w:right w:w="70" w:type="dxa"/>
          </w:tblCellMar>
        </w:tblPrEx>
        <w:trPr>
          <w:trHeight w:val="300" w:hRule="atLeast"/>
        </w:trPr>
        <w:tc>
          <w:tcPr>
            <w:tcW w:w="923" w:type="dxa"/>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HIS063</w:t>
            </w:r>
          </w:p>
        </w:tc>
        <w:tc>
          <w:tcPr>
            <w:tcW w:w="2836" w:type="dxa"/>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Introdução ao Estudo da História</w:t>
            </w:r>
          </w:p>
        </w:tc>
        <w:tc>
          <w:tcPr>
            <w:tcW w:w="1491" w:type="dxa"/>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638" w:type="dxa"/>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568" w:type="dxa"/>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567" w:type="dxa"/>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c>
          <w:tcPr>
            <w:tcW w:w="728" w:type="dxa"/>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5" w:type="dxa"/>
            <w:bottom w:w="0" w:type="dxa"/>
            <w:right w:w="70" w:type="dxa"/>
          </w:tblCellMar>
        </w:tblPrEx>
        <w:trPr>
          <w:trHeight w:val="300" w:hRule="atLeast"/>
        </w:trPr>
        <w:tc>
          <w:tcPr>
            <w:tcW w:w="923" w:type="dxa"/>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HIS064</w:t>
            </w:r>
          </w:p>
        </w:tc>
        <w:tc>
          <w:tcPr>
            <w:tcW w:w="2836" w:type="dxa"/>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História do Brasil I</w:t>
            </w:r>
          </w:p>
        </w:tc>
        <w:tc>
          <w:tcPr>
            <w:tcW w:w="1491" w:type="dxa"/>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638" w:type="dxa"/>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568" w:type="dxa"/>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567" w:type="dxa"/>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c>
          <w:tcPr>
            <w:tcW w:w="728" w:type="dxa"/>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5" w:type="dxa"/>
            <w:bottom w:w="0" w:type="dxa"/>
            <w:right w:w="70" w:type="dxa"/>
          </w:tblCellMar>
        </w:tblPrEx>
        <w:trPr>
          <w:trHeight w:val="315" w:hRule="atLeast"/>
        </w:trPr>
        <w:tc>
          <w:tcPr>
            <w:tcW w:w="923" w:type="dxa"/>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HIS065</w:t>
            </w:r>
          </w:p>
        </w:tc>
        <w:tc>
          <w:tcPr>
            <w:tcW w:w="2836" w:type="dxa"/>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 xml:space="preserve">Introdução </w:t>
            </w:r>
            <w:r>
              <w:rPr>
                <w:rFonts w:ascii="Times New Roman" w:hAnsi="Times New Roman" w:eastAsia="Calibri" w:cs="Times New Roman"/>
              </w:rPr>
              <w:t>às Ciências</w:t>
            </w:r>
            <w:r>
              <w:rPr>
                <w:rFonts w:ascii="Times New Roman" w:hAnsi="Times New Roman" w:eastAsia="Calibri" w:cs="Times New Roman"/>
                <w:color w:val="000000"/>
              </w:rPr>
              <w:t xml:space="preserve"> Sociais</w:t>
            </w:r>
          </w:p>
        </w:tc>
        <w:tc>
          <w:tcPr>
            <w:tcW w:w="1491" w:type="dxa"/>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638" w:type="dxa"/>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568" w:type="dxa"/>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567" w:type="dxa"/>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c>
          <w:tcPr>
            <w:tcW w:w="728" w:type="dxa"/>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5" w:type="dxa"/>
            <w:bottom w:w="0" w:type="dxa"/>
            <w:right w:w="70" w:type="dxa"/>
          </w:tblCellMar>
        </w:tblPrEx>
        <w:trPr>
          <w:trHeight w:val="315" w:hRule="atLeast"/>
        </w:trPr>
        <w:tc>
          <w:tcPr>
            <w:tcW w:w="923" w:type="dxa"/>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HIS079</w:t>
            </w:r>
          </w:p>
        </w:tc>
        <w:tc>
          <w:tcPr>
            <w:tcW w:w="2836" w:type="dxa"/>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História Moderna</w:t>
            </w:r>
          </w:p>
        </w:tc>
        <w:tc>
          <w:tcPr>
            <w:tcW w:w="1491" w:type="dxa"/>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638" w:type="dxa"/>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568" w:type="dxa"/>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567" w:type="dxa"/>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c>
          <w:tcPr>
            <w:tcW w:w="728" w:type="dxa"/>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5" w:type="dxa"/>
            <w:bottom w:w="0" w:type="dxa"/>
            <w:right w:w="70" w:type="dxa"/>
          </w:tblCellMar>
        </w:tblPrEx>
        <w:trPr>
          <w:trHeight w:val="300" w:hRule="atLeast"/>
        </w:trPr>
        <w:tc>
          <w:tcPr>
            <w:tcW w:w="923" w:type="dxa"/>
            <w:tcBorders>
              <w:left w:val="single" w:color="000000" w:sz="4" w:space="0"/>
              <w:bottom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HIS066</w:t>
            </w:r>
          </w:p>
        </w:tc>
        <w:tc>
          <w:tcPr>
            <w:tcW w:w="2836" w:type="dxa"/>
            <w:tcBorders>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História Contemporânea</w:t>
            </w:r>
          </w:p>
        </w:tc>
        <w:tc>
          <w:tcPr>
            <w:tcW w:w="1491" w:type="dxa"/>
            <w:tcBorders>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638" w:type="dxa"/>
            <w:tcBorders>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568" w:type="dxa"/>
            <w:tcBorders>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567" w:type="dxa"/>
            <w:tcBorders>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c>
          <w:tcPr>
            <w:tcW w:w="728" w:type="dxa"/>
            <w:tcBorders>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5" w:type="dxa"/>
            <w:bottom w:w="0" w:type="dxa"/>
            <w:right w:w="70" w:type="dxa"/>
          </w:tblCellMar>
        </w:tblPrEx>
        <w:trPr>
          <w:trHeight w:val="300" w:hRule="atLeast"/>
        </w:trPr>
        <w:tc>
          <w:tcPr>
            <w:tcW w:w="923" w:type="dxa"/>
            <w:tcBorders>
              <w:top w:val="single" w:color="000000" w:sz="4" w:space="0"/>
              <w:left w:val="single" w:color="000000" w:sz="4" w:space="0"/>
              <w:bottom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HIS067</w:t>
            </w:r>
          </w:p>
        </w:tc>
        <w:tc>
          <w:tcPr>
            <w:tcW w:w="2836"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História do Brasil II</w:t>
            </w:r>
          </w:p>
        </w:tc>
        <w:tc>
          <w:tcPr>
            <w:tcW w:w="1491"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638"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568"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567"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c>
          <w:tcPr>
            <w:tcW w:w="728"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5" w:type="dxa"/>
            <w:bottom w:w="0" w:type="dxa"/>
            <w:right w:w="70" w:type="dxa"/>
          </w:tblCellMar>
        </w:tblPrEx>
        <w:trPr>
          <w:trHeight w:val="300" w:hRule="atLeast"/>
        </w:trPr>
        <w:tc>
          <w:tcPr>
            <w:tcW w:w="923" w:type="dxa"/>
            <w:tcBorders>
              <w:top w:val="single" w:color="000000" w:sz="4" w:space="0"/>
              <w:left w:val="single" w:color="000000" w:sz="4" w:space="0"/>
              <w:bottom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HIS068</w:t>
            </w:r>
          </w:p>
        </w:tc>
        <w:tc>
          <w:tcPr>
            <w:tcW w:w="2836"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História da América I</w:t>
            </w:r>
          </w:p>
        </w:tc>
        <w:tc>
          <w:tcPr>
            <w:tcW w:w="1491"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638"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568"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567"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c>
          <w:tcPr>
            <w:tcW w:w="728"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5" w:type="dxa"/>
            <w:bottom w:w="0" w:type="dxa"/>
            <w:right w:w="70" w:type="dxa"/>
          </w:tblCellMar>
        </w:tblPrEx>
        <w:tc>
          <w:tcPr>
            <w:tcW w:w="923" w:type="dxa"/>
            <w:tcBorders>
              <w:top w:val="single" w:color="000000" w:sz="4" w:space="0"/>
              <w:left w:val="single" w:color="000000" w:sz="4" w:space="0"/>
              <w:bottom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HIS069</w:t>
            </w:r>
          </w:p>
        </w:tc>
        <w:tc>
          <w:tcPr>
            <w:tcW w:w="2836"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História da Historiografia Brasileira</w:t>
            </w:r>
          </w:p>
        </w:tc>
        <w:tc>
          <w:tcPr>
            <w:tcW w:w="1491"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638"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568"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567"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c>
          <w:tcPr>
            <w:tcW w:w="728"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5" w:type="dxa"/>
            <w:bottom w:w="0" w:type="dxa"/>
            <w:right w:w="70" w:type="dxa"/>
          </w:tblCellMar>
        </w:tblPrEx>
        <w:trPr>
          <w:trHeight w:val="300" w:hRule="atLeast"/>
        </w:trPr>
        <w:tc>
          <w:tcPr>
            <w:tcW w:w="923" w:type="dxa"/>
            <w:tcBorders>
              <w:top w:val="single" w:color="000000" w:sz="4" w:space="0"/>
              <w:left w:val="single" w:color="000000" w:sz="4" w:space="0"/>
              <w:bottom w:val="single" w:color="000000" w:sz="4" w:space="0"/>
            </w:tcBorders>
            <w:shd w:val="clear" w:color="auto" w:fill="auto"/>
            <w:vAlign w:val="center"/>
          </w:tcPr>
          <w:p>
            <w:pPr>
              <w:ind w:left="0" w:hanging="2"/>
              <w:jc w:val="center"/>
              <w:rPr>
                <w:rFonts w:ascii="Times New Roman" w:hAnsi="Times New Roman" w:eastAsia="Calibri" w:cs="Times New Roman"/>
                <w:color w:val="000000"/>
              </w:rPr>
            </w:pPr>
            <w:r>
              <w:rPr>
                <w:rFonts w:ascii="Times New Roman" w:hAnsi="Times New Roman" w:eastAsia="Calibri" w:cs="Times New Roman"/>
              </w:rPr>
              <w:t>HIS070</w:t>
            </w:r>
          </w:p>
        </w:tc>
        <w:tc>
          <w:tcPr>
            <w:tcW w:w="2836" w:type="dxa"/>
            <w:tcBorders>
              <w:top w:val="single" w:color="000000" w:sz="4" w:space="0"/>
              <w:left w:val="single" w:color="000000" w:sz="4" w:space="0"/>
              <w:bottom w:val="single" w:color="000000" w:sz="4" w:space="0"/>
            </w:tcBorders>
            <w:shd w:val="clear" w:color="auto" w:fill="FFFFFF"/>
            <w:vAlign w:val="center"/>
          </w:tcPr>
          <w:p>
            <w:pPr>
              <w:ind w:left="0" w:hanging="2"/>
              <w:rPr>
                <w:rFonts w:ascii="Times New Roman" w:hAnsi="Times New Roman" w:cs="Times New Roman"/>
              </w:rPr>
            </w:pPr>
            <w:r>
              <w:rPr>
                <w:rFonts w:ascii="Times New Roman" w:hAnsi="Times New Roman" w:eastAsia="Calibri" w:cs="Times New Roman"/>
              </w:rPr>
              <w:t>História das Áfricas</w:t>
            </w:r>
          </w:p>
        </w:tc>
        <w:tc>
          <w:tcPr>
            <w:tcW w:w="1491" w:type="dxa"/>
            <w:tcBorders>
              <w:top w:val="single" w:color="000000" w:sz="4" w:space="0"/>
              <w:left w:val="single" w:color="000000" w:sz="4" w:space="0"/>
              <w:bottom w:val="single" w:color="000000" w:sz="4" w:space="0"/>
            </w:tcBorders>
            <w:shd w:val="clear" w:color="auto" w:fill="FFFFFF"/>
            <w:vAlign w:val="center"/>
          </w:tcPr>
          <w:p>
            <w:pPr>
              <w:ind w:left="0" w:hanging="2"/>
              <w:rPr>
                <w:rFonts w:ascii="Times New Roman" w:hAnsi="Times New Roman" w:eastAsia="Calibri" w:cs="Times New Roman"/>
              </w:rPr>
            </w:pPr>
          </w:p>
        </w:tc>
        <w:tc>
          <w:tcPr>
            <w:tcW w:w="638" w:type="dxa"/>
            <w:tcBorders>
              <w:top w:val="single" w:color="000000" w:sz="4" w:space="0"/>
              <w:left w:val="single" w:color="000000" w:sz="4" w:space="0"/>
              <w:bottom w:val="single" w:color="000000" w:sz="4" w:space="0"/>
            </w:tcBorders>
            <w:shd w:val="clear" w:color="auto" w:fill="FFFFFF"/>
            <w:vAlign w:val="center"/>
          </w:tcPr>
          <w:p>
            <w:pPr>
              <w:ind w:left="0" w:hanging="2"/>
              <w:jc w:val="center"/>
              <w:rPr>
                <w:rFonts w:ascii="Times New Roman" w:hAnsi="Times New Roman" w:cs="Times New Roman"/>
              </w:rPr>
            </w:pPr>
            <w:r>
              <w:rPr>
                <w:rFonts w:ascii="Times New Roman" w:hAnsi="Times New Roman" w:eastAsia="Calibri" w:cs="Times New Roman"/>
              </w:rPr>
              <w:t>90</w:t>
            </w:r>
          </w:p>
        </w:tc>
        <w:tc>
          <w:tcPr>
            <w:tcW w:w="707" w:type="dxa"/>
            <w:tcBorders>
              <w:top w:val="single" w:color="000000" w:sz="4" w:space="0"/>
              <w:left w:val="single" w:color="000000" w:sz="4" w:space="0"/>
              <w:bottom w:val="single" w:color="000000" w:sz="4" w:space="0"/>
            </w:tcBorders>
            <w:shd w:val="clear" w:color="auto" w:fill="FFFFFF"/>
            <w:vAlign w:val="center"/>
          </w:tcPr>
          <w:p>
            <w:pPr>
              <w:ind w:left="0" w:hanging="2"/>
              <w:jc w:val="center"/>
              <w:rPr>
                <w:rFonts w:ascii="Times New Roman" w:hAnsi="Times New Roman" w:cs="Times New Roman"/>
              </w:rPr>
            </w:pPr>
            <w:r>
              <w:rPr>
                <w:rFonts w:ascii="Times New Roman" w:hAnsi="Times New Roman" w:eastAsia="Calibri" w:cs="Times New Roman"/>
              </w:rPr>
              <w:t>108</w:t>
            </w:r>
          </w:p>
        </w:tc>
        <w:tc>
          <w:tcPr>
            <w:tcW w:w="568" w:type="dxa"/>
            <w:tcBorders>
              <w:top w:val="single" w:color="000000" w:sz="4" w:space="0"/>
              <w:left w:val="single" w:color="000000" w:sz="4" w:space="0"/>
              <w:bottom w:val="single" w:color="000000" w:sz="4" w:space="0"/>
            </w:tcBorders>
            <w:shd w:val="clear" w:color="auto" w:fill="FFFFFF"/>
            <w:vAlign w:val="center"/>
          </w:tcPr>
          <w:p>
            <w:pPr>
              <w:ind w:left="0" w:hanging="2"/>
              <w:jc w:val="center"/>
              <w:rPr>
                <w:rFonts w:ascii="Times New Roman" w:hAnsi="Times New Roman" w:cs="Times New Roman"/>
              </w:rPr>
            </w:pPr>
            <w:r>
              <w:rPr>
                <w:rFonts w:ascii="Times New Roman" w:hAnsi="Times New Roman" w:eastAsia="Calibri" w:cs="Times New Roman"/>
              </w:rPr>
              <w:t>4</w:t>
            </w:r>
          </w:p>
        </w:tc>
        <w:tc>
          <w:tcPr>
            <w:tcW w:w="567" w:type="dxa"/>
            <w:tcBorders>
              <w:top w:val="single" w:color="000000" w:sz="4" w:space="0"/>
              <w:left w:val="single" w:color="000000" w:sz="4" w:space="0"/>
              <w:bottom w:val="single" w:color="000000" w:sz="4" w:space="0"/>
            </w:tcBorders>
            <w:shd w:val="clear" w:color="auto" w:fill="FFFFFF"/>
            <w:vAlign w:val="center"/>
          </w:tcPr>
          <w:p>
            <w:pPr>
              <w:ind w:left="0" w:hanging="2"/>
              <w:jc w:val="center"/>
              <w:rPr>
                <w:rFonts w:ascii="Times New Roman" w:hAnsi="Times New Roman" w:cs="Times New Roman"/>
              </w:rPr>
            </w:pPr>
            <w:r>
              <w:rPr>
                <w:rFonts w:ascii="Times New Roman" w:hAnsi="Times New Roman" w:eastAsia="Calibri" w:cs="Times New Roman"/>
              </w:rPr>
              <w:t>2</w:t>
            </w:r>
          </w:p>
        </w:tc>
        <w:tc>
          <w:tcPr>
            <w:tcW w:w="728" w:type="dxa"/>
            <w:tcBorders>
              <w:top w:val="single" w:color="000000" w:sz="4" w:space="0"/>
              <w:left w:val="single" w:color="000000" w:sz="4" w:space="0"/>
              <w:bottom w:val="single" w:color="000000" w:sz="4" w:space="0"/>
              <w:right w:val="single" w:color="000000" w:sz="4" w:space="0"/>
            </w:tcBorders>
            <w:vAlign w:val="center"/>
          </w:tcPr>
          <w:p>
            <w:pPr>
              <w:ind w:left="0" w:hanging="2"/>
              <w:jc w:val="center"/>
              <w:rPr>
                <w:rFonts w:ascii="Times New Roman" w:hAnsi="Times New Roman" w:cs="Times New Roman"/>
              </w:rPr>
            </w:pPr>
            <w:r>
              <w:rPr>
                <w:rFonts w:ascii="Times New Roman" w:hAnsi="Times New Roman" w:eastAsia="Calibri" w:cs="Times New Roma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5" w:type="dxa"/>
            <w:bottom w:w="0" w:type="dxa"/>
            <w:right w:w="70" w:type="dxa"/>
          </w:tblCellMar>
        </w:tblPrEx>
        <w:trPr>
          <w:trHeight w:val="300" w:hRule="atLeast"/>
        </w:trPr>
        <w:tc>
          <w:tcPr>
            <w:tcW w:w="923" w:type="dxa"/>
            <w:tcBorders>
              <w:top w:val="single" w:color="000000" w:sz="4" w:space="0"/>
              <w:left w:val="single" w:color="000000" w:sz="4" w:space="0"/>
              <w:bottom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EDU252</w:t>
            </w:r>
          </w:p>
        </w:tc>
        <w:tc>
          <w:tcPr>
            <w:tcW w:w="2836"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Estudos Históricos sobre a Educação</w:t>
            </w:r>
          </w:p>
        </w:tc>
        <w:tc>
          <w:tcPr>
            <w:tcW w:w="1491"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638"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w:t>
            </w:r>
          </w:p>
        </w:tc>
        <w:tc>
          <w:tcPr>
            <w:tcW w:w="707"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72</w:t>
            </w:r>
          </w:p>
        </w:tc>
        <w:tc>
          <w:tcPr>
            <w:tcW w:w="568"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567"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c>
          <w:tcPr>
            <w:tcW w:w="728"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5" w:type="dxa"/>
            <w:bottom w:w="0" w:type="dxa"/>
            <w:right w:w="70" w:type="dxa"/>
          </w:tblCellMar>
        </w:tblPrEx>
        <w:trPr>
          <w:trHeight w:val="300" w:hRule="atLeast"/>
        </w:trPr>
        <w:tc>
          <w:tcPr>
            <w:tcW w:w="923" w:type="dxa"/>
            <w:tcBorders>
              <w:top w:val="single" w:color="000000" w:sz="4" w:space="0"/>
              <w:left w:val="single" w:color="000000" w:sz="4" w:space="0"/>
              <w:bottom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HIS071</w:t>
            </w:r>
          </w:p>
        </w:tc>
        <w:tc>
          <w:tcPr>
            <w:tcW w:w="2836"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História Antiga</w:t>
            </w:r>
          </w:p>
        </w:tc>
        <w:tc>
          <w:tcPr>
            <w:tcW w:w="1491"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638"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568"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567"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c>
          <w:tcPr>
            <w:tcW w:w="728"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5" w:type="dxa"/>
            <w:bottom w:w="0" w:type="dxa"/>
            <w:right w:w="70" w:type="dxa"/>
          </w:tblCellMar>
        </w:tblPrEx>
        <w:trPr>
          <w:trHeight w:val="300" w:hRule="atLeast"/>
        </w:trPr>
        <w:tc>
          <w:tcPr>
            <w:tcW w:w="923" w:type="dxa"/>
            <w:tcBorders>
              <w:top w:val="single" w:color="000000" w:sz="4" w:space="0"/>
              <w:left w:val="single" w:color="000000" w:sz="4" w:space="0"/>
              <w:bottom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HIS072</w:t>
            </w:r>
          </w:p>
        </w:tc>
        <w:tc>
          <w:tcPr>
            <w:tcW w:w="2836"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História do Brasil III</w:t>
            </w:r>
          </w:p>
        </w:tc>
        <w:tc>
          <w:tcPr>
            <w:tcW w:w="1491"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638"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568"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567"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c>
          <w:tcPr>
            <w:tcW w:w="728"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5" w:type="dxa"/>
            <w:bottom w:w="0" w:type="dxa"/>
            <w:right w:w="70" w:type="dxa"/>
          </w:tblCellMar>
        </w:tblPrEx>
        <w:trPr>
          <w:trHeight w:val="300" w:hRule="atLeast"/>
        </w:trPr>
        <w:tc>
          <w:tcPr>
            <w:tcW w:w="923" w:type="dxa"/>
            <w:tcBorders>
              <w:top w:val="single" w:color="000000" w:sz="4" w:space="0"/>
              <w:left w:val="single" w:color="000000" w:sz="4" w:space="0"/>
              <w:bottom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HIS073</w:t>
            </w:r>
          </w:p>
        </w:tc>
        <w:tc>
          <w:tcPr>
            <w:tcW w:w="2836"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História da América II</w:t>
            </w:r>
          </w:p>
        </w:tc>
        <w:tc>
          <w:tcPr>
            <w:tcW w:w="1491"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638"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568"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567"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c>
          <w:tcPr>
            <w:tcW w:w="728"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5" w:type="dxa"/>
            <w:bottom w:w="0" w:type="dxa"/>
            <w:right w:w="70" w:type="dxa"/>
          </w:tblCellMar>
        </w:tblPrEx>
        <w:trPr>
          <w:trHeight w:val="300" w:hRule="atLeast"/>
        </w:trPr>
        <w:tc>
          <w:tcPr>
            <w:tcW w:w="923" w:type="dxa"/>
            <w:tcBorders>
              <w:top w:val="single" w:color="000000" w:sz="4" w:space="0"/>
              <w:left w:val="single" w:color="000000" w:sz="4" w:space="0"/>
              <w:bottom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HIS074</w:t>
            </w:r>
          </w:p>
        </w:tc>
        <w:tc>
          <w:tcPr>
            <w:tcW w:w="2836"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História da Historiografia Geral</w:t>
            </w:r>
          </w:p>
        </w:tc>
        <w:tc>
          <w:tcPr>
            <w:tcW w:w="1491"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638"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568"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567"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c>
          <w:tcPr>
            <w:tcW w:w="728"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5" w:type="dxa"/>
            <w:bottom w:w="0" w:type="dxa"/>
            <w:right w:w="70" w:type="dxa"/>
          </w:tblCellMar>
        </w:tblPrEx>
        <w:trPr>
          <w:trHeight w:val="315" w:hRule="atLeast"/>
        </w:trPr>
        <w:tc>
          <w:tcPr>
            <w:tcW w:w="923" w:type="dxa"/>
            <w:tcBorders>
              <w:top w:val="single" w:color="000000" w:sz="4" w:space="0"/>
              <w:left w:val="single" w:color="000000" w:sz="4" w:space="0"/>
              <w:bottom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MIF001</w:t>
            </w:r>
          </w:p>
        </w:tc>
        <w:tc>
          <w:tcPr>
            <w:tcW w:w="2836"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Módulo Interdisciplinar de Formação I</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1491"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638"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30</w:t>
            </w:r>
          </w:p>
        </w:tc>
        <w:tc>
          <w:tcPr>
            <w:tcW w:w="707"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36</w:t>
            </w:r>
          </w:p>
        </w:tc>
        <w:tc>
          <w:tcPr>
            <w:tcW w:w="568"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w:t>
            </w:r>
          </w:p>
        </w:tc>
        <w:tc>
          <w:tcPr>
            <w:tcW w:w="567"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w:t>
            </w:r>
          </w:p>
        </w:tc>
        <w:tc>
          <w:tcPr>
            <w:tcW w:w="728"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5" w:type="dxa"/>
            <w:bottom w:w="0" w:type="dxa"/>
            <w:right w:w="70" w:type="dxa"/>
          </w:tblCellMar>
        </w:tblPrEx>
        <w:trPr>
          <w:trHeight w:val="300" w:hRule="atLeast"/>
        </w:trPr>
        <w:tc>
          <w:tcPr>
            <w:tcW w:w="923" w:type="dxa"/>
            <w:tcBorders>
              <w:top w:val="single" w:color="000000" w:sz="4" w:space="0"/>
              <w:left w:val="single" w:color="000000" w:sz="4" w:space="0"/>
              <w:bottom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HIS075</w:t>
            </w:r>
          </w:p>
        </w:tc>
        <w:tc>
          <w:tcPr>
            <w:tcW w:w="2836"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Ensino de História</w:t>
            </w:r>
          </w:p>
        </w:tc>
        <w:tc>
          <w:tcPr>
            <w:tcW w:w="1491"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638"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568"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567"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c>
          <w:tcPr>
            <w:tcW w:w="728"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5" w:type="dxa"/>
            <w:bottom w:w="0" w:type="dxa"/>
            <w:right w:w="70" w:type="dxa"/>
          </w:tblCellMar>
        </w:tblPrEx>
        <w:trPr>
          <w:trHeight w:val="300" w:hRule="atLeast"/>
        </w:trPr>
        <w:tc>
          <w:tcPr>
            <w:tcW w:w="923" w:type="dxa"/>
            <w:tcBorders>
              <w:top w:val="single" w:color="000000" w:sz="4" w:space="0"/>
              <w:left w:val="single" w:color="000000" w:sz="4" w:space="0"/>
              <w:bottom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w:t>
            </w:r>
            <w:r>
              <w:rPr>
                <w:rFonts w:ascii="Times New Roman" w:hAnsi="Times New Roman" w:eastAsia="Calibri" w:cs="Times New Roman"/>
              </w:rPr>
              <w:t>076</w:t>
            </w:r>
          </w:p>
        </w:tc>
        <w:tc>
          <w:tcPr>
            <w:tcW w:w="2836" w:type="dxa"/>
            <w:tcBorders>
              <w:top w:val="single" w:color="000000" w:sz="4" w:space="0"/>
              <w:left w:val="single" w:color="000000" w:sz="4" w:space="0"/>
              <w:bottom w:val="single" w:color="000000" w:sz="4" w:space="0"/>
            </w:tcBorders>
            <w:shd w:val="clear" w:color="auto" w:fill="FFFFFF"/>
            <w:vAlign w:val="center"/>
          </w:tcPr>
          <w:p>
            <w:pPr>
              <w:ind w:left="0" w:hanging="2"/>
              <w:rPr>
                <w:rFonts w:ascii="Times New Roman" w:hAnsi="Times New Roman" w:eastAsia="Liberation Serif" w:cs="Times New Roman"/>
                <w:color w:val="000000"/>
              </w:rPr>
            </w:pPr>
            <w:r>
              <w:rPr>
                <w:rFonts w:ascii="Times New Roman" w:hAnsi="Times New Roman" w:eastAsia="Calibri" w:cs="Times New Roman"/>
              </w:rPr>
              <w:t>História Medieval</w:t>
            </w:r>
          </w:p>
        </w:tc>
        <w:tc>
          <w:tcPr>
            <w:tcW w:w="1491"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638"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rPr>
              <w:t>90</w:t>
            </w:r>
          </w:p>
        </w:tc>
        <w:tc>
          <w:tcPr>
            <w:tcW w:w="707"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w:t>
            </w:r>
            <w:r>
              <w:rPr>
                <w:rFonts w:ascii="Times New Roman" w:hAnsi="Times New Roman" w:eastAsia="Calibri" w:cs="Times New Roman"/>
              </w:rPr>
              <w:t>08</w:t>
            </w:r>
          </w:p>
        </w:tc>
        <w:tc>
          <w:tcPr>
            <w:tcW w:w="568"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rPr>
              <w:t>4</w:t>
            </w:r>
          </w:p>
        </w:tc>
        <w:tc>
          <w:tcPr>
            <w:tcW w:w="567"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rPr>
              <w:t>2</w:t>
            </w:r>
          </w:p>
        </w:tc>
        <w:tc>
          <w:tcPr>
            <w:tcW w:w="728"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5" w:type="dxa"/>
            <w:bottom w:w="0" w:type="dxa"/>
            <w:right w:w="70" w:type="dxa"/>
          </w:tblCellMar>
        </w:tblPrEx>
        <w:trPr>
          <w:trHeight w:val="300" w:hRule="atLeast"/>
        </w:trPr>
        <w:tc>
          <w:tcPr>
            <w:tcW w:w="923" w:type="dxa"/>
            <w:tcBorders>
              <w:top w:val="single" w:color="000000" w:sz="4" w:space="0"/>
              <w:left w:val="single" w:color="000000" w:sz="4" w:space="0"/>
              <w:bottom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w:t>
            </w:r>
            <w:r>
              <w:rPr>
                <w:rFonts w:ascii="Times New Roman" w:hAnsi="Times New Roman" w:eastAsia="Calibri" w:cs="Times New Roman"/>
              </w:rPr>
              <w:t>077</w:t>
            </w:r>
          </w:p>
        </w:tc>
        <w:tc>
          <w:tcPr>
            <w:tcW w:w="2836" w:type="dxa"/>
            <w:tcBorders>
              <w:top w:val="single" w:color="000000" w:sz="4" w:space="0"/>
              <w:left w:val="single" w:color="000000" w:sz="4" w:space="0"/>
              <w:bottom w:val="single" w:color="000000" w:sz="4" w:space="0"/>
            </w:tcBorders>
            <w:shd w:val="clear" w:color="auto" w:fill="FFFFFF"/>
            <w:vAlign w:val="center"/>
          </w:tcPr>
          <w:p>
            <w:pPr>
              <w:ind w:left="0" w:hanging="2"/>
              <w:rPr>
                <w:rFonts w:ascii="Times New Roman" w:hAnsi="Times New Roman" w:eastAsia="Liberation Serif" w:cs="Times New Roman"/>
                <w:color w:val="000000"/>
              </w:rPr>
            </w:pPr>
            <w:r>
              <w:rPr>
                <w:rFonts w:ascii="Times New Roman" w:hAnsi="Times New Roman" w:eastAsia="Calibri" w:cs="Times New Roman"/>
              </w:rPr>
              <w:t>Teoria da História</w:t>
            </w:r>
          </w:p>
        </w:tc>
        <w:tc>
          <w:tcPr>
            <w:tcW w:w="1491"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638"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568"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567"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c>
          <w:tcPr>
            <w:tcW w:w="728"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5" w:type="dxa"/>
            <w:bottom w:w="0" w:type="dxa"/>
            <w:right w:w="70" w:type="dxa"/>
          </w:tblCellMar>
        </w:tblPrEx>
        <w:trPr>
          <w:trHeight w:val="300" w:hRule="atLeast"/>
        </w:trPr>
        <w:tc>
          <w:tcPr>
            <w:tcW w:w="923" w:type="dxa"/>
            <w:tcBorders>
              <w:top w:val="single" w:color="000000" w:sz="4" w:space="0"/>
              <w:left w:val="single" w:color="000000" w:sz="4" w:space="0"/>
              <w:bottom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HIS07</w:t>
            </w:r>
            <w:r>
              <w:rPr>
                <w:rFonts w:ascii="Times New Roman" w:hAnsi="Times New Roman" w:eastAsia="Calibri" w:cs="Times New Roman"/>
              </w:rPr>
              <w:t>8</w:t>
            </w:r>
          </w:p>
        </w:tc>
        <w:tc>
          <w:tcPr>
            <w:tcW w:w="2836" w:type="dxa"/>
            <w:tcBorders>
              <w:top w:val="single" w:color="000000" w:sz="4" w:space="0"/>
              <w:left w:val="single" w:color="000000" w:sz="4" w:space="0"/>
              <w:bottom w:val="single" w:color="000000" w:sz="4" w:space="0"/>
            </w:tcBorders>
            <w:shd w:val="clear" w:color="auto" w:fill="FFFFFF"/>
            <w:vAlign w:val="center"/>
          </w:tcPr>
          <w:p>
            <w:pPr>
              <w:ind w:left="0" w:hanging="2"/>
              <w:rPr>
                <w:rFonts w:ascii="Times New Roman" w:hAnsi="Times New Roman" w:eastAsia="Liberation Serif" w:cs="Times New Roman"/>
                <w:color w:val="000000"/>
              </w:rPr>
            </w:pPr>
            <w:r>
              <w:rPr>
                <w:rFonts w:ascii="Times New Roman" w:hAnsi="Times New Roman" w:eastAsia="Calibri" w:cs="Times New Roman"/>
              </w:rPr>
              <w:t>História de Minas Gerais</w:t>
            </w:r>
          </w:p>
        </w:tc>
        <w:tc>
          <w:tcPr>
            <w:tcW w:w="1491"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638"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568"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567"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c>
          <w:tcPr>
            <w:tcW w:w="728"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5" w:type="dxa"/>
            <w:bottom w:w="0" w:type="dxa"/>
            <w:right w:w="70" w:type="dxa"/>
          </w:tblCellMar>
        </w:tblPrEx>
        <w:trPr>
          <w:trHeight w:val="315" w:hRule="atLeast"/>
        </w:trPr>
        <w:tc>
          <w:tcPr>
            <w:tcW w:w="92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w:t>
            </w:r>
            <w:r>
              <w:rPr>
                <w:rFonts w:ascii="Times New Roman" w:hAnsi="Times New Roman" w:eastAsia="Calibri" w:cs="Times New Roman"/>
              </w:rPr>
              <w:t>596</w:t>
            </w:r>
          </w:p>
        </w:tc>
        <w:tc>
          <w:tcPr>
            <w:tcW w:w="2836"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r>
              <w:rPr>
                <w:rFonts w:ascii="Times New Roman" w:hAnsi="Times New Roman" w:eastAsia="Calibri" w:cs="Times New Roman"/>
              </w:rPr>
              <w:t>Estágio Supervisionado de História I</w:t>
            </w:r>
          </w:p>
        </w:tc>
        <w:tc>
          <w:tcPr>
            <w:tcW w:w="1491"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638"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rPr>
              <w:t>105</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w:t>
            </w:r>
            <w:r>
              <w:rPr>
                <w:rFonts w:ascii="Times New Roman" w:hAnsi="Times New Roman" w:eastAsia="Calibri" w:cs="Times New Roman"/>
              </w:rPr>
              <w:t>26</w:t>
            </w:r>
          </w:p>
        </w:tc>
        <w:tc>
          <w:tcPr>
            <w:tcW w:w="568"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rPr>
              <w:t>2</w:t>
            </w:r>
          </w:p>
        </w:tc>
        <w:tc>
          <w:tcPr>
            <w:tcW w:w="56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rPr>
              <w:t>5</w:t>
            </w:r>
          </w:p>
        </w:tc>
        <w:tc>
          <w:tcPr>
            <w:tcW w:w="728"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5" w:type="dxa"/>
            <w:bottom w:w="0" w:type="dxa"/>
            <w:right w:w="70" w:type="dxa"/>
          </w:tblCellMar>
        </w:tblPrEx>
        <w:trPr>
          <w:trHeight w:val="345" w:hRule="atLeast"/>
        </w:trPr>
        <w:tc>
          <w:tcPr>
            <w:tcW w:w="923" w:type="dxa"/>
            <w:tcBorders>
              <w:top w:val="single" w:color="000000" w:sz="4" w:space="0"/>
              <w:left w:val="single" w:color="000000" w:sz="4" w:space="0"/>
              <w:bottom w:val="single" w:color="000000" w:sz="4" w:space="0"/>
            </w:tcBorders>
            <w:shd w:val="clear" w:color="auto" w:fill="auto"/>
            <w:vAlign w:val="center"/>
          </w:tcPr>
          <w:p>
            <w:pPr>
              <w:ind w:left="0" w:hanging="2"/>
              <w:jc w:val="center"/>
              <w:rPr>
                <w:rFonts w:ascii="Times New Roman" w:hAnsi="Times New Roman" w:eastAsia="Liberation Serif" w:cs="Times New Roman"/>
                <w:color w:val="000000"/>
              </w:rPr>
            </w:pPr>
            <w:r>
              <w:rPr>
                <w:rFonts w:ascii="Times New Roman" w:hAnsi="Times New Roman" w:eastAsia="Calibri" w:cs="Times New Roman"/>
              </w:rPr>
              <w:t>EDU253</w:t>
            </w:r>
          </w:p>
        </w:tc>
        <w:tc>
          <w:tcPr>
            <w:tcW w:w="2836" w:type="dxa"/>
            <w:tcBorders>
              <w:top w:val="single" w:color="000000" w:sz="4" w:space="0"/>
              <w:left w:val="single" w:color="000000" w:sz="4" w:space="0"/>
              <w:bottom w:val="single" w:color="000000" w:sz="4" w:space="0"/>
            </w:tcBorders>
            <w:shd w:val="clear" w:color="auto" w:fill="FFFFFF"/>
            <w:vAlign w:val="center"/>
          </w:tcPr>
          <w:p>
            <w:pPr>
              <w:ind w:left="0" w:hanging="2"/>
              <w:rPr>
                <w:rFonts w:ascii="Times New Roman" w:hAnsi="Times New Roman" w:eastAsia="Liberation Serif" w:cs="Times New Roman"/>
                <w:color w:val="000000"/>
              </w:rPr>
            </w:pPr>
            <w:r>
              <w:rPr>
                <w:rFonts w:ascii="Times New Roman" w:hAnsi="Times New Roman" w:eastAsia="Calibri" w:cs="Times New Roman"/>
              </w:rPr>
              <w:t>Estudos Sociológicos sobre Educação</w:t>
            </w:r>
          </w:p>
        </w:tc>
        <w:tc>
          <w:tcPr>
            <w:tcW w:w="1491"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p>
        </w:tc>
        <w:tc>
          <w:tcPr>
            <w:tcW w:w="638"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rPr>
              <w:t>60</w:t>
            </w:r>
          </w:p>
        </w:tc>
        <w:tc>
          <w:tcPr>
            <w:tcW w:w="707"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rPr>
              <w:t>72</w:t>
            </w:r>
          </w:p>
        </w:tc>
        <w:tc>
          <w:tcPr>
            <w:tcW w:w="568"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rPr>
              <w:t>4</w:t>
            </w:r>
          </w:p>
        </w:tc>
        <w:tc>
          <w:tcPr>
            <w:tcW w:w="567"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rPr>
              <w:t>0</w:t>
            </w:r>
          </w:p>
        </w:tc>
        <w:tc>
          <w:tcPr>
            <w:tcW w:w="728"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5" w:type="dxa"/>
            <w:bottom w:w="0" w:type="dxa"/>
            <w:right w:w="70" w:type="dxa"/>
          </w:tblCellMar>
        </w:tblPrEx>
        <w:trPr>
          <w:trHeight w:val="300" w:hRule="atLeast"/>
        </w:trPr>
        <w:tc>
          <w:tcPr>
            <w:tcW w:w="923" w:type="dxa"/>
            <w:tcBorders>
              <w:top w:val="single" w:color="000000" w:sz="4" w:space="0"/>
              <w:left w:val="single" w:color="000000" w:sz="4" w:space="0"/>
              <w:bottom w:val="single" w:color="000000" w:sz="4" w:space="0"/>
            </w:tcBorders>
            <w:shd w:val="clear" w:color="auto" w:fill="auto"/>
            <w:vAlign w:val="center"/>
          </w:tcPr>
          <w:p>
            <w:pPr>
              <w:ind w:left="0" w:hanging="2"/>
              <w:jc w:val="center"/>
              <w:rPr>
                <w:rFonts w:ascii="Times New Roman" w:hAnsi="Times New Roman" w:eastAsia="Liberation Serif" w:cs="Times New Roman"/>
                <w:color w:val="000000"/>
              </w:rPr>
            </w:pPr>
            <w:r>
              <w:rPr>
                <w:rFonts w:ascii="Times New Roman" w:hAnsi="Times New Roman" w:eastAsia="Calibri" w:cs="Times New Roman"/>
              </w:rPr>
              <w:t>EDU256</w:t>
            </w:r>
          </w:p>
        </w:tc>
        <w:tc>
          <w:tcPr>
            <w:tcW w:w="2836" w:type="dxa"/>
            <w:tcBorders>
              <w:top w:val="single" w:color="000000" w:sz="4" w:space="0"/>
              <w:left w:val="single" w:color="000000" w:sz="4" w:space="0"/>
              <w:bottom w:val="single" w:color="000000" w:sz="4" w:space="0"/>
            </w:tcBorders>
            <w:shd w:val="clear" w:color="auto" w:fill="FFFFFF"/>
            <w:vAlign w:val="center"/>
          </w:tcPr>
          <w:p>
            <w:pPr>
              <w:ind w:left="0" w:hanging="2"/>
              <w:rPr>
                <w:rFonts w:ascii="Times New Roman" w:hAnsi="Times New Roman" w:eastAsia="Liberation Serif" w:cs="Times New Roman"/>
                <w:color w:val="000000"/>
              </w:rPr>
            </w:pPr>
            <w:r>
              <w:rPr>
                <w:rFonts w:ascii="Times New Roman" w:hAnsi="Times New Roman" w:eastAsia="Calibri" w:cs="Times New Roman"/>
              </w:rPr>
              <w:t>Psicologia da Educação</w:t>
            </w:r>
          </w:p>
        </w:tc>
        <w:tc>
          <w:tcPr>
            <w:tcW w:w="1491"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638"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72</w:t>
            </w:r>
          </w:p>
        </w:tc>
        <w:tc>
          <w:tcPr>
            <w:tcW w:w="568"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56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c>
          <w:tcPr>
            <w:tcW w:w="728"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5" w:type="dxa"/>
            <w:bottom w:w="0" w:type="dxa"/>
            <w:right w:w="70" w:type="dxa"/>
          </w:tblCellMar>
        </w:tblPrEx>
        <w:trPr>
          <w:trHeight w:val="300" w:hRule="atLeast"/>
        </w:trPr>
        <w:tc>
          <w:tcPr>
            <w:tcW w:w="923" w:type="dxa"/>
            <w:tcBorders>
              <w:top w:val="single" w:color="000000" w:sz="4" w:space="0"/>
              <w:left w:val="single" w:color="000000" w:sz="4" w:space="0"/>
              <w:bottom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Calibri" w:cs="Times New Roman"/>
                <w:color w:val="000000"/>
              </w:rPr>
            </w:pPr>
            <w:r>
              <w:rPr>
                <w:rFonts w:ascii="Times New Roman" w:hAnsi="Times New Roman" w:eastAsia="Calibri" w:cs="Times New Roman"/>
              </w:rPr>
              <w:t>HIS597</w:t>
            </w:r>
          </w:p>
        </w:tc>
        <w:tc>
          <w:tcPr>
            <w:tcW w:w="2836" w:type="dxa"/>
            <w:tcBorders>
              <w:top w:val="single" w:color="000000" w:sz="4" w:space="0"/>
              <w:left w:val="single" w:color="000000" w:sz="4" w:space="0"/>
              <w:bottom w:val="single" w:color="000000" w:sz="4" w:space="0"/>
            </w:tcBorders>
            <w:shd w:val="clear" w:color="auto" w:fill="FFFFFF"/>
            <w:vAlign w:val="center"/>
          </w:tcPr>
          <w:p>
            <w:pPr>
              <w:ind w:left="0" w:hanging="2"/>
              <w:rPr>
                <w:rFonts w:ascii="Times New Roman" w:hAnsi="Times New Roman" w:eastAsia="Liberation Serif" w:cs="Times New Roman"/>
                <w:color w:val="000000"/>
              </w:rPr>
            </w:pPr>
            <w:r>
              <w:rPr>
                <w:rFonts w:ascii="Times New Roman" w:hAnsi="Times New Roman" w:eastAsia="Calibri" w:cs="Times New Roman"/>
              </w:rPr>
              <w:t>Estágio Supervisionado de História II</w:t>
            </w:r>
          </w:p>
        </w:tc>
        <w:tc>
          <w:tcPr>
            <w:tcW w:w="1491" w:type="dxa"/>
            <w:tcBorders>
              <w:top w:val="single" w:color="000000" w:sz="4" w:space="0"/>
              <w:left w:val="single" w:color="000000" w:sz="4" w:space="0"/>
              <w:bottom w:val="single" w:color="000000" w:sz="4" w:space="0"/>
            </w:tcBorders>
            <w:vAlign w:val="center"/>
          </w:tcPr>
          <w:p>
            <w:pPr>
              <w:ind w:left="0" w:hanging="2"/>
              <w:rPr>
                <w:rFonts w:ascii="Times New Roman" w:hAnsi="Times New Roman" w:eastAsia="Calibri" w:cs="Times New Roman"/>
                <w:color w:val="000000"/>
              </w:rPr>
            </w:pPr>
            <w:r>
              <w:rPr>
                <w:rFonts w:ascii="Times New Roman" w:hAnsi="Times New Roman" w:eastAsia="Calibri" w:cs="Times New Roman"/>
              </w:rPr>
              <w:t>Estágio Supervisionado de História I - HIS596</w:t>
            </w:r>
          </w:p>
        </w:tc>
        <w:tc>
          <w:tcPr>
            <w:tcW w:w="638"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rPr>
              <w:t>105</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rPr>
              <w:t>126</w:t>
            </w:r>
          </w:p>
        </w:tc>
        <w:tc>
          <w:tcPr>
            <w:tcW w:w="568"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rPr>
              <w:t>2</w:t>
            </w:r>
          </w:p>
        </w:tc>
        <w:tc>
          <w:tcPr>
            <w:tcW w:w="56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rPr>
              <w:t>5</w:t>
            </w:r>
          </w:p>
        </w:tc>
        <w:tc>
          <w:tcPr>
            <w:tcW w:w="728"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5" w:type="dxa"/>
            <w:bottom w:w="0" w:type="dxa"/>
            <w:right w:w="70" w:type="dxa"/>
          </w:tblCellMar>
        </w:tblPrEx>
        <w:trPr>
          <w:trHeight w:val="300" w:hRule="atLeast"/>
        </w:trPr>
        <w:tc>
          <w:tcPr>
            <w:tcW w:w="923" w:type="dxa"/>
            <w:tcBorders>
              <w:left w:val="single" w:color="000000" w:sz="4" w:space="0"/>
              <w:bottom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EDU</w:t>
            </w:r>
            <w:r>
              <w:rPr>
                <w:rFonts w:ascii="Times New Roman" w:hAnsi="Times New Roman" w:eastAsia="Calibri" w:cs="Times New Roman"/>
              </w:rPr>
              <w:t>254</w:t>
            </w:r>
          </w:p>
        </w:tc>
        <w:tc>
          <w:tcPr>
            <w:tcW w:w="2836" w:type="dxa"/>
            <w:tcBorders>
              <w:left w:val="single" w:color="000000" w:sz="4" w:space="0"/>
              <w:bottom w:val="single" w:color="000000" w:sz="4" w:space="0"/>
            </w:tcBorders>
            <w:shd w:val="clear" w:color="auto" w:fill="FFFFFF"/>
            <w:vAlign w:val="center"/>
          </w:tcPr>
          <w:p>
            <w:pPr>
              <w:ind w:left="0" w:hanging="2"/>
              <w:rPr>
                <w:rFonts w:ascii="Times New Roman" w:hAnsi="Times New Roman" w:eastAsia="Liberation Serif" w:cs="Times New Roman"/>
                <w:color w:val="000000"/>
              </w:rPr>
            </w:pPr>
            <w:r>
              <w:rPr>
                <w:rFonts w:ascii="Times New Roman" w:hAnsi="Times New Roman" w:eastAsia="Calibri" w:cs="Times New Roman"/>
              </w:rPr>
              <w:t>Política e Gestão Educacional</w:t>
            </w:r>
          </w:p>
        </w:tc>
        <w:tc>
          <w:tcPr>
            <w:tcW w:w="1491" w:type="dxa"/>
            <w:tcBorders>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638" w:type="dxa"/>
            <w:tcBorders>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w:t>
            </w:r>
          </w:p>
        </w:tc>
        <w:tc>
          <w:tcPr>
            <w:tcW w:w="707" w:type="dxa"/>
            <w:tcBorders>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72</w:t>
            </w:r>
          </w:p>
        </w:tc>
        <w:tc>
          <w:tcPr>
            <w:tcW w:w="568" w:type="dxa"/>
            <w:tcBorders>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567" w:type="dxa"/>
            <w:tcBorders>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c>
          <w:tcPr>
            <w:tcW w:w="728" w:type="dxa"/>
            <w:tcBorders>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5" w:type="dxa"/>
            <w:bottom w:w="0" w:type="dxa"/>
            <w:right w:w="70" w:type="dxa"/>
          </w:tblCellMar>
        </w:tblPrEx>
        <w:trPr>
          <w:trHeight w:val="375" w:hRule="atLeast"/>
        </w:trPr>
        <w:tc>
          <w:tcPr>
            <w:tcW w:w="923" w:type="dxa"/>
            <w:tcBorders>
              <w:top w:val="single" w:color="000000" w:sz="4" w:space="0"/>
              <w:left w:val="single" w:color="000000" w:sz="4" w:space="0"/>
              <w:bottom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HIS598</w:t>
            </w:r>
          </w:p>
        </w:tc>
        <w:tc>
          <w:tcPr>
            <w:tcW w:w="2836"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Estágio Supervisionado de História III</w:t>
            </w:r>
          </w:p>
        </w:tc>
        <w:tc>
          <w:tcPr>
            <w:tcW w:w="1491"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Estágio Supervisionado de História II - HIS597</w:t>
            </w:r>
          </w:p>
        </w:tc>
        <w:tc>
          <w:tcPr>
            <w:tcW w:w="638"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105</w:t>
            </w:r>
          </w:p>
        </w:tc>
        <w:tc>
          <w:tcPr>
            <w:tcW w:w="707"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126</w:t>
            </w:r>
          </w:p>
        </w:tc>
        <w:tc>
          <w:tcPr>
            <w:tcW w:w="568"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c>
          <w:tcPr>
            <w:tcW w:w="567"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5</w:t>
            </w:r>
          </w:p>
        </w:tc>
        <w:tc>
          <w:tcPr>
            <w:tcW w:w="728"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5" w:type="dxa"/>
            <w:bottom w:w="0" w:type="dxa"/>
            <w:right w:w="70" w:type="dxa"/>
          </w:tblCellMar>
        </w:tblPrEx>
        <w:trPr>
          <w:trHeight w:val="300" w:hRule="atLeast"/>
        </w:trPr>
        <w:tc>
          <w:tcPr>
            <w:tcW w:w="923" w:type="dxa"/>
            <w:tcBorders>
              <w:top w:val="single" w:color="000000" w:sz="4" w:space="0"/>
              <w:left w:val="single" w:color="000000" w:sz="4" w:space="0"/>
              <w:bottom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Calibri" w:cs="Times New Roman"/>
                <w:color w:val="000000"/>
              </w:rPr>
            </w:pPr>
            <w:r>
              <w:rPr>
                <w:rFonts w:ascii="Times New Roman" w:hAnsi="Times New Roman" w:eastAsia="Calibri" w:cs="Times New Roman"/>
              </w:rPr>
              <w:t>MIF002</w:t>
            </w:r>
          </w:p>
        </w:tc>
        <w:tc>
          <w:tcPr>
            <w:tcW w:w="2836" w:type="dxa"/>
            <w:tcBorders>
              <w:top w:val="single" w:color="000000" w:sz="4" w:space="0"/>
              <w:left w:val="single" w:color="000000" w:sz="4" w:space="0"/>
              <w:bottom w:val="single" w:color="000000" w:sz="4" w:space="0"/>
            </w:tcBorders>
            <w:shd w:val="clear" w:color="auto" w:fill="FFFFFF"/>
            <w:vAlign w:val="center"/>
          </w:tcPr>
          <w:p>
            <w:pPr>
              <w:ind w:left="0" w:hanging="2"/>
              <w:rPr>
                <w:rFonts w:ascii="Times New Roman" w:hAnsi="Times New Roman" w:eastAsia="Liberation Serif" w:cs="Times New Roman"/>
                <w:color w:val="000000"/>
              </w:rPr>
            </w:pPr>
            <w:r>
              <w:rPr>
                <w:rFonts w:ascii="Times New Roman" w:hAnsi="Times New Roman" w:eastAsia="Calibri" w:cs="Times New Roman"/>
              </w:rPr>
              <w:t>Módulo Interdisciplinar de Formação II</w:t>
            </w:r>
          </w:p>
        </w:tc>
        <w:tc>
          <w:tcPr>
            <w:tcW w:w="1491"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638"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rPr>
              <w:t>30</w:t>
            </w:r>
          </w:p>
        </w:tc>
        <w:tc>
          <w:tcPr>
            <w:tcW w:w="707"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rPr>
              <w:t>36</w:t>
            </w:r>
          </w:p>
        </w:tc>
        <w:tc>
          <w:tcPr>
            <w:tcW w:w="568"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rPr>
              <w:t>1</w:t>
            </w:r>
          </w:p>
        </w:tc>
        <w:tc>
          <w:tcPr>
            <w:tcW w:w="567"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rPr>
              <w:t>1</w:t>
            </w:r>
          </w:p>
        </w:tc>
        <w:tc>
          <w:tcPr>
            <w:tcW w:w="728"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5" w:type="dxa"/>
            <w:bottom w:w="0" w:type="dxa"/>
            <w:right w:w="70" w:type="dxa"/>
          </w:tblCellMar>
        </w:tblPrEx>
        <w:trPr>
          <w:trHeight w:val="360" w:hRule="atLeast"/>
        </w:trPr>
        <w:tc>
          <w:tcPr>
            <w:tcW w:w="923" w:type="dxa"/>
            <w:tcBorders>
              <w:top w:val="single" w:color="000000" w:sz="4" w:space="0"/>
              <w:left w:val="single" w:color="000000" w:sz="4" w:space="0"/>
              <w:bottom w:val="single" w:color="000000" w:sz="4" w:space="0"/>
            </w:tcBorders>
            <w:shd w:val="clear" w:color="auto" w:fill="auto"/>
            <w:vAlign w:val="center"/>
          </w:tcPr>
          <w:p>
            <w:pPr>
              <w:ind w:left="0" w:hanging="2"/>
              <w:jc w:val="center"/>
              <w:rPr>
                <w:rFonts w:ascii="Times New Roman" w:hAnsi="Times New Roman" w:eastAsia="Liberation Serif" w:cs="Times New Roman"/>
                <w:color w:val="000000"/>
              </w:rPr>
            </w:pPr>
            <w:r>
              <w:rPr>
                <w:rFonts w:ascii="Times New Roman" w:hAnsi="Times New Roman" w:eastAsia="Calibri" w:cs="Times New Roman"/>
              </w:rPr>
              <w:t>HIS082</w:t>
            </w:r>
          </w:p>
        </w:tc>
        <w:tc>
          <w:tcPr>
            <w:tcW w:w="2836" w:type="dxa"/>
            <w:tcBorders>
              <w:top w:val="single" w:color="000000" w:sz="4" w:space="0"/>
              <w:left w:val="single" w:color="000000" w:sz="4" w:space="0"/>
              <w:bottom w:val="single" w:color="000000" w:sz="4" w:space="0"/>
            </w:tcBorders>
            <w:shd w:val="clear" w:color="auto" w:fill="FFFFFF"/>
            <w:vAlign w:val="center"/>
          </w:tcPr>
          <w:p>
            <w:pPr>
              <w:ind w:left="0" w:hanging="2"/>
              <w:rPr>
                <w:rFonts w:ascii="Times New Roman" w:hAnsi="Times New Roman" w:eastAsia="Liberation Serif" w:cs="Times New Roman"/>
                <w:color w:val="000000"/>
              </w:rPr>
            </w:pPr>
            <w:r>
              <w:rPr>
                <w:rFonts w:ascii="Times New Roman" w:hAnsi="Times New Roman" w:eastAsia="Calibri" w:cs="Times New Roman"/>
              </w:rPr>
              <w:t>Trabalho de Conclusão de Curso I</w:t>
            </w:r>
          </w:p>
        </w:tc>
        <w:tc>
          <w:tcPr>
            <w:tcW w:w="1491"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p>
        </w:tc>
        <w:tc>
          <w:tcPr>
            <w:tcW w:w="638"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rPr>
              <w:t>90</w:t>
            </w:r>
          </w:p>
        </w:tc>
        <w:tc>
          <w:tcPr>
            <w:tcW w:w="707"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w:t>
            </w:r>
            <w:r>
              <w:rPr>
                <w:rFonts w:ascii="Times New Roman" w:hAnsi="Times New Roman" w:eastAsia="Calibri" w:cs="Times New Roman"/>
              </w:rPr>
              <w:t>08</w:t>
            </w:r>
          </w:p>
        </w:tc>
        <w:tc>
          <w:tcPr>
            <w:tcW w:w="568"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rPr>
              <w:t>0</w:t>
            </w:r>
          </w:p>
        </w:tc>
        <w:tc>
          <w:tcPr>
            <w:tcW w:w="567"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rPr>
              <w:t>6</w:t>
            </w:r>
          </w:p>
        </w:tc>
        <w:tc>
          <w:tcPr>
            <w:tcW w:w="728"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5" w:type="dxa"/>
            <w:bottom w:w="0" w:type="dxa"/>
            <w:right w:w="70" w:type="dxa"/>
          </w:tblCellMar>
        </w:tblPrEx>
        <w:trPr>
          <w:trHeight w:val="300" w:hRule="atLeast"/>
        </w:trPr>
        <w:tc>
          <w:tcPr>
            <w:tcW w:w="923" w:type="dxa"/>
            <w:tcBorders>
              <w:top w:val="single" w:color="000000" w:sz="4" w:space="0"/>
              <w:left w:val="single" w:color="000000" w:sz="4" w:space="0"/>
              <w:bottom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rPr>
              <w:t>HIS599</w:t>
            </w:r>
          </w:p>
        </w:tc>
        <w:tc>
          <w:tcPr>
            <w:tcW w:w="2836"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r>
              <w:rPr>
                <w:rFonts w:ascii="Times New Roman" w:hAnsi="Times New Roman" w:eastAsia="Calibri" w:cs="Times New Roman"/>
              </w:rPr>
              <w:t>Estágio Supervisionado de História IV</w:t>
            </w:r>
          </w:p>
        </w:tc>
        <w:tc>
          <w:tcPr>
            <w:tcW w:w="1491" w:type="dxa"/>
            <w:tcBorders>
              <w:top w:val="single" w:color="000000" w:sz="4" w:space="0"/>
              <w:left w:val="single" w:color="000000" w:sz="4" w:space="0"/>
              <w:bottom w:val="single" w:color="000000" w:sz="4" w:space="0"/>
            </w:tcBorders>
            <w:shd w:val="clear" w:color="auto" w:fill="FFFFFF"/>
            <w:vAlign w:val="center"/>
          </w:tcPr>
          <w:p>
            <w:pPr>
              <w:ind w:left="0" w:hanging="2"/>
              <w:rPr>
                <w:rFonts w:ascii="Times New Roman" w:hAnsi="Times New Roman" w:cs="Times New Roman"/>
              </w:rPr>
            </w:pPr>
            <w:r>
              <w:rPr>
                <w:rFonts w:ascii="Times New Roman" w:hAnsi="Times New Roman" w:eastAsia="Calibri" w:cs="Times New Roman"/>
              </w:rPr>
              <w:t>Estágio Supervisionado de História III -</w:t>
            </w:r>
          </w:p>
          <w:p>
            <w:pPr>
              <w:ind w:left="0" w:hanging="2"/>
              <w:rPr>
                <w:rFonts w:ascii="Times New Roman" w:hAnsi="Times New Roman" w:eastAsia="Calibri" w:cs="Times New Roman"/>
              </w:rPr>
            </w:pPr>
            <w:r>
              <w:rPr>
                <w:rFonts w:ascii="Times New Roman" w:hAnsi="Times New Roman" w:eastAsia="Calibri" w:cs="Times New Roman"/>
              </w:rPr>
              <w:t>HIS598</w:t>
            </w:r>
          </w:p>
        </w:tc>
        <w:tc>
          <w:tcPr>
            <w:tcW w:w="638"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rPr>
              <w:t>105</w:t>
            </w:r>
          </w:p>
        </w:tc>
        <w:tc>
          <w:tcPr>
            <w:tcW w:w="707"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rPr>
              <w:t>126</w:t>
            </w:r>
          </w:p>
        </w:tc>
        <w:tc>
          <w:tcPr>
            <w:tcW w:w="568"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c>
          <w:tcPr>
            <w:tcW w:w="567" w:type="dxa"/>
            <w:tcBorders>
              <w:top w:val="single" w:color="000000" w:sz="4" w:space="0"/>
              <w:left w:val="single" w:color="000000" w:sz="4" w:space="0"/>
              <w:bottom w:val="single" w:color="000000" w:sz="4" w:space="0"/>
            </w:tcBorders>
            <w:shd w:val="clear" w:color="auto" w:fill="FFFFFF"/>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rPr>
              <w:t>5</w:t>
            </w:r>
          </w:p>
        </w:tc>
        <w:tc>
          <w:tcPr>
            <w:tcW w:w="728"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5" w:type="dxa"/>
            <w:bottom w:w="0" w:type="dxa"/>
            <w:right w:w="70" w:type="dxa"/>
          </w:tblCellMar>
        </w:tblPrEx>
        <w:trPr>
          <w:trHeight w:val="315" w:hRule="atLeast"/>
        </w:trPr>
        <w:tc>
          <w:tcPr>
            <w:tcW w:w="923" w:type="dxa"/>
            <w:tcBorders>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rPr>
              <w:t>LET966</w:t>
            </w:r>
          </w:p>
        </w:tc>
        <w:tc>
          <w:tcPr>
            <w:tcW w:w="2836" w:type="dxa"/>
            <w:tcBorders>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rPr>
              <w:t>Introdução a Libras</w:t>
            </w:r>
          </w:p>
        </w:tc>
        <w:tc>
          <w:tcPr>
            <w:tcW w:w="1491" w:type="dxa"/>
            <w:tcBorders>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638" w:type="dxa"/>
            <w:tcBorders>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rPr>
              <w:t>60</w:t>
            </w:r>
          </w:p>
        </w:tc>
        <w:tc>
          <w:tcPr>
            <w:tcW w:w="707" w:type="dxa"/>
            <w:tcBorders>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rPr>
              <w:t>72</w:t>
            </w:r>
          </w:p>
        </w:tc>
        <w:tc>
          <w:tcPr>
            <w:tcW w:w="568" w:type="dxa"/>
            <w:tcBorders>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rPr>
              <w:t>2</w:t>
            </w:r>
          </w:p>
        </w:tc>
        <w:tc>
          <w:tcPr>
            <w:tcW w:w="567" w:type="dxa"/>
            <w:tcBorders>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rPr>
              <w:t>2</w:t>
            </w:r>
          </w:p>
        </w:tc>
        <w:tc>
          <w:tcPr>
            <w:tcW w:w="728" w:type="dxa"/>
            <w:tcBorders>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5" w:type="dxa"/>
            <w:bottom w:w="0" w:type="dxa"/>
            <w:right w:w="70" w:type="dxa"/>
          </w:tblCellMar>
        </w:tblPrEx>
        <w:trPr>
          <w:trHeight w:val="315" w:hRule="atLeast"/>
        </w:trPr>
        <w:tc>
          <w:tcPr>
            <w:tcW w:w="923" w:type="dxa"/>
            <w:tcBorders>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rPr>
              <w:t>HIS083</w:t>
            </w:r>
          </w:p>
        </w:tc>
        <w:tc>
          <w:tcPr>
            <w:tcW w:w="2836" w:type="dxa"/>
            <w:tcBorders>
              <w:top w:val="single" w:color="000000" w:sz="4" w:space="0"/>
              <w:left w:val="single" w:color="000000" w:sz="4" w:space="0"/>
              <w:bottom w:val="single" w:color="000000" w:sz="4" w:space="0"/>
            </w:tcBorders>
            <w:vAlign w:val="center"/>
          </w:tcPr>
          <w:p>
            <w:pPr>
              <w:ind w:left="0" w:hanging="2"/>
              <w:rPr>
                <w:rFonts w:ascii="Times New Roman" w:hAnsi="Times New Roman" w:cs="Times New Roman"/>
              </w:rPr>
            </w:pPr>
            <w:r>
              <w:rPr>
                <w:rFonts w:ascii="Times New Roman" w:hAnsi="Times New Roman" w:eastAsia="Calibri" w:cs="Times New Roman"/>
              </w:rPr>
              <w:t>Trabalho de Conclusão de Curso II</w:t>
            </w:r>
          </w:p>
        </w:tc>
        <w:tc>
          <w:tcPr>
            <w:tcW w:w="1491" w:type="dxa"/>
            <w:tcBorders>
              <w:left w:val="single" w:color="000000" w:sz="4" w:space="0"/>
              <w:bottom w:val="single" w:color="000000" w:sz="4" w:space="0"/>
            </w:tcBorders>
            <w:vAlign w:val="center"/>
          </w:tcPr>
          <w:p>
            <w:pPr>
              <w:ind w:left="0" w:hanging="2"/>
              <w:rPr>
                <w:rFonts w:ascii="Times New Roman" w:hAnsi="Times New Roman" w:eastAsia="Calibri" w:cs="Times New Roman"/>
                <w:color w:val="000000"/>
              </w:rPr>
            </w:pPr>
            <w:r>
              <w:rPr>
                <w:rFonts w:ascii="Times New Roman" w:hAnsi="Times New Roman" w:eastAsia="Calibri" w:cs="Times New Roman"/>
              </w:rPr>
              <w:t>Trabalho de Conclusão de Curso I - HIS082</w:t>
            </w:r>
          </w:p>
        </w:tc>
        <w:tc>
          <w:tcPr>
            <w:tcW w:w="638" w:type="dxa"/>
            <w:tcBorders>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rPr>
              <w:t>90</w:t>
            </w:r>
          </w:p>
        </w:tc>
        <w:tc>
          <w:tcPr>
            <w:tcW w:w="707" w:type="dxa"/>
            <w:tcBorders>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rPr>
              <w:t>108</w:t>
            </w:r>
          </w:p>
        </w:tc>
        <w:tc>
          <w:tcPr>
            <w:tcW w:w="568" w:type="dxa"/>
            <w:tcBorders>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rPr>
              <w:t>0</w:t>
            </w:r>
          </w:p>
        </w:tc>
        <w:tc>
          <w:tcPr>
            <w:tcW w:w="567" w:type="dxa"/>
            <w:tcBorders>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rPr>
              <w:t>6</w:t>
            </w:r>
          </w:p>
        </w:tc>
        <w:tc>
          <w:tcPr>
            <w:tcW w:w="728" w:type="dxa"/>
            <w:tcBorders>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5" w:type="dxa"/>
            <w:bottom w:w="0" w:type="dxa"/>
            <w:right w:w="70" w:type="dxa"/>
          </w:tblCellMar>
        </w:tblPrEx>
        <w:trPr>
          <w:trHeight w:val="300" w:hRule="atLeast"/>
        </w:trPr>
        <w:tc>
          <w:tcPr>
            <w:tcW w:w="92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rPr>
              <w:t>MIF003</w:t>
            </w:r>
          </w:p>
        </w:tc>
        <w:tc>
          <w:tcPr>
            <w:tcW w:w="2836"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r>
              <w:rPr>
                <w:rFonts w:ascii="Times New Roman" w:hAnsi="Times New Roman" w:eastAsia="Calibri" w:cs="Times New Roman"/>
              </w:rPr>
              <w:t>Módulo Interdisciplinar de Formação III</w:t>
            </w:r>
          </w:p>
        </w:tc>
        <w:tc>
          <w:tcPr>
            <w:tcW w:w="1491"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p>
        </w:tc>
        <w:tc>
          <w:tcPr>
            <w:tcW w:w="638"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rPr>
              <w:t>30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rPr>
              <w:t>36</w:t>
            </w:r>
          </w:p>
        </w:tc>
        <w:tc>
          <w:tcPr>
            <w:tcW w:w="568"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rPr>
              <w:t>1</w:t>
            </w:r>
          </w:p>
        </w:tc>
        <w:tc>
          <w:tcPr>
            <w:tcW w:w="56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rPr>
              <w:t>1</w:t>
            </w:r>
          </w:p>
        </w:tc>
        <w:tc>
          <w:tcPr>
            <w:tcW w:w="728"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8</w:t>
            </w:r>
          </w:p>
        </w:tc>
      </w:tr>
    </w:tbl>
    <w:p>
      <w:pPr>
        <w:ind w:left="0" w:hanging="2"/>
        <w:rPr>
          <w:rFonts w:ascii="Times New Roman" w:hAnsi="Times New Roman" w:eastAsia="Calibri" w:cs="Times New Roman"/>
        </w:rPr>
      </w:pPr>
    </w:p>
    <w:p>
      <w:pPr>
        <w:ind w:left="0" w:hanging="2"/>
        <w:rPr>
          <w:rFonts w:ascii="Times New Roman" w:hAnsi="Times New Roman" w:eastAsia="Calibri" w:cs="Times New Roman"/>
        </w:rPr>
      </w:pPr>
    </w:p>
    <w:p>
      <w:pPr>
        <w:ind w:left="0" w:hanging="2"/>
        <w:rPr>
          <w:rFonts w:ascii="Times New Roman" w:hAnsi="Times New Roman" w:eastAsia="Calibri" w:cs="Times New Roman"/>
        </w:rPr>
      </w:pPr>
    </w:p>
    <w:tbl>
      <w:tblPr>
        <w:tblStyle w:val="476"/>
        <w:tblW w:w="8639" w:type="dxa"/>
        <w:tblInd w:w="187" w:type="dxa"/>
        <w:tblLayout w:type="fixed"/>
        <w:tblCellMar>
          <w:top w:w="0" w:type="dxa"/>
          <w:left w:w="65" w:type="dxa"/>
          <w:bottom w:w="0" w:type="dxa"/>
          <w:right w:w="70" w:type="dxa"/>
        </w:tblCellMar>
      </w:tblPr>
      <w:tblGrid>
        <w:gridCol w:w="1132"/>
        <w:gridCol w:w="3187"/>
        <w:gridCol w:w="1264"/>
        <w:gridCol w:w="707"/>
        <w:gridCol w:w="707"/>
        <w:gridCol w:w="773"/>
        <w:gridCol w:w="869"/>
      </w:tblGrid>
      <w:tr>
        <w:tblPrEx>
          <w:tblCellMar>
            <w:top w:w="0" w:type="dxa"/>
            <w:left w:w="65" w:type="dxa"/>
            <w:bottom w:w="0" w:type="dxa"/>
            <w:right w:w="70" w:type="dxa"/>
          </w:tblCellMar>
        </w:tblPrEx>
        <w:trPr>
          <w:trHeight w:val="300" w:hRule="atLeast"/>
        </w:trPr>
        <w:tc>
          <w:tcPr>
            <w:tcW w:w="8639" w:type="dxa"/>
            <w:gridSpan w:val="7"/>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b/>
                <w:color w:val="000000"/>
              </w:rPr>
              <w:t>Tabela 08 - Disciplinas eletivas</w:t>
            </w:r>
          </w:p>
        </w:tc>
      </w:tr>
      <w:tr>
        <w:tblPrEx>
          <w:tblCellMar>
            <w:top w:w="0" w:type="dxa"/>
            <w:left w:w="65" w:type="dxa"/>
            <w:bottom w:w="0" w:type="dxa"/>
            <w:right w:w="70" w:type="dxa"/>
          </w:tblCellMar>
        </w:tblPrEx>
        <w:trPr>
          <w:cantSplit/>
          <w:trHeight w:val="300" w:hRule="atLeast"/>
        </w:trPr>
        <w:tc>
          <w:tcPr>
            <w:tcW w:w="1132" w:type="dxa"/>
            <w:vMerge w:val="restart"/>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CÓDIGO</w:t>
            </w:r>
          </w:p>
        </w:tc>
        <w:tc>
          <w:tcPr>
            <w:tcW w:w="3187" w:type="dxa"/>
            <w:vMerge w:val="restart"/>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DISCIPLINAS ELETIVAS</w:t>
            </w:r>
          </w:p>
        </w:tc>
        <w:tc>
          <w:tcPr>
            <w:tcW w:w="1264" w:type="dxa"/>
            <w:vMerge w:val="restart"/>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PRÉ-REQUISITO</w:t>
            </w:r>
          </w:p>
        </w:tc>
        <w:tc>
          <w:tcPr>
            <w:tcW w:w="707" w:type="dxa"/>
            <w:vMerge w:val="restart"/>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CHS</w:t>
            </w:r>
          </w:p>
        </w:tc>
        <w:tc>
          <w:tcPr>
            <w:tcW w:w="707" w:type="dxa"/>
            <w:vMerge w:val="restart"/>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CHA</w:t>
            </w:r>
          </w:p>
        </w:tc>
        <w:tc>
          <w:tcPr>
            <w:tcW w:w="1642" w:type="dxa"/>
            <w:gridSpan w:val="2"/>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AULAS</w:t>
            </w:r>
          </w:p>
        </w:tc>
      </w:tr>
      <w:tr>
        <w:tblPrEx>
          <w:tblCellMar>
            <w:top w:w="0" w:type="dxa"/>
            <w:left w:w="65" w:type="dxa"/>
            <w:bottom w:w="0" w:type="dxa"/>
            <w:right w:w="70" w:type="dxa"/>
          </w:tblCellMar>
        </w:tblPrEx>
        <w:trPr>
          <w:cantSplit/>
          <w:trHeight w:val="300" w:hRule="atLeast"/>
        </w:trPr>
        <w:tc>
          <w:tcPr>
            <w:tcW w:w="1132" w:type="dxa"/>
            <w:vMerge w:val="continue"/>
            <w:tcBorders>
              <w:top w:val="single" w:color="000000" w:sz="4" w:space="0"/>
              <w:left w:val="single" w:color="000000" w:sz="4" w:space="0"/>
              <w:bottom w:val="single" w:color="000000" w:sz="4" w:space="0"/>
            </w:tcBorders>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3187" w:type="dxa"/>
            <w:vMerge w:val="continue"/>
            <w:tcBorders>
              <w:top w:val="single" w:color="000000" w:sz="4" w:space="0"/>
              <w:left w:val="single" w:color="000000" w:sz="4" w:space="0"/>
              <w:bottom w:val="single" w:color="000000" w:sz="4" w:space="0"/>
            </w:tcBorders>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264" w:type="dxa"/>
            <w:vMerge w:val="continue"/>
            <w:tcBorders>
              <w:top w:val="single" w:color="000000" w:sz="4" w:space="0"/>
              <w:left w:val="single" w:color="000000" w:sz="4" w:space="0"/>
              <w:bottom w:val="single" w:color="000000" w:sz="4" w:space="0"/>
            </w:tcBorders>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707" w:type="dxa"/>
            <w:vMerge w:val="continue"/>
            <w:tcBorders>
              <w:top w:val="single" w:color="000000" w:sz="4" w:space="0"/>
              <w:left w:val="single" w:color="000000" w:sz="4" w:space="0"/>
              <w:bottom w:val="single" w:color="000000" w:sz="4" w:space="0"/>
            </w:tcBorders>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707" w:type="dxa"/>
            <w:vMerge w:val="continue"/>
            <w:tcBorders>
              <w:top w:val="single" w:color="000000" w:sz="4" w:space="0"/>
              <w:left w:val="single" w:color="000000" w:sz="4" w:space="0"/>
              <w:bottom w:val="single" w:color="000000" w:sz="4" w:space="0"/>
            </w:tcBorders>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773"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T</w:t>
            </w:r>
          </w:p>
        </w:tc>
        <w:tc>
          <w:tcPr>
            <w:tcW w:w="869" w:type="dxa"/>
            <w:tcBorders>
              <w:top w:val="single" w:color="000000" w:sz="4" w:space="0"/>
              <w:left w:val="single" w:color="000000" w:sz="4" w:space="0"/>
              <w:bottom w:val="single" w:color="000000" w:sz="4" w:space="0"/>
              <w:right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P</w:t>
            </w:r>
          </w:p>
        </w:tc>
      </w:tr>
      <w:tr>
        <w:tblPrEx>
          <w:tblCellMar>
            <w:top w:w="0" w:type="dxa"/>
            <w:left w:w="65" w:type="dxa"/>
            <w:bottom w:w="0" w:type="dxa"/>
            <w:right w:w="70" w:type="dxa"/>
          </w:tblCellMar>
        </w:tblPrEx>
        <w:trPr>
          <w:trHeight w:val="627"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HIS831</w:t>
            </w:r>
          </w:p>
        </w:tc>
        <w:tc>
          <w:tcPr>
            <w:tcW w:w="318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after="240"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Seminário em História da América III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HIS842</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Seminário em Teoria da História 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HIS843</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Seminário em Teoria da História II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HIS845</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Seminário em História da Historiografia Geral 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HIS846</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Seminário em História da Historiografia Geral II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HIS850</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Seminário em Historiografia Brasileira III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HIS852</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r>
              <w:rPr>
                <w:rFonts w:ascii="Times New Roman" w:hAnsi="Times New Roman" w:eastAsia="Calibri" w:cs="Times New Roman"/>
                <w:color w:val="000000"/>
              </w:rPr>
              <w:t>Seminário em Antropologia I</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rPr>
            </w:pP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HIS887</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Seminário em História do Brasil XVII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HIS888</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Seminário em História do Brasil XVIII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HIS084</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Leituras Dirigidas XXVII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45</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54</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HIS085</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Leituras Dirigidas XXVIII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45</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54</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HIS086</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Leituras Dirigidas XXIX</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45</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54</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HIS087</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Seminário de Ciências Sociais 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HIS088</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Seminário de Ciências Sociais II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HIS089</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Seminário de Ciências Sociais III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HIS090</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Seminário em História da Arte IV</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HIS091</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Seminário em História da Arte V</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HIS092</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Seminário em História do Brasil XIX</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HIS093</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Seminário em História do Brasil XX</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HIS094</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Seminário em História do Brasil XXI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HIS095</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Seminário em História do Brasil XXII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HIS096</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Seminário em História do Brasil XXIII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HIS097</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Seminário em História do Brasil XXIV - Minas Gerais</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HIS098</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Seminário em História do Brasil XXV - Minas Gerais</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HIS099</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Seminário em História do Brasil XXVI - Minas Gerais</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HIS273</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Seminário em História do Brasil XXVII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HIS274</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Seminário em História do Brasil XXVIII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HIS275</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Seminário em História do Brasil XXIX</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HIS276</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Seminário em História Moderna e Contemporânea VI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HIS277</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Seminário em História Moderna e Contemporânea VII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HIS278</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Seminário em História Moderna e Contemporânea VIII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HIS279</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Seminário em História Moderna e Contemporânea IX</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HIS280</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Seminário em História Moderna e Contemporânea X</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HIS281</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Seminário em História Moderna e Contemporânea XI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HIS282</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Seminário em História Moderna e Contemporânea XII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HIS283</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Seminário em História Antiga e Medieval VIII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HIS284</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Seminário em História Antiga e Medieval IX</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HIS285</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Seminário em História Antiga e Medieval X</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HIS286</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Seminário em História Antiga e Medieval XI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HIS287</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Seminário em História Antiga e Medieval XII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HIS288</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Seminário em História Antiga e Medieval XIII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HIS289</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Seminário em História Antiga e Medieval XIV</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HIS290</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Seminário em História Antiga e Medieval XV</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HIS291</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Seminário em História Antiga e Medieval XVI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HIS292</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Seminário em História Antiga e Medieval XVII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HIS293</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Seminário em História Antiga e Medieval XVIII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HIS302</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Seminário em História Antiga e Medieval XIX</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HIS303</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Seminário em História Antiga e Medieval XX</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HIS304</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Seminário em História do Brasil Colônia 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HIS305</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Seminário em História do Brasil Colônia II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HIS306</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Seminário em História do Brasil Colônia III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HIS307</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Tópicos de História do Brasil Império 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HIS308</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Tópicos de História do Brasil Império II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HIS309</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Tópicos em História do Brasil Colônia 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HIS310</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Tópicos em História do Brasil Colônia II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HIS311</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Histórias Indígenas na América Hispânica</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HIS312</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Cinema e história na América Latina da segunda metade do século XX e começos do século XXI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HIS313</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Seminário de formação em Teoria da História e História da Historiografia IV</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HIS314</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Seminário de formação em Teoria da História e História da Historiografia V</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HIS315</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Seminário de formação em Teoria da História e História da Historiografia VI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300"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HIS316</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Seminário de formação em Teoria da História e História da Historiografia VII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HIS317</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Seminário de formação em Teoria da História e História da Historiografia VIII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HIS318</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Seminário de formação em Teoria da História e História da Historiografia IX</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 905</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Seminário em História das Áfricas IV</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72</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 906</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Historiografia e Teoria das Áfricas</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72</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 907</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Seminário em História das Áfricas V</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 908</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Seminário em História das Áfricas VI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 909</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Seminário em História das Áfricas VII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72</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 910</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Seminário em História das Áfricas VIII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72</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 911</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Leitura Dirigida XXX</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45</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54</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 912</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Leitura Dirigida XXXI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45</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54</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 913</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Leitura Dirigida XXXII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45</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54</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 914</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Leitura Dirigida XXXIII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45</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54</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 915</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Seminário em História Contemporânea 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72</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 916</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Seminário em História Contemporânea II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72</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 917</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Leitura Dirigida em História Antiga e Medieval 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36</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 918</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Leitura Dirigida em História Antiga e Medieval II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36</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 919</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Leitura Dirigida em História Antiga e Medieval III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36</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 920</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Leitura Dirigida em História Antiga e Medieval IV</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36</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 921</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Leitura Dirigida em História Antiga e Medieval VI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36</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 922</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Leitura Dirigida em História Antiga e Medieval VII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36</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 923</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Leitura Dirigida em História Antiga e Medieval VIII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36</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 924</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Seminário em História Antiga e Medieval XXI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 925</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Seminário de formação em Teoria da História e História da Historiografia 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72</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 926</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Seminário de formação em Teoria da História e História da Historiografia II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72</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 927</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Seminário de formação em Teoria da História e História da Historiografia III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72</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 928</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Seminário de formação em Teoria da História e História da Historiografia X</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72</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HIS929</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Seminário de formação em Teoria da História e História da Historiografia XI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72</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 930</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Seminário de formação em Teoria da História e História da Historiografia XII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72</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 931</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Seminário de Teoria da História e História da Historiografia 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45</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54</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 932</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Seminário de Teoria da História e História da Historiografia II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45</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54</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 933</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Seminário de Teoria da História e História da Historiografia III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45</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54</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 934</w:t>
            </w:r>
          </w:p>
        </w:tc>
        <w:tc>
          <w:tcPr>
            <w:tcW w:w="318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Seminário de Teoria da História e História da Historiografia IV</w:t>
            </w:r>
          </w:p>
        </w:tc>
        <w:tc>
          <w:tcPr>
            <w:tcW w:w="1264"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45</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54</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 935</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Ensino de História e Cultura Escolar</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72</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 936</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Ensino de História, Fontes e Linguagens 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72</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 937</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Ensino de História, Fontes e Linguagens II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72</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 938</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Ensino de História, Fontes e Linguagens III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72</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 939</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Ensino de História, Fontes e Linguagens IV</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72</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 940</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Histórias Indígenas na América Hispânica II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72</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 941</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Cinema, Historiografia e Memória na América Latina Contemporânea</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72</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 942</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História e Escrita na Primeira Modernidade</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 943</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História das Religiões da Primeira Modernidade</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72</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 944</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Histórias emaranhadas: perspectivas sobre a Primeira Modernidade</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72</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 945</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Leitura Dirigida em História das Américas 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36</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 946</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Leitura Dirigida em História das Américas II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36</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 947</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Leitura Dirigida em História das Américas III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36</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 948</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História das Mulheres e Gênero nas Américas 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 949</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História das Mulheres e Gênero nas Américas II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72</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HIS 950</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História das utopias e das distopias: política, cinema e literatura</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90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108</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rPr>
            </w:pPr>
            <w:sdt>
              <w:sdtPr>
                <w:rPr>
                  <w:rFonts w:ascii="Times New Roman" w:hAnsi="Times New Roman" w:cs="Times New Roman"/>
                </w:rPr>
                <w:tag w:val="goog_rdk_0"/>
                <w:id w:val="-1155073210"/>
                <w:showingPlcHdr/>
              </w:sdtPr>
              <w:sdtEndPr>
                <w:rPr>
                  <w:rFonts w:ascii="Times New Roman" w:hAnsi="Times New Roman" w:cs="Times New Roman"/>
                </w:rPr>
              </w:sdtEndPr>
              <w:sdtContent>
                <w:r>
                  <w:rPr>
                    <w:rFonts w:ascii="Times New Roman" w:hAnsi="Times New Roman" w:cs="Times New Roman"/>
                  </w:rPr>
                  <w:t xml:space="preserve">     </w:t>
                </w:r>
              </w:sdtContent>
            </w:sdt>
            <w:r>
              <w:rPr>
                <w:rFonts w:ascii="Times New Roman" w:hAnsi="Times New Roman" w:eastAsia="Calibri" w:cs="Times New Roman"/>
              </w:rPr>
              <w:t>HIS 951</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rPr>
            </w:pPr>
            <w:r>
              <w:rPr>
                <w:rFonts w:ascii="Times New Roman" w:hAnsi="Times New Roman" w:eastAsia="Calibri" w:cs="Times New Roman"/>
              </w:rPr>
              <w:t>Leitura Dirigida em História Antiga e Medieval V</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rPr>
            </w:pPr>
            <w:r>
              <w:rPr>
                <w:rFonts w:ascii="Times New Roman" w:hAnsi="Times New Roman" w:eastAsia="Calibri" w:cs="Times New Roman"/>
              </w:rPr>
              <w:t>30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rPr>
            </w:pPr>
            <w:r>
              <w:rPr>
                <w:rFonts w:ascii="Times New Roman" w:hAnsi="Times New Roman" w:eastAsia="Calibri" w:cs="Times New Roman"/>
              </w:rPr>
              <w:t>36</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rPr>
            </w:pPr>
            <w:r>
              <w:rPr>
                <w:rFonts w:ascii="Times New Roman" w:hAnsi="Times New Roman" w:eastAsia="Calibri" w:cs="Times New Roman"/>
              </w:rPr>
              <w:t>2</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rPr>
            </w:pPr>
            <w:r>
              <w:rPr>
                <w:rFonts w:ascii="Times New Roman" w:hAnsi="Times New Roman" w:eastAsia="Calibri" w:cs="Times New Roman"/>
              </w:rPr>
              <w:t>0</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JOR518</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Introdução ao cinema</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72</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MUL100</w:t>
            </w:r>
          </w:p>
        </w:tc>
        <w:tc>
          <w:tcPr>
            <w:tcW w:w="3187"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Introdução a museologia</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72</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MUL105</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 xml:space="preserve">Arqueologia e museus </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72</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MUL106</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Museu no mundo contemporâneo</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36</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MUL107</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Antropologia e museus</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72</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MUL122</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Preservação e gestão do patrimônio cultural</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72</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MUL124</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Preservação e conservação de bens culturais II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72</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MUL125</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Documentação e informação em museus</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72</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MUL130</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Museologia e comunicação 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72</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MUL131</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Museologia e comunicação II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72</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MUL139</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Museus e seus públicos</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72</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MUL140</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 xml:space="preserve">Organização de museus </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36</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MUL141</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Gestão e administração de museus</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36</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MUL142</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Elaboração e gestão de projetos culturais</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72</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MUL144</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Elaboração e gestão de projetos culturais A</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36</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MUL401</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Tópicos especiais em museologia I - cultura material</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36</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MUL402</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Introdução à história da ciência</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36</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MUL407</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Tópicos especiais em museografia</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36</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MUL408</w:t>
            </w:r>
          </w:p>
        </w:tc>
        <w:tc>
          <w:tcPr>
            <w:tcW w:w="3187"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Teoria museológica</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36</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MUL422</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Tópicos especiais em conservação</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36</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MUL430</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Museus de ciências</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36</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MUL440</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Tópicos especiais em arqueologia</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36</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0</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FIL611</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História da Filosofia I: Filosofia Grega 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72</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FIL612</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Introdução a História da Filosofia</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72</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FIL614</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História e cultura grega</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72</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FIL621</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História da Filosofia II: Filosofia Grega II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r>
              <w:rPr>
                <w:rFonts w:ascii="Times New Roman" w:hAnsi="Times New Roman" w:eastAsia="Calibri" w:cs="Times New Roman"/>
              </w:rPr>
              <w:t>História da Filosofia I: Filosofia Grega I - FIL611</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72</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FIL622</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Teoria do conhecimento</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72</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FIL631</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 xml:space="preserve">História da Filosofia III: Filosofia Medieval </w:t>
            </w:r>
          </w:p>
        </w:tc>
        <w:tc>
          <w:tcPr>
            <w:tcW w:w="1264" w:type="dxa"/>
            <w:tcBorders>
              <w:top w:val="single" w:color="000000" w:sz="4" w:space="0"/>
              <w:left w:val="single" w:color="000000" w:sz="4" w:space="0"/>
              <w:bottom w:val="single" w:color="000000" w:sz="4" w:space="0"/>
            </w:tcBorders>
          </w:tcPr>
          <w:p>
            <w:pPr>
              <w:ind w:left="0" w:hanging="2"/>
              <w:jc w:val="both"/>
              <w:rPr>
                <w:rFonts w:ascii="Times New Roman" w:hAnsi="Times New Roman" w:cs="Times New Roman"/>
              </w:rPr>
            </w:pPr>
            <w:r>
              <w:rPr>
                <w:rFonts w:ascii="Times New Roman" w:hAnsi="Times New Roman" w:eastAsia="Calibri" w:cs="Times New Roman"/>
              </w:rPr>
              <w:t>História da Filosofia II: Filosofia Grega II - FIL621</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72</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FIL632</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Antropologia filosófica</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72</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FIL633</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Filosofia social e política</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72</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FIL641</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História da Filosofia IV: Filosofia Moderna I</w:t>
            </w:r>
          </w:p>
        </w:tc>
        <w:tc>
          <w:tcPr>
            <w:tcW w:w="1264" w:type="dxa"/>
            <w:tcBorders>
              <w:top w:val="single" w:color="000000" w:sz="4" w:space="0"/>
              <w:left w:val="single" w:color="000000" w:sz="4" w:space="0"/>
              <w:bottom w:val="single" w:color="000000" w:sz="4" w:space="0"/>
            </w:tcBorders>
          </w:tcPr>
          <w:p>
            <w:pPr>
              <w:ind w:left="0" w:hanging="2"/>
              <w:jc w:val="both"/>
              <w:rPr>
                <w:rFonts w:ascii="Times New Roman" w:hAnsi="Times New Roman" w:eastAsia="Calibri" w:cs="Times New Roman"/>
                <w:color w:val="000000"/>
              </w:rPr>
            </w:pPr>
            <w:r>
              <w:rPr>
                <w:rFonts w:ascii="Times New Roman" w:hAnsi="Times New Roman" w:eastAsia="Calibri" w:cs="Times New Roman"/>
              </w:rPr>
              <w:t>História da Filosofia III: Filosofia Medieval - FIL631</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72</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FIL643</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Filosofia das ciências: século XX</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72</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FIL651</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História da Filosofia V: Filosofia Moderna II</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72</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FIL652</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Ética</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72</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FIL661</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História da Filosofia VI: Filosofia Contemporânea I</w:t>
            </w:r>
          </w:p>
        </w:tc>
        <w:tc>
          <w:tcPr>
            <w:tcW w:w="1264" w:type="dxa"/>
            <w:tcBorders>
              <w:top w:val="single" w:color="000000" w:sz="4" w:space="0"/>
              <w:left w:val="single" w:color="000000" w:sz="4" w:space="0"/>
              <w:bottom w:val="single" w:color="000000" w:sz="4" w:space="0"/>
            </w:tcBorders>
          </w:tcPr>
          <w:p>
            <w:pPr>
              <w:ind w:left="0" w:hanging="2"/>
              <w:jc w:val="both"/>
              <w:rPr>
                <w:rFonts w:ascii="Times New Roman" w:hAnsi="Times New Roman" w:cs="Times New Roman"/>
              </w:rPr>
            </w:pPr>
            <w:r>
              <w:rPr>
                <w:rFonts w:ascii="Times New Roman" w:hAnsi="Times New Roman" w:eastAsia="Calibri" w:cs="Times New Roman"/>
              </w:rPr>
              <w:t>História da Filosofia V: Filosofia Moderna II - FIL651</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72</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FIL662</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Filosofia da arte</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72</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FIL671</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História da Filosofia VII: Filos. Contemporânea II</w:t>
            </w:r>
          </w:p>
        </w:tc>
        <w:tc>
          <w:tcPr>
            <w:tcW w:w="1264" w:type="dxa"/>
            <w:tcBorders>
              <w:top w:val="single" w:color="000000" w:sz="4" w:space="0"/>
              <w:left w:val="single" w:color="000000" w:sz="4" w:space="0"/>
              <w:bottom w:val="single" w:color="000000" w:sz="4" w:space="0"/>
            </w:tcBorders>
          </w:tcPr>
          <w:p>
            <w:pPr>
              <w:ind w:left="0" w:hanging="2"/>
              <w:jc w:val="both"/>
              <w:rPr>
                <w:rFonts w:ascii="Times New Roman" w:hAnsi="Times New Roman" w:eastAsia="Calibri" w:cs="Times New Roman"/>
                <w:color w:val="000000"/>
              </w:rPr>
            </w:pPr>
            <w:r>
              <w:rPr>
                <w:rFonts w:ascii="Times New Roman" w:hAnsi="Times New Roman" w:eastAsia="Calibri" w:cs="Times New Roman"/>
              </w:rPr>
              <w:t>História da Filosofia VI: Filosofia Contemporânea I - 661</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72</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w:t>
            </w:r>
          </w:p>
        </w:tc>
      </w:tr>
      <w:tr>
        <w:tblPrEx>
          <w:tblCellMar>
            <w:top w:w="0" w:type="dxa"/>
            <w:left w:w="65" w:type="dxa"/>
            <w:bottom w:w="0" w:type="dxa"/>
            <w:right w:w="70" w:type="dxa"/>
          </w:tblCellMar>
        </w:tblPrEx>
        <w:trPr>
          <w:trHeight w:val="525" w:hRule="atLeast"/>
        </w:trPr>
        <w:tc>
          <w:tcPr>
            <w:tcW w:w="1132"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FIL672</w:t>
            </w:r>
          </w:p>
        </w:tc>
        <w:tc>
          <w:tcPr>
            <w:tcW w:w="318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Estética Geral</w:t>
            </w:r>
          </w:p>
        </w:tc>
        <w:tc>
          <w:tcPr>
            <w:tcW w:w="1264"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60</w:t>
            </w:r>
          </w:p>
        </w:tc>
        <w:tc>
          <w:tcPr>
            <w:tcW w:w="70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72</w:t>
            </w:r>
          </w:p>
        </w:tc>
        <w:tc>
          <w:tcPr>
            <w:tcW w:w="773"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w:t>
            </w:r>
          </w:p>
        </w:tc>
        <w:tc>
          <w:tcPr>
            <w:tcW w:w="869"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1</w:t>
            </w:r>
          </w:p>
        </w:tc>
      </w:tr>
    </w:tbl>
    <w:p>
      <w:pPr>
        <w:ind w:left="0" w:hanging="2"/>
        <w:rPr>
          <w:rFonts w:ascii="Times New Roman" w:hAnsi="Times New Roman" w:eastAsia="Calibri" w:cs="Times New Roman"/>
        </w:rPr>
      </w:pPr>
    </w:p>
    <w:tbl>
      <w:tblPr>
        <w:tblStyle w:val="477"/>
        <w:tblW w:w="8597" w:type="dxa"/>
        <w:tblInd w:w="120" w:type="dxa"/>
        <w:tblLayout w:type="fixed"/>
        <w:tblCellMar>
          <w:top w:w="0" w:type="dxa"/>
          <w:left w:w="65" w:type="dxa"/>
          <w:bottom w:w="0" w:type="dxa"/>
          <w:right w:w="70" w:type="dxa"/>
        </w:tblCellMar>
      </w:tblPr>
      <w:tblGrid>
        <w:gridCol w:w="1301"/>
        <w:gridCol w:w="3165"/>
        <w:gridCol w:w="1187"/>
        <w:gridCol w:w="1971"/>
        <w:gridCol w:w="973"/>
      </w:tblGrid>
      <w:tr>
        <w:tblPrEx>
          <w:tblCellMar>
            <w:top w:w="0" w:type="dxa"/>
            <w:left w:w="65" w:type="dxa"/>
            <w:bottom w:w="0" w:type="dxa"/>
            <w:right w:w="70" w:type="dxa"/>
          </w:tblCellMar>
        </w:tblPrEx>
        <w:trPr>
          <w:trHeight w:val="300" w:hRule="atLeast"/>
        </w:trPr>
        <w:tc>
          <w:tcPr>
            <w:tcW w:w="8597" w:type="dxa"/>
            <w:gridSpan w:val="5"/>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b/>
                <w:color w:val="000000"/>
              </w:rPr>
              <w:t>Tabela 09. ATV</w:t>
            </w:r>
          </w:p>
        </w:tc>
      </w:tr>
      <w:tr>
        <w:tblPrEx>
          <w:tblCellMar>
            <w:top w:w="0" w:type="dxa"/>
            <w:left w:w="65" w:type="dxa"/>
            <w:bottom w:w="0" w:type="dxa"/>
            <w:right w:w="70" w:type="dxa"/>
          </w:tblCellMar>
        </w:tblPrEx>
        <w:trPr>
          <w:cantSplit/>
          <w:trHeight w:val="300" w:hRule="atLeast"/>
        </w:trPr>
        <w:tc>
          <w:tcPr>
            <w:tcW w:w="1301" w:type="dxa"/>
            <w:vMerge w:val="restart"/>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CÓDIGO</w:t>
            </w:r>
          </w:p>
        </w:tc>
        <w:tc>
          <w:tcPr>
            <w:tcW w:w="3165" w:type="dxa"/>
            <w:vMerge w:val="restart"/>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ATIVIDADES</w:t>
            </w:r>
          </w:p>
        </w:tc>
        <w:tc>
          <w:tcPr>
            <w:tcW w:w="1187" w:type="dxa"/>
            <w:vMerge w:val="restart"/>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PRÉ-REQUISITO</w:t>
            </w:r>
          </w:p>
        </w:tc>
        <w:tc>
          <w:tcPr>
            <w:tcW w:w="1971" w:type="dxa"/>
            <w:vMerge w:val="restart"/>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CARÁTER</w:t>
            </w:r>
          </w:p>
        </w:tc>
        <w:tc>
          <w:tcPr>
            <w:tcW w:w="973" w:type="dxa"/>
            <w:vMerge w:val="restart"/>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CHS</w:t>
            </w:r>
          </w:p>
        </w:tc>
      </w:tr>
      <w:tr>
        <w:tblPrEx>
          <w:tblCellMar>
            <w:top w:w="0" w:type="dxa"/>
            <w:left w:w="65" w:type="dxa"/>
            <w:bottom w:w="0" w:type="dxa"/>
            <w:right w:w="70" w:type="dxa"/>
          </w:tblCellMar>
        </w:tblPrEx>
        <w:trPr>
          <w:cantSplit/>
          <w:trHeight w:val="317" w:hRule="atLeast"/>
        </w:trPr>
        <w:tc>
          <w:tcPr>
            <w:tcW w:w="1301" w:type="dxa"/>
            <w:vMerge w:val="continue"/>
            <w:tcBorders>
              <w:top w:val="single" w:color="000000" w:sz="4" w:space="0"/>
              <w:left w:val="single" w:color="000000" w:sz="4" w:space="0"/>
              <w:bottom w:val="single" w:color="000000" w:sz="4" w:space="0"/>
            </w:tcBorders>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3165" w:type="dxa"/>
            <w:vMerge w:val="continue"/>
            <w:tcBorders>
              <w:top w:val="single" w:color="000000" w:sz="4" w:space="0"/>
              <w:left w:val="single" w:color="000000" w:sz="4" w:space="0"/>
              <w:bottom w:val="single" w:color="000000" w:sz="4" w:space="0"/>
            </w:tcBorders>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187" w:type="dxa"/>
            <w:vMerge w:val="continue"/>
            <w:tcBorders>
              <w:top w:val="single" w:color="000000" w:sz="4" w:space="0"/>
              <w:left w:val="single" w:color="000000" w:sz="4" w:space="0"/>
              <w:bottom w:val="single" w:color="000000" w:sz="4" w:space="0"/>
            </w:tcBorders>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971" w:type="dxa"/>
            <w:vMerge w:val="continue"/>
            <w:tcBorders>
              <w:top w:val="single" w:color="000000" w:sz="4" w:space="0"/>
              <w:left w:val="single" w:color="000000" w:sz="4" w:space="0"/>
              <w:bottom w:val="single" w:color="000000" w:sz="4" w:space="0"/>
            </w:tcBorders>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973" w:type="dxa"/>
            <w:vMerge w:val="continue"/>
            <w:tcBorders>
              <w:top w:val="single" w:color="000000" w:sz="4" w:space="0"/>
              <w:left w:val="single" w:color="000000" w:sz="4" w:space="0"/>
              <w:bottom w:val="single" w:color="000000" w:sz="4" w:space="0"/>
              <w:right w:val="single" w:color="000000" w:sz="4" w:space="0"/>
            </w:tcBorders>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r>
      <w:tr>
        <w:tblPrEx>
          <w:tblCellMar>
            <w:top w:w="0" w:type="dxa"/>
            <w:left w:w="65" w:type="dxa"/>
            <w:bottom w:w="0" w:type="dxa"/>
            <w:right w:w="70" w:type="dxa"/>
          </w:tblCellMar>
        </w:tblPrEx>
        <w:trPr>
          <w:trHeight w:val="300" w:hRule="atLeast"/>
        </w:trPr>
        <w:tc>
          <w:tcPr>
            <w:tcW w:w="1301"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ATV100</w:t>
            </w:r>
          </w:p>
        </w:tc>
        <w:tc>
          <w:tcPr>
            <w:tcW w:w="3165"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Atividade Acadêmico-Científico-Culturais</w:t>
            </w:r>
          </w:p>
        </w:tc>
        <w:tc>
          <w:tcPr>
            <w:tcW w:w="1187"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w:t>
            </w:r>
          </w:p>
        </w:tc>
        <w:tc>
          <w:tcPr>
            <w:tcW w:w="1971" w:type="dxa"/>
            <w:tcBorders>
              <w:top w:val="single" w:color="000000" w:sz="4" w:space="0"/>
              <w:left w:val="single" w:color="000000" w:sz="4"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Obrigatório</w:t>
            </w:r>
          </w:p>
        </w:tc>
        <w:tc>
          <w:tcPr>
            <w:tcW w:w="973"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200</w:t>
            </w:r>
          </w:p>
        </w:tc>
      </w:tr>
    </w:tbl>
    <w:p>
      <w:pPr>
        <w:ind w:left="0" w:hanging="2"/>
        <w:rPr>
          <w:rFonts w:ascii="Times New Roman" w:hAnsi="Times New Roman" w:eastAsia="Calibri" w:cs="Times New Roman"/>
        </w:rPr>
      </w:pPr>
    </w:p>
    <w:tbl>
      <w:tblPr>
        <w:tblStyle w:val="478"/>
        <w:tblW w:w="8634" w:type="dxa"/>
        <w:tblInd w:w="100" w:type="dxa"/>
        <w:tblLayout w:type="fixed"/>
        <w:tblCellMar>
          <w:top w:w="0" w:type="dxa"/>
          <w:left w:w="60" w:type="dxa"/>
          <w:bottom w:w="0" w:type="dxa"/>
          <w:right w:w="70" w:type="dxa"/>
        </w:tblCellMar>
      </w:tblPr>
      <w:tblGrid>
        <w:gridCol w:w="6893"/>
        <w:gridCol w:w="1741"/>
      </w:tblGrid>
      <w:tr>
        <w:tblPrEx>
          <w:tblCellMar>
            <w:top w:w="0" w:type="dxa"/>
            <w:left w:w="60" w:type="dxa"/>
            <w:bottom w:w="0" w:type="dxa"/>
            <w:right w:w="70" w:type="dxa"/>
          </w:tblCellMar>
        </w:tblPrEx>
        <w:trPr>
          <w:trHeight w:val="300" w:hRule="atLeast"/>
        </w:trPr>
        <w:tc>
          <w:tcPr>
            <w:tcW w:w="8634" w:type="dxa"/>
            <w:gridSpan w:val="2"/>
            <w:tcBorders>
              <w:top w:val="single" w:color="000000" w:sz="8" w:space="0"/>
              <w:left w:val="single" w:color="000000" w:sz="8"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b/>
                <w:color w:val="000000"/>
              </w:rPr>
              <w:t>Tabela 10 - Síntese das componentes curriculares</w:t>
            </w:r>
          </w:p>
        </w:tc>
      </w:tr>
      <w:tr>
        <w:tblPrEx>
          <w:tblCellMar>
            <w:top w:w="0" w:type="dxa"/>
            <w:left w:w="60" w:type="dxa"/>
            <w:bottom w:w="0" w:type="dxa"/>
            <w:right w:w="70" w:type="dxa"/>
          </w:tblCellMar>
        </w:tblPrEx>
        <w:trPr>
          <w:cantSplit/>
          <w:trHeight w:val="300" w:hRule="atLeast"/>
        </w:trPr>
        <w:tc>
          <w:tcPr>
            <w:tcW w:w="6893" w:type="dxa"/>
            <w:vMerge w:val="restart"/>
            <w:tcBorders>
              <w:top w:val="single" w:color="000000" w:sz="8" w:space="0"/>
              <w:left w:val="single" w:color="000000" w:sz="8"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Componentes Curriculares Exigidos para Integralização do Curso</w:t>
            </w:r>
          </w:p>
        </w:tc>
        <w:tc>
          <w:tcPr>
            <w:tcW w:w="1741" w:type="dxa"/>
            <w:vMerge w:val="restart"/>
            <w:tcBorders>
              <w:top w:val="single" w:color="000000" w:sz="8"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Carga Horária</w:t>
            </w:r>
          </w:p>
        </w:tc>
      </w:tr>
      <w:tr>
        <w:tblPrEx>
          <w:tblCellMar>
            <w:top w:w="0" w:type="dxa"/>
            <w:left w:w="60" w:type="dxa"/>
            <w:bottom w:w="0" w:type="dxa"/>
            <w:right w:w="70" w:type="dxa"/>
          </w:tblCellMar>
        </w:tblPrEx>
        <w:trPr>
          <w:cantSplit/>
          <w:trHeight w:val="317" w:hRule="atLeast"/>
        </w:trPr>
        <w:tc>
          <w:tcPr>
            <w:tcW w:w="6893" w:type="dxa"/>
            <w:vMerge w:val="continue"/>
            <w:tcBorders>
              <w:top w:val="single" w:color="000000" w:sz="8" w:space="0"/>
              <w:left w:val="single" w:color="000000" w:sz="8" w:space="0"/>
              <w:bottom w:val="single" w:color="000000" w:sz="4" w:space="0"/>
            </w:tcBorders>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c>
          <w:tcPr>
            <w:tcW w:w="1741" w:type="dxa"/>
            <w:vMerge w:val="continue"/>
            <w:tcBorders>
              <w:top w:val="single" w:color="000000" w:sz="8" w:space="0"/>
              <w:left w:val="single" w:color="000000" w:sz="4" w:space="0"/>
              <w:bottom w:val="single" w:color="000000" w:sz="4" w:space="0"/>
              <w:right w:val="single" w:color="000000" w:sz="4" w:space="0"/>
            </w:tcBorders>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c>
      </w:tr>
      <w:tr>
        <w:tblPrEx>
          <w:tblCellMar>
            <w:top w:w="0" w:type="dxa"/>
            <w:left w:w="60" w:type="dxa"/>
            <w:bottom w:w="0" w:type="dxa"/>
            <w:right w:w="70" w:type="dxa"/>
          </w:tblCellMar>
        </w:tblPrEx>
        <w:trPr>
          <w:trHeight w:val="980" w:hRule="atLeast"/>
        </w:trPr>
        <w:tc>
          <w:tcPr>
            <w:tcW w:w="6893" w:type="dxa"/>
            <w:tcBorders>
              <w:top w:val="single" w:color="000000" w:sz="4" w:space="0"/>
              <w:left w:val="single" w:color="000000" w:sz="8" w:space="0"/>
              <w:bottom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Disciplinas Obrigatórias</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Disciplinas Eletivas</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Atividades</w:t>
            </w:r>
          </w:p>
        </w:tc>
        <w:tc>
          <w:tcPr>
            <w:tcW w:w="1741" w:type="dxa"/>
            <w:tcBorders>
              <w:top w:val="single" w:color="000000" w:sz="4" w:space="0"/>
              <w:left w:val="single" w:color="000000" w:sz="4" w:space="0"/>
              <w:bottom w:val="single" w:color="000000" w:sz="4" w:space="0"/>
              <w:right w:val="single" w:color="000000" w:sz="4" w:space="0"/>
            </w:tcBorders>
            <w:vAlign w:val="center"/>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2580</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480</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200</w:t>
            </w:r>
          </w:p>
        </w:tc>
      </w:tr>
      <w:tr>
        <w:tblPrEx>
          <w:tblCellMar>
            <w:top w:w="0" w:type="dxa"/>
            <w:left w:w="60" w:type="dxa"/>
            <w:bottom w:w="0" w:type="dxa"/>
            <w:right w:w="70" w:type="dxa"/>
          </w:tblCellMar>
        </w:tblPrEx>
        <w:trPr>
          <w:trHeight w:val="315" w:hRule="atLeast"/>
        </w:trPr>
        <w:tc>
          <w:tcPr>
            <w:tcW w:w="6893" w:type="dxa"/>
            <w:tcBorders>
              <w:top w:val="single" w:color="000000" w:sz="8" w:space="0"/>
              <w:left w:val="single" w:color="000000" w:sz="8" w:space="0"/>
              <w:bottom w:val="single" w:color="000000" w:sz="8"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b/>
                <w:color w:val="000000"/>
              </w:rPr>
              <w:t>Total</w:t>
            </w:r>
          </w:p>
        </w:tc>
        <w:tc>
          <w:tcPr>
            <w:tcW w:w="1741" w:type="dxa"/>
            <w:tcBorders>
              <w:top w:val="single" w:color="000000" w:sz="8" w:space="0"/>
              <w:left w:val="single" w:color="000000" w:sz="8" w:space="0"/>
              <w:bottom w:val="single" w:color="000000" w:sz="8" w:space="0"/>
              <w:right w:val="single" w:color="000000" w:sz="8"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Calibri" w:cs="Times New Roman"/>
                <w:color w:val="000000"/>
              </w:rPr>
              <w:t>3260</w:t>
            </w:r>
          </w:p>
        </w:tc>
      </w:tr>
    </w:tbl>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240" w:line="360" w:lineRule="auto"/>
        <w:ind w:left="0" w:hanging="2"/>
        <w:rPr>
          <w:rFonts w:ascii="Times New Roman" w:hAnsi="Times New Roman" w:eastAsia="Liberation Serif" w:cs="Times New Roman"/>
          <w:color w:val="000000"/>
        </w:rPr>
      </w:pPr>
      <w:r>
        <w:rPr>
          <w:rFonts w:ascii="Times New Roman" w:hAnsi="Times New Roman" w:eastAsia="Calibri" w:cs="Times New Roman"/>
          <w:i/>
          <w:color w:val="000000"/>
        </w:rPr>
        <w:t>I. Prática como Componente Curricular</w:t>
      </w:r>
    </w:p>
    <w:p>
      <w:pPr>
        <w:pBdr>
          <w:top w:val="none" w:color="auto" w:sz="0" w:space="0"/>
          <w:left w:val="none" w:color="auto" w:sz="0" w:space="0"/>
          <w:bottom w:val="none" w:color="auto" w:sz="0" w:space="0"/>
          <w:right w:val="none" w:color="auto" w:sz="0" w:space="0"/>
          <w:between w:val="none" w:color="auto" w:sz="0" w:space="0"/>
        </w:pBdr>
        <w:spacing w:after="240"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ab/>
      </w:r>
      <w:r>
        <w:rPr>
          <w:rFonts w:ascii="Times New Roman" w:hAnsi="Times New Roman" w:eastAsia="Calibri" w:cs="Times New Roman"/>
          <w:color w:val="000000"/>
        </w:rPr>
        <w:tab/>
      </w:r>
      <w:r>
        <w:rPr>
          <w:rFonts w:ascii="Times New Roman" w:hAnsi="Times New Roman" w:eastAsia="Calibri" w:cs="Times New Roman"/>
          <w:color w:val="000000"/>
        </w:rPr>
        <w:t xml:space="preserve">As 480 horas de prática como componente curricular estão integradas às 16 disciplinas de conhecimento sobre o objeto de ensino, distribuídas pelos dois primeiros anos do curso, entendidos como ciclo de formação básica. Cada disciplina é composta de 60 horas teóricas de conhecimento histórico e de 30 horas destinadas à realização de atividades definidas pela prática. A distribuição das horas práticas e suas disposições educacionais serão detalhadas mais adiante neste PPC.  </w:t>
      </w:r>
    </w:p>
    <w:p>
      <w:pPr>
        <w:pBdr>
          <w:top w:val="none" w:color="auto" w:sz="0" w:space="0"/>
          <w:left w:val="none" w:color="auto" w:sz="0" w:space="0"/>
          <w:bottom w:val="none" w:color="auto" w:sz="0" w:space="0"/>
          <w:right w:val="none" w:color="auto" w:sz="0" w:space="0"/>
          <w:between w:val="none" w:color="auto" w:sz="0" w:space="0"/>
        </w:pBdr>
        <w:spacing w:after="240"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i/>
          <w:color w:val="000000"/>
        </w:rPr>
        <w:t>II. Estágio Supervisionado</w:t>
      </w:r>
    </w:p>
    <w:p>
      <w:pPr>
        <w:pBdr>
          <w:top w:val="none" w:color="auto" w:sz="0" w:space="0"/>
          <w:left w:val="none" w:color="auto" w:sz="0" w:space="0"/>
          <w:bottom w:val="none" w:color="auto" w:sz="0" w:space="0"/>
          <w:right w:val="none" w:color="auto" w:sz="0" w:space="0"/>
          <w:between w:val="none" w:color="auto" w:sz="0" w:space="0"/>
        </w:pBdr>
        <w:spacing w:after="240" w:line="360" w:lineRule="auto"/>
        <w:ind w:left="0" w:hanging="2"/>
        <w:jc w:val="both"/>
        <w:rPr>
          <w:rFonts w:ascii="Times New Roman" w:hAnsi="Times New Roman" w:eastAsia="Calibri" w:cs="Times New Roman"/>
          <w:color w:val="000000"/>
        </w:rPr>
      </w:pPr>
      <w:r>
        <w:rPr>
          <w:rFonts w:ascii="Times New Roman" w:hAnsi="Times New Roman" w:eastAsia="Calibri" w:cs="Times New Roman"/>
          <w:color w:val="000000"/>
        </w:rPr>
        <w:tab/>
      </w:r>
      <w:r>
        <w:rPr>
          <w:rFonts w:ascii="Times New Roman" w:hAnsi="Times New Roman" w:eastAsia="Calibri" w:cs="Times New Roman"/>
          <w:color w:val="000000"/>
        </w:rPr>
        <w:tab/>
      </w:r>
      <w:r>
        <w:rPr>
          <w:rFonts w:ascii="Times New Roman" w:hAnsi="Times New Roman" w:eastAsia="Calibri" w:cs="Times New Roman"/>
          <w:color w:val="000000"/>
        </w:rPr>
        <w:t>O Estágio Supervisionado de História é uma modalidade pedagógica integrante do Curso de Licenciatura em História, de caráter obrigatório, que totaliza 420 horas/aula (Art. 1º, I, Resolução CNE/CP 2, de 1º de julho de 2015), a serem cumpridas pelos discentes regularmente matriculados a partir do quarto período. Sua regulamentação e as disposições sobre o seu desenvolvimento encontram-se no anexo “Manual de Estágio Supervisionado” e na Resolução Cohis 03/2019. Cabe, aqui, observar a necessidade de adequar a referida resolução, deixando explicito que a redução da carga horária de estágio pode ser solicitada somente em casos de segunda licenciatura ou para alunos que já exercem atividades docentes, do conforme resolução CNE/CP n.02/2015 e CNE/CP  n.02/2002.</w:t>
      </w:r>
    </w:p>
    <w:p>
      <w:pPr>
        <w:pBdr>
          <w:top w:val="none" w:color="auto" w:sz="0" w:space="0"/>
          <w:left w:val="none" w:color="auto" w:sz="0" w:space="0"/>
          <w:bottom w:val="none" w:color="auto" w:sz="0" w:space="0"/>
          <w:right w:val="none" w:color="auto" w:sz="0" w:space="0"/>
          <w:between w:val="none" w:color="auto" w:sz="0" w:space="0"/>
        </w:pBdr>
        <w:spacing w:after="240"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i/>
          <w:color w:val="000000"/>
        </w:rPr>
        <w:t>III.</w:t>
      </w:r>
      <w:r>
        <w:rPr>
          <w:rFonts w:ascii="Times New Roman" w:hAnsi="Times New Roman" w:eastAsia="Calibri" w:cs="Times New Roman"/>
          <w:color w:val="000000"/>
        </w:rPr>
        <w:t xml:space="preserve"> </w:t>
      </w:r>
      <w:r>
        <w:rPr>
          <w:rFonts w:ascii="Times New Roman" w:hAnsi="Times New Roman" w:eastAsia="Calibri" w:cs="Times New Roman"/>
          <w:i/>
          <w:color w:val="000000"/>
        </w:rPr>
        <w:t>Atividades Formativas: Conhecimento Pedagógico</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ab/>
      </w:r>
      <w:r>
        <w:rPr>
          <w:rFonts w:ascii="Times New Roman" w:hAnsi="Times New Roman" w:eastAsia="Calibri" w:cs="Times New Roman"/>
          <w:color w:val="000000"/>
        </w:rPr>
        <w:tab/>
      </w:r>
      <w:r>
        <w:rPr>
          <w:rFonts w:ascii="Times New Roman" w:hAnsi="Times New Roman" w:eastAsia="Calibri" w:cs="Times New Roman"/>
          <w:color w:val="000000"/>
        </w:rPr>
        <w:t xml:space="preserve">As disciplinas relativas aos conhecimentos pedagógicos gerais — </w:t>
      </w:r>
      <w:r>
        <w:rPr>
          <w:rFonts w:ascii="Times New Roman" w:hAnsi="Times New Roman" w:eastAsia="Calibri" w:cs="Times New Roman"/>
          <w:i/>
          <w:color w:val="000000"/>
        </w:rPr>
        <w:t>Estudos Históricos Sobre a Educação, Psicologia da Educação, Estudos Sociológicos Sobre Educação, Política e Gestão Educacional</w:t>
      </w:r>
      <w:r>
        <w:rPr>
          <w:rFonts w:ascii="Times New Roman" w:hAnsi="Times New Roman" w:eastAsia="Calibri" w:cs="Times New Roman"/>
          <w:color w:val="000000"/>
        </w:rPr>
        <w:t xml:space="preserve"> — são ofertadas pelo Departamento de Educação, que mantém diálogo permanente com o curso de Licenciatura em História através da representação de um docente do Deedu no Colegiado de Curso.</w:t>
      </w:r>
    </w:p>
    <w:p>
      <w:pPr>
        <w:pBdr>
          <w:top w:val="none" w:color="auto" w:sz="0" w:space="0"/>
          <w:left w:val="none" w:color="auto" w:sz="0" w:space="0"/>
          <w:bottom w:val="none" w:color="auto" w:sz="0" w:space="0"/>
          <w:right w:val="none" w:color="auto" w:sz="0" w:space="0"/>
          <w:between w:val="none" w:color="auto" w:sz="0" w:space="0"/>
        </w:pBdr>
        <w:spacing w:after="240"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ab/>
      </w:r>
      <w:r>
        <w:rPr>
          <w:rFonts w:ascii="Times New Roman" w:hAnsi="Times New Roman" w:eastAsia="Calibri" w:cs="Times New Roman"/>
          <w:color w:val="000000"/>
        </w:rPr>
        <w:tab/>
      </w:r>
      <w:r>
        <w:rPr>
          <w:rFonts w:ascii="Times New Roman" w:hAnsi="Times New Roman" w:eastAsia="Calibri" w:cs="Times New Roman"/>
          <w:color w:val="000000"/>
        </w:rPr>
        <w:t>O trabalho dos docentes deste núcleo de disciplinas e sua importância podem ser percebidos pelas dissertações de mestrado em Educação e História elaboradas por egressos do Curso de Licenciatura em História, que buscam respostas a inquietações sobre organização escolar, currículo de história, estratégias de ensino e ambientes educativos variados, tais como escolas, museus, bibliotecas e espaços da cidade</w:t>
      </w:r>
      <w:r>
        <w:rPr>
          <w:rFonts w:ascii="Times New Roman" w:hAnsi="Times New Roman" w:eastAsia="Calibri" w:cs="Times New Roman"/>
          <w:color w:val="000000"/>
          <w:vertAlign w:val="superscript"/>
        </w:rPr>
        <w:footnoteReference w:id="17"/>
      </w:r>
      <w:r>
        <w:rPr>
          <w:rFonts w:ascii="Times New Roman" w:hAnsi="Times New Roman" w:eastAsia="Calibri" w:cs="Times New Roman"/>
          <w:color w:val="000000"/>
        </w:rPr>
        <w:t xml:space="preserve">. Além disso, é necessário destacar a função das disciplinas de caráter pedagógico para a formação de professores. Elas proporcionam a aproximação dos graduandos com o contexto escolar, administrando conteúdos referentes ao currículo, didática, metodologias de ensino e aprendizagem, gestão escolar, dentre outros temas indispensáveis para o engajamento profissional. </w:t>
      </w:r>
    </w:p>
    <w:p>
      <w:pPr>
        <w:pBdr>
          <w:top w:val="none" w:color="auto" w:sz="0" w:space="0"/>
          <w:left w:val="none" w:color="auto" w:sz="0" w:space="0"/>
          <w:bottom w:val="none" w:color="auto" w:sz="0" w:space="0"/>
          <w:right w:val="none" w:color="auto" w:sz="0" w:space="0"/>
          <w:between w:val="none" w:color="auto" w:sz="0" w:space="0"/>
        </w:pBdr>
        <w:spacing w:after="240" w:line="360" w:lineRule="auto"/>
        <w:ind w:left="0" w:hanging="2"/>
        <w:rPr>
          <w:rFonts w:ascii="Times New Roman" w:hAnsi="Times New Roman" w:eastAsia="Liberation Serif" w:cs="Times New Roman"/>
          <w:color w:val="000000"/>
        </w:rPr>
      </w:pPr>
      <w:r>
        <w:rPr>
          <w:rFonts w:ascii="Times New Roman" w:hAnsi="Times New Roman" w:eastAsia="Calibri" w:cs="Times New Roman"/>
          <w:i/>
          <w:color w:val="000000"/>
        </w:rPr>
        <w:t>IV. Atividades Formativas: Conhecimento sobre Objeto de Ensino</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720" w:firstLineChars="0"/>
        <w:jc w:val="both"/>
        <w:rPr>
          <w:rFonts w:ascii="Times New Roman" w:hAnsi="Times New Roman" w:eastAsia="Liberation Serif" w:cs="Times New Roman"/>
          <w:color w:val="000000"/>
        </w:rPr>
      </w:pPr>
      <w:r>
        <w:rPr>
          <w:rFonts w:ascii="Times New Roman" w:hAnsi="Times New Roman" w:eastAsia="Calibri" w:cs="Times New Roman"/>
          <w:color w:val="000000"/>
        </w:rPr>
        <w:t>Cada uma das disciplinas que compõem este núcleo de formação atende aos requisitos legais da Resolução CNE 02, de 1 de julho de 2015 e, em sua prática cotidiana, implicam o desenvolvimento de habilidades necessárias ao professor de História e ao processo de ensino aprendizagem em história.</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Calibri" w:cs="Times New Roman"/>
          <w:color w:val="000000"/>
        </w:rPr>
      </w:pPr>
    </w:p>
    <w:p>
      <w:pPr>
        <w:numPr>
          <w:ilvl w:val="0"/>
          <w:numId w:val="2"/>
        </w:numPr>
        <w:pBdr>
          <w:top w:val="none" w:color="auto" w:sz="0" w:space="0"/>
          <w:left w:val="none" w:color="auto" w:sz="0" w:space="0"/>
          <w:bottom w:val="none" w:color="auto" w:sz="0" w:space="0"/>
          <w:right w:val="none" w:color="auto" w:sz="0" w:space="0"/>
          <w:between w:val="none" w:color="auto" w:sz="0" w:space="0"/>
        </w:pBdr>
        <w:tabs>
          <w:tab w:val="left" w:pos="0"/>
        </w:tabs>
        <w:spacing w:line="360" w:lineRule="auto"/>
        <w:ind w:hanging="2"/>
        <w:jc w:val="both"/>
        <w:rPr>
          <w:rFonts w:ascii="Times New Roman" w:hAnsi="Times New Roman" w:eastAsia="Liberation Serif" w:cs="Times New Roman"/>
          <w:color w:val="000000"/>
        </w:rPr>
      </w:pPr>
      <w:r>
        <w:rPr>
          <w:rFonts w:ascii="Times New Roman" w:hAnsi="Times New Roman" w:eastAsia="Calibri" w:cs="Times New Roman"/>
          <w:color w:val="000000"/>
        </w:rPr>
        <w:t>Ensino de História</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ab/>
      </w:r>
      <w:r>
        <w:rPr>
          <w:rFonts w:ascii="Times New Roman" w:hAnsi="Times New Roman" w:eastAsia="Calibri" w:cs="Times New Roman"/>
          <w:color w:val="000000"/>
        </w:rPr>
        <w:t xml:space="preserve"> </w:t>
      </w:r>
      <w:r>
        <w:rPr>
          <w:rFonts w:ascii="Times New Roman" w:hAnsi="Times New Roman" w:eastAsia="Calibri" w:cs="Times New Roman"/>
          <w:color w:val="000000"/>
        </w:rPr>
        <w:tab/>
      </w:r>
      <w:r>
        <w:rPr>
          <w:rFonts w:ascii="Times New Roman" w:hAnsi="Times New Roman" w:eastAsia="Calibri" w:cs="Times New Roman"/>
          <w:color w:val="000000"/>
        </w:rPr>
        <w:t>Através da análise dos fundamentos historiográficos, teóricos e epistemológicos que norteiam o processo de ensino e aprendizagem em História, essa disciplina visa: 1) Historicizar o processo de ensino e aprendizagem da disciplina História na sociedade brasileira; 2) Operacionalizar didaticamente alguns dos pressupostos teóricos do conhecimento histórico, transpondo-os ao cotidiano do Ensino Fundamental e Médio; 3) Analisar a validade epistemológica do conceito de “saber histórico escolar” em suas dimensões conceituais, imaginárias e ético-políticas. Por meio deste recorte, pretende-se que o discente construa um senso crítico sobre o ofício de professor e sobre a prática cotidiana do ensino escolar de História.</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Calibri" w:cs="Times New Roman"/>
          <w:color w:val="000000"/>
        </w:rPr>
      </w:pPr>
    </w:p>
    <w:p>
      <w:pPr>
        <w:numPr>
          <w:ilvl w:val="0"/>
          <w:numId w:val="2"/>
        </w:numPr>
        <w:pBdr>
          <w:top w:val="none" w:color="auto" w:sz="0" w:space="0"/>
          <w:left w:val="none" w:color="auto" w:sz="0" w:space="0"/>
          <w:bottom w:val="none" w:color="auto" w:sz="0" w:space="0"/>
          <w:right w:val="none" w:color="auto" w:sz="0" w:space="0"/>
          <w:between w:val="none" w:color="auto" w:sz="0" w:space="0"/>
        </w:pBdr>
        <w:tabs>
          <w:tab w:val="left" w:pos="0"/>
        </w:tabs>
        <w:spacing w:line="360" w:lineRule="auto"/>
        <w:ind w:hanging="2"/>
        <w:jc w:val="both"/>
        <w:rPr>
          <w:rFonts w:ascii="Times New Roman" w:hAnsi="Times New Roman" w:eastAsia="Liberation Serif" w:cs="Times New Roman"/>
          <w:color w:val="000000"/>
        </w:rPr>
      </w:pPr>
      <w:r>
        <w:rPr>
          <w:rFonts w:ascii="Times New Roman" w:hAnsi="Times New Roman" w:eastAsia="Calibri" w:cs="Times New Roman"/>
          <w:color w:val="000000"/>
        </w:rPr>
        <w:t>Introdução a Libras</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ab/>
      </w:r>
      <w:r>
        <w:rPr>
          <w:rFonts w:ascii="Times New Roman" w:hAnsi="Times New Roman" w:eastAsia="Calibri" w:cs="Times New Roman"/>
          <w:color w:val="000000"/>
        </w:rPr>
        <w:t xml:space="preserve"> </w:t>
      </w:r>
      <w:r>
        <w:rPr>
          <w:rFonts w:ascii="Times New Roman" w:hAnsi="Times New Roman" w:eastAsia="Calibri" w:cs="Times New Roman"/>
          <w:color w:val="000000"/>
        </w:rPr>
        <w:tab/>
      </w:r>
      <w:r>
        <w:rPr>
          <w:rFonts w:ascii="Times New Roman" w:hAnsi="Times New Roman" w:eastAsia="Calibri" w:cs="Times New Roman"/>
          <w:color w:val="000000"/>
        </w:rPr>
        <w:t>Essa disciplina é ofertada por um professor do Departamento de Letras e tem como função ensinar estruturas básicas da Língua Brasileiras de Sinais, rudimentos de comunicação e aspectos peculiares da cultura das pessoas surdas. Ela educa o futuro professor para receber discentes surdos ou com baixa audição, interagir com eles e deixá-lo mais confortáveis no ambiente escolar.</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Calibri" w:cs="Times New Roman"/>
          <w:color w:val="000000"/>
        </w:rPr>
      </w:pPr>
    </w:p>
    <w:p>
      <w:pPr>
        <w:numPr>
          <w:ilvl w:val="0"/>
          <w:numId w:val="2"/>
        </w:numPr>
        <w:pBdr>
          <w:top w:val="none" w:color="auto" w:sz="0" w:space="0"/>
          <w:left w:val="none" w:color="auto" w:sz="0" w:space="0"/>
          <w:bottom w:val="none" w:color="auto" w:sz="0" w:space="0"/>
          <w:right w:val="none" w:color="auto" w:sz="0" w:space="0"/>
          <w:between w:val="none" w:color="auto" w:sz="0" w:space="0"/>
        </w:pBdr>
        <w:tabs>
          <w:tab w:val="left" w:pos="0"/>
        </w:tabs>
        <w:spacing w:line="360" w:lineRule="auto"/>
        <w:ind w:hanging="2"/>
        <w:jc w:val="both"/>
        <w:rPr>
          <w:rFonts w:ascii="Times New Roman" w:hAnsi="Times New Roman" w:eastAsia="Liberation Serif" w:cs="Times New Roman"/>
          <w:color w:val="000000"/>
        </w:rPr>
      </w:pPr>
      <w:r>
        <w:rPr>
          <w:rFonts w:ascii="Times New Roman" w:hAnsi="Times New Roman" w:eastAsia="Calibri" w:cs="Times New Roman"/>
          <w:color w:val="000000"/>
        </w:rPr>
        <w:t xml:space="preserve"> História das Áfricas</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ab/>
      </w:r>
      <w:r>
        <w:rPr>
          <w:rFonts w:ascii="Times New Roman" w:hAnsi="Times New Roman" w:eastAsia="Calibri" w:cs="Times New Roman"/>
          <w:color w:val="000000"/>
        </w:rPr>
        <w:tab/>
      </w:r>
      <w:r>
        <w:rPr>
          <w:rFonts w:ascii="Times New Roman" w:hAnsi="Times New Roman" w:eastAsia="Calibri" w:cs="Times New Roman"/>
          <w:color w:val="000000"/>
        </w:rPr>
        <w:t>A carga-horária da disciplina História das Áfricas é dividida em dois núcleos da Organização Curricular, em atendimento à Resolução CNE 02/2015. No núcleo “Conhecimento sobre o objeto de ensino” são dedicadas 40 horas de carga horária semestral (CHS) — ou 48 horas-aula — desenvolvidas em sala com o intuito de se analisar a história, a teoria e a historiografia africana. Em “Atividades formativas no ensino de história”, as 50 horas de carga horária semestral (CHS) — ou 60 horas-aula — aparecem dispostas em atividades práticas realizadas sob supervisão do docente, sendo seu objetivo a elaboração de ferramentas de ensino capazes de gerar um olhar endógeno, fundado em referenciais e estruturas africanas</w:t>
      </w:r>
      <w:r>
        <w:rPr>
          <w:rFonts w:ascii="Times New Roman" w:hAnsi="Times New Roman" w:eastAsia="Calibri" w:cs="Times New Roman"/>
          <w:color w:val="000000"/>
          <w:vertAlign w:val="superscript"/>
        </w:rPr>
        <w:footnoteReference w:id="18"/>
      </w:r>
      <w:r>
        <w:rPr>
          <w:rFonts w:ascii="Times New Roman" w:hAnsi="Times New Roman" w:eastAsia="Calibri" w:cs="Times New Roman"/>
          <w:color w:val="000000"/>
        </w:rPr>
        <w:t>. Aqui, o discente deve adquirir e desenvolver habilidades com os fundamentos da gnose africana — Muntu, Huntu, Kintu e Kuntu</w:t>
      </w:r>
      <w:r>
        <w:rPr>
          <w:rFonts w:ascii="Times New Roman" w:hAnsi="Times New Roman" w:eastAsia="Calibri" w:cs="Times New Roman"/>
          <w:color w:val="000000"/>
          <w:vertAlign w:val="superscript"/>
        </w:rPr>
        <w:footnoteReference w:id="19"/>
      </w:r>
      <w:r>
        <w:rPr>
          <w:rFonts w:ascii="Times New Roman" w:hAnsi="Times New Roman" w:eastAsia="Calibri" w:cs="Times New Roman"/>
          <w:color w:val="000000"/>
        </w:rPr>
        <w:t xml:space="preserve"> —, entendidos como mecanismos de produção de conhecimento e aplicação prática relacionados a questões que envolvem os africanos e a diáspora.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ab/>
      </w:r>
      <w:r>
        <w:rPr>
          <w:rFonts w:ascii="Times New Roman" w:hAnsi="Times New Roman" w:eastAsia="Calibri" w:cs="Times New Roman"/>
          <w:color w:val="000000"/>
        </w:rPr>
        <w:tab/>
      </w:r>
      <w:r>
        <w:rPr>
          <w:rFonts w:ascii="Times New Roman" w:hAnsi="Times New Roman" w:eastAsia="Calibri" w:cs="Times New Roman"/>
          <w:color w:val="000000"/>
        </w:rPr>
        <w:t>Esse duplo caráter da disciplina se deve à necessidade de atendimento à Lei 10.639 — atualmente substituída pela Lei 11.645 — e à própria condição da disciplina, que, por um lado, deve abordar o conhecimento de Áfricas e, de outro, deve fornecer ferramentas teóricas que pensem as relações étnico-raciais através do diagnóstico de processos comuns entre os povos da diáspora africana — como a escravização de pessoas, as religiões de matriz africana, o racismo, a colonização, a segregação etc. — e estimulem formas de conceber a afrodescendência como um produto do “Atlântico Negro” e de suas diásporas</w:t>
      </w:r>
      <w:r>
        <w:rPr>
          <w:rFonts w:ascii="Times New Roman" w:hAnsi="Times New Roman" w:eastAsia="Calibri" w:cs="Times New Roman"/>
          <w:color w:val="000000"/>
          <w:vertAlign w:val="superscript"/>
        </w:rPr>
        <w:footnoteReference w:id="20"/>
      </w:r>
      <w:r>
        <w:rPr>
          <w:rFonts w:ascii="Times New Roman" w:hAnsi="Times New Roman" w:eastAsia="Calibri" w:cs="Times New Roman"/>
          <w:color w:val="000000"/>
        </w:rPr>
        <w:t xml:space="preserve">.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Calibri" w:cs="Times New Roman"/>
          <w:color w:val="000000"/>
        </w:rPr>
      </w:pPr>
    </w:p>
    <w:p>
      <w:pPr>
        <w:numPr>
          <w:ilvl w:val="0"/>
          <w:numId w:val="2"/>
        </w:numPr>
        <w:pBdr>
          <w:top w:val="none" w:color="auto" w:sz="0" w:space="0"/>
          <w:left w:val="none" w:color="auto" w:sz="0" w:space="0"/>
          <w:bottom w:val="none" w:color="auto" w:sz="0" w:space="0"/>
          <w:right w:val="none" w:color="auto" w:sz="0" w:space="0"/>
          <w:between w:val="none" w:color="auto" w:sz="0" w:space="0"/>
        </w:pBdr>
        <w:tabs>
          <w:tab w:val="left" w:pos="0"/>
        </w:tabs>
        <w:spacing w:line="360" w:lineRule="auto"/>
        <w:ind w:hanging="2"/>
        <w:jc w:val="both"/>
        <w:rPr>
          <w:rFonts w:ascii="Times New Roman" w:hAnsi="Times New Roman" w:eastAsia="Liberation Serif" w:cs="Times New Roman"/>
          <w:color w:val="000000"/>
        </w:rPr>
      </w:pPr>
      <w:r>
        <w:rPr>
          <w:rFonts w:ascii="Times New Roman" w:hAnsi="Times New Roman" w:eastAsia="Calibri" w:cs="Times New Roman"/>
          <w:color w:val="000000"/>
        </w:rPr>
        <w:t xml:space="preserve"> Trabalho de Conclusão de Curso I e II</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ab/>
      </w:r>
      <w:r>
        <w:rPr>
          <w:rFonts w:ascii="Times New Roman" w:hAnsi="Times New Roman" w:eastAsia="Calibri" w:cs="Times New Roman"/>
          <w:color w:val="000000"/>
        </w:rPr>
        <w:tab/>
      </w:r>
      <w:r>
        <w:rPr>
          <w:rFonts w:ascii="Times New Roman" w:hAnsi="Times New Roman" w:eastAsia="Calibri" w:cs="Times New Roman"/>
          <w:color w:val="000000"/>
        </w:rPr>
        <w:t>O Trabalho de Conclusão de Curso (TCC) é componente curricular obrigatório (Resolução CNE/CP nº 2/2015; Diretrizes Curriculares Nacionais para Licenciatura) e etapa formativa fundamental na proposta curricular da Licenciatura em História. Nesse momento do curso, o estudante terá a oportunidade de colocar em prática toda a formação adquirida, ao projetar e realizar um trabalho acadêmico na área de História e no campo de estudos que mais lhe interessou.</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ab/>
      </w:r>
      <w:r>
        <w:rPr>
          <w:rFonts w:ascii="Times New Roman" w:hAnsi="Times New Roman" w:eastAsia="Calibri" w:cs="Times New Roman"/>
          <w:color w:val="000000"/>
        </w:rPr>
        <w:tab/>
      </w:r>
      <w:r>
        <w:rPr>
          <w:rFonts w:ascii="Times New Roman" w:hAnsi="Times New Roman" w:eastAsia="Calibri" w:cs="Times New Roman"/>
          <w:color w:val="000000"/>
        </w:rPr>
        <w:t>De acordo com as Diretrizes da UFOP para os Cursos de Licenciatura, espera-se que a pesquisa e o Trabalho de Conclusão de Curso tenham formas distintas daquelas realizadas num curso de bacharelado, em função da necessária reflexão sobre os objetos de ensino. Considerando-se essa orientação, o TCC na Licenciatura de História da UFOP consiste na elaboração e produção de um trabalho voltado para o desenvolvimento de uma proposta de aprendizagem e/ou de divulgação histórica durante a graduação.</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bookmarkStart w:id="0" w:name="_heading=h.gjdgxs" w:colFirst="0" w:colLast="0"/>
      <w:bookmarkEnd w:id="0"/>
      <w:r>
        <w:rPr>
          <w:rFonts w:ascii="Times New Roman" w:hAnsi="Times New Roman" w:eastAsia="Calibri" w:cs="Times New Roman"/>
          <w:color w:val="000000"/>
        </w:rPr>
        <w:tab/>
      </w:r>
      <w:r>
        <w:rPr>
          <w:rFonts w:ascii="Times New Roman" w:hAnsi="Times New Roman" w:eastAsia="Calibri" w:cs="Times New Roman"/>
          <w:color w:val="000000"/>
        </w:rPr>
        <w:tab/>
      </w:r>
      <w:r>
        <w:rPr>
          <w:rFonts w:ascii="Times New Roman" w:hAnsi="Times New Roman" w:eastAsia="Calibri" w:cs="Times New Roman"/>
          <w:color w:val="000000"/>
        </w:rPr>
        <w:t xml:space="preserve">Por meio do Trabalho de Conclusão de Curso, busca-se oferecer ao discente mais uma atividade em que o ensino e a pesquisa aconteçam de forma articulada, integrando os conteúdos especificados da disciplina acadêmica (saber de referência) às ações e atividades de aprendizagem ou divulgação histórica. Compreendemos que, assim como os conteúdos da área específica, os conteúdos pedagógicos são fundamentais para a formação docente.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bookmarkStart w:id="1" w:name="_heading=h.30j0zll" w:colFirst="0" w:colLast="0"/>
      <w:bookmarkEnd w:id="1"/>
      <w:r>
        <w:rPr>
          <w:rFonts w:ascii="Times New Roman" w:hAnsi="Times New Roman" w:eastAsia="Calibri" w:cs="Times New Roman"/>
          <w:color w:val="000000"/>
        </w:rPr>
        <w:tab/>
      </w:r>
      <w:r>
        <w:rPr>
          <w:rFonts w:ascii="Times New Roman" w:hAnsi="Times New Roman" w:eastAsia="Calibri" w:cs="Times New Roman"/>
          <w:color w:val="000000"/>
        </w:rPr>
        <w:tab/>
      </w:r>
      <w:r>
        <w:rPr>
          <w:rFonts w:ascii="Times New Roman" w:hAnsi="Times New Roman" w:eastAsia="Calibri" w:cs="Times New Roman"/>
          <w:color w:val="000000"/>
        </w:rPr>
        <w:t>O Trabalho de Conclusão de Curso é parte dos requisitos obrigatórios para a obtenção do título de Licenciado em História da UFOP. Suas atividades abarcam duas disciplinas: Trabalho de Conclusão de Curso I (TCC1) e Trabalho de Conclusão de Curso II (TCC2). Ambas as disciplinas possuem carga-horária de 90 horas, totalizando 180 horas-aula, devendo ser cursadas uma após a outra (em ordem de pré-requisito obrigatório), respectivamente no sétimo e oitavo períodos do curso.</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bookmarkStart w:id="2" w:name="_heading=h.1fob9te" w:colFirst="0" w:colLast="0"/>
      <w:bookmarkEnd w:id="2"/>
      <w:r>
        <w:rPr>
          <w:rFonts w:ascii="Times New Roman" w:hAnsi="Times New Roman" w:eastAsia="Calibri" w:cs="Times New Roman"/>
          <w:color w:val="000000"/>
        </w:rPr>
        <w:tab/>
      </w:r>
      <w:r>
        <w:rPr>
          <w:rFonts w:ascii="Times New Roman" w:hAnsi="Times New Roman" w:eastAsia="Calibri" w:cs="Times New Roman"/>
          <w:color w:val="000000"/>
        </w:rPr>
        <w:tab/>
      </w:r>
      <w:r>
        <w:rPr>
          <w:rFonts w:ascii="Times New Roman" w:hAnsi="Times New Roman" w:eastAsia="Calibri" w:cs="Times New Roman"/>
          <w:color w:val="000000"/>
        </w:rPr>
        <w:t xml:space="preserve">O Trabalho de Conclusão de Curso I (TCC1) tem como objetivo “oferecer ao estudante uma visão geral sobre: (i) as possibilidades de desenvolvimento de TCC com foco na docência, (ii) as metodologias de pesquisa na área a serem empregadas e (iii) os subsídios para a elaboração de um projeto de pesquisa/intervenção didática a ser elaborado conjuntamente com um professor orientador” (Diretrizes da UFOP para os Cursos de Licenciaturas).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bookmarkStart w:id="3" w:name="_heading=h.3znysh7" w:colFirst="0" w:colLast="0"/>
      <w:bookmarkEnd w:id="3"/>
      <w:r>
        <w:rPr>
          <w:rFonts w:ascii="Times New Roman" w:hAnsi="Times New Roman" w:eastAsia="Calibri" w:cs="Times New Roman"/>
          <w:color w:val="000000"/>
        </w:rPr>
        <w:tab/>
      </w:r>
      <w:r>
        <w:rPr>
          <w:rFonts w:ascii="Times New Roman" w:hAnsi="Times New Roman" w:eastAsia="Calibri" w:cs="Times New Roman"/>
          <w:color w:val="000000"/>
        </w:rPr>
        <w:tab/>
      </w:r>
      <w:r>
        <w:rPr>
          <w:rFonts w:ascii="Times New Roman" w:hAnsi="Times New Roman" w:eastAsia="Calibri" w:cs="Times New Roman"/>
          <w:color w:val="000000"/>
        </w:rPr>
        <w:t xml:space="preserve">Tendo finalizado e sido aprovado no TCC1, o aluno estará habilitado a se matricular no Trabalho de Conclusão de Curso II (TCC2), em que terá como tarefa o desenvolvimento de um trabalho que busque articular os conhecimentos específicos da área e aqueles relativos ao ensino e à aprendizagem da história e/ou à divulgação histórica. O resultado apresentado no Trabalho de Conclusão de Curso pode ser de natureza escrita (artigo de divulgação histórica; portfólio ou relato de experiência didática sobre aprendizagem histórica; inventário de documentos organizado para o ensino e a aprendizagem da história; artigos sobre pesquisas empíricas e teóricas acerca de aspectos e temas relacionados à educação, aos processos de ensino e de aprendizagem, ao currículo, à avaliação, à formação de professores no campo da história; produção de sequências didáticas e de intervenções pedagógicas), audiovisual (vídeo ou documentário de divulgação histórica ou sobre experiência didática no campo da história; trabalhos de caráter fotográfico ou iconográfico; podcasts; programas radiofônicos etc.) ou equivalente. Considerando as inúmeras possibilidades contemporâneas referentes à produção de conteúdos no campo da história, o TCC certamente permitirá que surjam trabalhos alternativos e diversificados, desde que a justificativa da proposta seja aceita pelo orientador. A diversidade de resultados apresentados como Trabalho de Conclusão de Curso está associada à necessidade de incorporação à formação docente do acesso às tecnologias de informação e comunicação do mundo contemporâneo, já que tais tecnologias impactam o trabalho dos historiadores/professores de história.  </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720" w:firstLineChars="0"/>
        <w:jc w:val="both"/>
        <w:rPr>
          <w:rFonts w:ascii="Times New Roman" w:hAnsi="Times New Roman" w:eastAsia="Liberation Serif" w:cs="Times New Roman"/>
          <w:color w:val="000000"/>
        </w:rPr>
      </w:pPr>
      <w:r>
        <w:rPr>
          <w:rFonts w:ascii="Times New Roman" w:hAnsi="Times New Roman" w:eastAsia="Calibri" w:cs="Times New Roman"/>
          <w:color w:val="000000"/>
        </w:rPr>
        <w:t>A escolha do orientador é de iniciativa do estudante, devendo ser respeitada a relação entre o currículo acadêmico do profissional e as escolhas teóricas, metodológicas e temáticas que norteiam o trabalho que será produzido. De acordo com a “Política institucional de formação de professores da UFOP. Diretrizes da UFOP para os cursos de licenciaturas”, é recomendável que todos os professores dos cursos atuem como orientadores dos projetos. O orientador pode ser de fora do Departamento de História, mas nesse caso a escolha do estudante será avaliada pelo Colegiado.</w:t>
      </w:r>
    </w:p>
    <w:p>
      <w:pPr>
        <w:pBdr>
          <w:top w:val="none" w:color="auto" w:sz="0" w:space="0"/>
          <w:left w:val="none" w:color="auto" w:sz="0" w:space="0"/>
          <w:bottom w:val="none" w:color="auto" w:sz="0" w:space="0"/>
          <w:right w:val="none" w:color="auto" w:sz="0" w:space="0"/>
          <w:between w:val="none" w:color="auto" w:sz="0" w:space="0"/>
        </w:pBdr>
        <w:spacing w:after="240"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ab/>
      </w:r>
      <w:r>
        <w:rPr>
          <w:rFonts w:ascii="Times New Roman" w:hAnsi="Times New Roman" w:eastAsia="Calibri" w:cs="Times New Roman"/>
          <w:color w:val="000000"/>
        </w:rPr>
        <w:tab/>
      </w:r>
      <w:r>
        <w:rPr>
          <w:rFonts w:ascii="Times New Roman" w:hAnsi="Times New Roman" w:eastAsia="Calibri" w:cs="Times New Roman"/>
          <w:color w:val="000000"/>
        </w:rPr>
        <w:t>A avaliação do Trabalho de Conclusão de Curso é feita sob a forma de análise crítica e confecção de pareceres, atividades realizadas por docentes do Departamento de História ou de fora. Por fim, de acordo com as “Diretrizes da UFOP para os cursos de licenciaturas”, a versão final dos TCCs deve ser depositada, obrigatoriamente, na Biblioteca Digital de Trabalhos de Conclusão de Curso (BDTCC), de acordo com as instruções e padrões estabelecidos pela Resolução Cepe 7.210, de 29 de junho de 2017.</w:t>
      </w:r>
    </w:p>
    <w:p>
      <w:pPr>
        <w:pBdr>
          <w:top w:val="none" w:color="auto" w:sz="0" w:space="0"/>
          <w:left w:val="none" w:color="auto" w:sz="0" w:space="0"/>
          <w:bottom w:val="none" w:color="auto" w:sz="0" w:space="0"/>
          <w:right w:val="none" w:color="auto" w:sz="0" w:space="0"/>
          <w:between w:val="none" w:color="auto" w:sz="0" w:space="0"/>
        </w:pBdr>
        <w:spacing w:after="240" w:line="360" w:lineRule="auto"/>
        <w:ind w:left="0" w:hanging="2"/>
        <w:rPr>
          <w:rFonts w:ascii="Times New Roman" w:hAnsi="Times New Roman" w:eastAsia="Liberation Serif" w:cs="Times New Roman"/>
          <w:color w:val="000000"/>
        </w:rPr>
      </w:pPr>
      <w:r>
        <w:rPr>
          <w:rFonts w:ascii="Times New Roman" w:hAnsi="Times New Roman" w:eastAsia="Calibri" w:cs="Times New Roman"/>
          <w:i/>
          <w:color w:val="000000"/>
        </w:rPr>
        <w:t>V. Atividades Acadêmicas Científicas e Culturais (AACC)</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720" w:firstLineChars="0"/>
        <w:jc w:val="both"/>
        <w:rPr>
          <w:rFonts w:ascii="Times New Roman" w:hAnsi="Times New Roman" w:eastAsia="Liberation Serif" w:cs="Times New Roman"/>
          <w:color w:val="000000"/>
        </w:rPr>
      </w:pPr>
      <w:r>
        <w:rPr>
          <w:rFonts w:ascii="Times New Roman" w:hAnsi="Times New Roman" w:eastAsia="Calibri" w:cs="Times New Roman"/>
          <w:color w:val="000000"/>
        </w:rPr>
        <w:t xml:space="preserve">O discente deve desenvolver as atividades acadêmico-científico-culturais (AACC) que totalizem 200 horas em consonância com a Resolução Cohis 02/2019. </w:t>
      </w:r>
    </w:p>
    <w:p>
      <w:pPr>
        <w:pBdr>
          <w:top w:val="none" w:color="auto" w:sz="0" w:space="0"/>
          <w:left w:val="none" w:color="auto" w:sz="0" w:space="0"/>
          <w:bottom w:val="none" w:color="auto" w:sz="0" w:space="0"/>
          <w:right w:val="none" w:color="auto" w:sz="0" w:space="0"/>
          <w:between w:val="none" w:color="auto" w:sz="0" w:space="0"/>
        </w:pBdr>
        <w:spacing w:after="240" w:line="360"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240" w:line="360" w:lineRule="auto"/>
        <w:ind w:left="0" w:hanging="2"/>
        <w:rPr>
          <w:rFonts w:ascii="Times New Roman" w:hAnsi="Times New Roman" w:eastAsia="Liberation Serif" w:cs="Times New Roman"/>
          <w:color w:val="000000"/>
        </w:rPr>
      </w:pPr>
      <w:r>
        <w:rPr>
          <w:rFonts w:ascii="Times New Roman" w:hAnsi="Times New Roman" w:eastAsia="Calibri" w:cs="Times New Roman"/>
          <w:b/>
          <w:color w:val="000000"/>
        </w:rPr>
        <w:t>Extensão</w:t>
      </w:r>
    </w:p>
    <w:p>
      <w:pPr>
        <w:pBdr>
          <w:top w:val="none" w:color="auto" w:sz="0" w:space="0"/>
          <w:left w:val="none" w:color="auto" w:sz="0" w:space="0"/>
          <w:bottom w:val="none" w:color="auto" w:sz="0" w:space="0"/>
          <w:right w:val="none" w:color="auto" w:sz="0" w:space="0"/>
          <w:between w:val="none" w:color="auto" w:sz="0" w:space="0"/>
        </w:pBdr>
        <w:spacing w:before="77" w:line="360" w:lineRule="auto"/>
        <w:ind w:left="0" w:leftChars="0" w:right="114" w:firstLine="720" w:firstLineChars="0"/>
        <w:jc w:val="both"/>
        <w:rPr>
          <w:rFonts w:ascii="Times New Roman" w:hAnsi="Times New Roman" w:eastAsia="Calibri" w:cs="Times New Roman"/>
          <w:color w:val="000000"/>
        </w:rPr>
      </w:pPr>
      <w:r>
        <w:rPr>
          <w:rFonts w:ascii="Times New Roman" w:hAnsi="Times New Roman" w:eastAsia="Calibri" w:cs="Times New Roman"/>
          <w:color w:val="000000"/>
        </w:rPr>
        <w:t>De forma mais ampla, uma definição de Extensão Universitária, que envolve atividades, ações, programas e projetos extensionistas, aponta para seu caráter educativo, cultural, científico e político, embasado em processos multi, inter e transdisciplinares, que possam estimular a gestação de ações transformadoras entre a Universidade e diferentes setores da sociedade.</w:t>
      </w: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leftChars="0" w:right="114" w:firstLine="720" w:firstLineChars="0"/>
        <w:jc w:val="both"/>
        <w:rPr>
          <w:rFonts w:ascii="Times New Roman" w:hAnsi="Times New Roman" w:eastAsia="Times New Roman" w:cs="Times New Roman"/>
          <w:color w:val="000000"/>
        </w:rPr>
      </w:pPr>
      <w:r>
        <w:rPr>
          <w:rFonts w:ascii="Times New Roman" w:hAnsi="Times New Roman" w:eastAsia="Calibri" w:cs="Times New Roman"/>
          <w:color w:val="000000"/>
        </w:rPr>
        <w:t>De acordo com a Pró-Reitoria de Extensão da Universidade Federal de Ouro Preto, o principal objetivo da extensão se relaciona às ações que visam à criação de vínculos com a sociedade de forma mais ampla, a partir de uma relação de diálogo horizontal, com especial atenção para as demandas construídas ativamente pela população local e regional que circunda a Universidade.</w:t>
      </w:r>
    </w:p>
    <w:p>
      <w:pPr>
        <w:pBdr>
          <w:top w:val="none" w:color="auto" w:sz="0" w:space="0"/>
          <w:left w:val="none" w:color="auto" w:sz="0" w:space="0"/>
          <w:bottom w:val="none" w:color="auto" w:sz="0" w:space="0"/>
          <w:right w:val="none" w:color="auto" w:sz="0" w:space="0"/>
          <w:between w:val="none" w:color="auto" w:sz="0" w:space="0"/>
        </w:pBdr>
        <w:spacing w:before="77" w:line="360" w:lineRule="auto"/>
        <w:ind w:left="0" w:leftChars="0" w:right="114" w:firstLine="720" w:firstLineChars="0"/>
        <w:jc w:val="both"/>
        <w:rPr>
          <w:rFonts w:ascii="Times New Roman" w:hAnsi="Times New Roman" w:eastAsia="Calibri" w:cs="Times New Roman"/>
          <w:color w:val="000000"/>
        </w:rPr>
      </w:pPr>
      <w:r>
        <w:rPr>
          <w:rFonts w:ascii="Times New Roman" w:hAnsi="Times New Roman" w:eastAsia="Calibri" w:cs="Times New Roman"/>
          <w:color w:val="000000"/>
        </w:rPr>
        <w:t xml:space="preserve">Em suma, a extensão universitária busca promover diálogos com a sociedade, sem perder de vista que uma de suas principais bases se vincula ao seu caráter acadêmico, com o objetivo de consolidar valores democráticos, humanitários e de equidade sociocultural. Seus pressupostos se relacionam à interação dialógica; à interdisciplinaridade e interprofissionalidade; à indissociabilidade ensino–pesquisa— extensão; ao impacto na formação do corpo discente; bem como ao impacto e transformação social. </w:t>
      </w:r>
    </w:p>
    <w:p>
      <w:pPr>
        <w:pBdr>
          <w:top w:val="none" w:color="auto" w:sz="0" w:space="0"/>
          <w:left w:val="none" w:color="auto" w:sz="0" w:space="0"/>
          <w:bottom w:val="none" w:color="auto" w:sz="0" w:space="0"/>
          <w:right w:val="none" w:color="auto" w:sz="0" w:space="0"/>
          <w:between w:val="none" w:color="auto" w:sz="0" w:space="0"/>
        </w:pBdr>
        <w:spacing w:before="77" w:line="360" w:lineRule="auto"/>
        <w:ind w:left="0" w:leftChars="0" w:right="114" w:firstLine="720" w:firstLineChars="0"/>
        <w:jc w:val="both"/>
        <w:rPr>
          <w:rFonts w:ascii="Times New Roman" w:hAnsi="Times New Roman" w:eastAsia="Times New Roman" w:cs="Times New Roman"/>
          <w:color w:val="000000"/>
        </w:rPr>
      </w:pPr>
      <w:r>
        <w:rPr>
          <w:rFonts w:ascii="Times New Roman" w:hAnsi="Times New Roman" w:eastAsia="Calibri" w:cs="Times New Roman"/>
          <w:color w:val="000000"/>
        </w:rPr>
        <w:t xml:space="preserve">Em nova versão do Plano de Projeto de Curso serão detalhadas as propostas para o melhor atendimento ao Plano Nacional de Educação (PNE 2014-2024), regido pela lei federal 13.005, de 25 de junho de 2014, no qual se define que as universidades devem assegurar pelo menos dez por cento do total de créditos curriculares necessários para a conclusão da graduação em atividades, programas e projetos de extensão universitária. </w:t>
      </w: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right="114" w:hanging="2"/>
        <w:jc w:val="both"/>
        <w:rPr>
          <w:rFonts w:ascii="Times New Roman" w:hAnsi="Times New Roman" w:eastAsia="Times New Roman" w:cs="Times New Roman"/>
          <w:color w:val="000000"/>
        </w:rPr>
      </w:pPr>
      <w:r>
        <w:rPr>
          <w:rFonts w:ascii="Times New Roman" w:hAnsi="Times New Roman" w:eastAsia="Calibri" w:cs="Times New Roman"/>
          <w:color w:val="000000"/>
        </w:rPr>
        <w:t xml:space="preserve">A despeito do que será proposto futuramente, importa destacar os projetos de extensão que já estão em funcionamento no Departamento de História, quais sejam: </w:t>
      </w:r>
    </w:p>
    <w:p>
      <w:pPr>
        <w:pBdr>
          <w:top w:val="none" w:color="auto" w:sz="0" w:space="0"/>
          <w:left w:val="none" w:color="auto" w:sz="0" w:space="0"/>
          <w:bottom w:val="none" w:color="auto" w:sz="0" w:space="0"/>
          <w:right w:val="none" w:color="auto" w:sz="0" w:space="0"/>
          <w:between w:val="none" w:color="auto" w:sz="0" w:space="0"/>
        </w:pBdr>
        <w:spacing w:line="360" w:lineRule="auto"/>
        <w:ind w:left="0" w:right="114" w:hanging="2"/>
        <w:jc w:val="both"/>
        <w:rPr>
          <w:rFonts w:ascii="Times New Roman" w:hAnsi="Times New Roman" w:eastAsia="Times New Roman" w:cs="Times New Roman"/>
          <w:color w:val="000000"/>
        </w:rPr>
      </w:pPr>
      <w:r>
        <w:rPr>
          <w:rFonts w:ascii="Times New Roman" w:hAnsi="Times New Roman" w:eastAsia="Calibri" w:cs="Times New Roman"/>
          <w:color w:val="000000"/>
        </w:rPr>
        <w:t>Os atuais programas e projetos realizados no interior do curso de história são:</w:t>
      </w:r>
    </w:p>
    <w:p>
      <w:pPr>
        <w:pBdr>
          <w:top w:val="none" w:color="auto" w:sz="0" w:space="0"/>
          <w:left w:val="none" w:color="auto" w:sz="0" w:space="0"/>
          <w:bottom w:val="none" w:color="auto" w:sz="0" w:space="0"/>
          <w:right w:val="none" w:color="auto" w:sz="0" w:space="0"/>
          <w:between w:val="none" w:color="auto" w:sz="0" w:space="0"/>
        </w:pBdr>
        <w:spacing w:line="360" w:lineRule="auto"/>
        <w:ind w:left="0" w:right="113" w:hanging="2"/>
        <w:jc w:val="both"/>
        <w:rPr>
          <w:rFonts w:ascii="Times New Roman" w:hAnsi="Times New Roman" w:eastAsia="Calibri"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tabs>
          <w:tab w:val="left" w:pos="1169"/>
        </w:tabs>
        <w:spacing w:line="360" w:lineRule="auto"/>
        <w:ind w:left="0" w:right="113" w:hanging="2"/>
        <w:rPr>
          <w:rFonts w:ascii="Times New Roman" w:hAnsi="Times New Roman" w:eastAsia="Times New Roman" w:cs="Times New Roman"/>
          <w:color w:val="000000"/>
        </w:rPr>
      </w:pPr>
      <w:r>
        <w:rPr>
          <w:rFonts w:ascii="Times New Roman" w:hAnsi="Times New Roman" w:eastAsia="Calibri" w:cs="Times New Roman"/>
          <w:b/>
          <w:i/>
          <w:color w:val="000000"/>
        </w:rPr>
        <w:t>Arquivo Aberto</w:t>
      </w:r>
      <w:r>
        <w:rPr>
          <w:rFonts w:ascii="Times New Roman" w:hAnsi="Times New Roman" w:eastAsia="Calibri" w:cs="Times New Roman"/>
          <w:i/>
          <w:color w:val="000000"/>
        </w:rPr>
        <w:t xml:space="preserve">, </w:t>
      </w:r>
      <w:r>
        <w:rPr>
          <w:rFonts w:ascii="Times New Roman" w:hAnsi="Times New Roman" w:eastAsia="Calibri" w:cs="Times New Roman"/>
          <w:color w:val="000000"/>
        </w:rPr>
        <w:t>sob coordenação da professora Anny Jackeline Torres da  Silveira</w:t>
      </w:r>
      <w:r>
        <w:rPr>
          <w:rFonts w:ascii="Times New Roman" w:hAnsi="Times New Roman" w:eastAsia="Calibri" w:cs="Times New Roman"/>
          <w:i/>
          <w:color w:val="000000"/>
        </w:rPr>
        <w:t>.</w:t>
      </w:r>
    </w:p>
    <w:p>
      <w:pPr>
        <w:pBdr>
          <w:top w:val="none" w:color="auto" w:sz="0" w:space="0"/>
          <w:left w:val="none" w:color="auto" w:sz="0" w:space="0"/>
          <w:bottom w:val="none" w:color="auto" w:sz="0" w:space="0"/>
          <w:right w:val="none" w:color="auto" w:sz="0" w:space="0"/>
          <w:between w:val="none" w:color="auto" w:sz="0" w:space="0"/>
        </w:pBdr>
        <w:spacing w:line="360" w:lineRule="auto"/>
        <w:ind w:left="0" w:right="114" w:hanging="2"/>
        <w:jc w:val="both"/>
        <w:rPr>
          <w:rFonts w:ascii="Times New Roman" w:hAnsi="Times New Roman" w:eastAsia="Times New Roman" w:cs="Times New Roman"/>
          <w:color w:val="000000"/>
        </w:rPr>
      </w:pPr>
      <w:r>
        <w:rPr>
          <w:rFonts w:ascii="Times New Roman" w:hAnsi="Times New Roman" w:eastAsia="Calibri" w:cs="Times New Roman"/>
          <w:color w:val="000000"/>
        </w:rPr>
        <w:t>Resumo: O projeto Arquivo Aberto é uma releitura do projeto de mesmo nome realizado em 2008, que trouxe bons resultados na interação das atividades do arquivo com a comunidade. O projeto visa à realização de visitas orientadas de crianças das escolas públicas municipais e estaduais dos municípios de Mariana e Ouro Preto ao Arquivo Histórico da Câmara Municipal de Mariana (AHCMM), situado no Instituto de  Ciências Humanas e Sociais, com o intuito de apresentar-lhes nosso acervo e viabilizar o (re)conhecimento da história local. Com efeito, o objetivo central dessas visitas é criar condições de articulação entre a memória da comunidade e o registro documental, viabilizando, por conseguinte, o fomento à construção de identidades e da cidadania.</w:t>
      </w:r>
    </w:p>
    <w:p>
      <w:pPr>
        <w:widowControl w:val="0"/>
        <w:pBdr>
          <w:top w:val="none" w:color="auto" w:sz="0" w:space="0"/>
          <w:left w:val="none" w:color="auto" w:sz="0" w:space="0"/>
          <w:bottom w:val="none" w:color="auto" w:sz="0" w:space="0"/>
          <w:right w:val="none" w:color="auto" w:sz="0" w:space="0"/>
          <w:between w:val="none" w:color="auto" w:sz="0" w:space="0"/>
        </w:pBdr>
        <w:tabs>
          <w:tab w:val="left" w:pos="1169"/>
          <w:tab w:val="left" w:pos="2265"/>
        </w:tabs>
        <w:spacing w:line="360" w:lineRule="auto"/>
        <w:ind w:left="0" w:right="113" w:hanging="2"/>
        <w:jc w:val="both"/>
        <w:rPr>
          <w:rFonts w:ascii="Times New Roman" w:hAnsi="Times New Roman" w:eastAsia="Calibri"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tabs>
          <w:tab w:val="left" w:pos="1169"/>
          <w:tab w:val="left" w:pos="2265"/>
        </w:tabs>
        <w:spacing w:line="360" w:lineRule="auto"/>
        <w:ind w:left="0" w:right="113" w:hanging="2"/>
        <w:rPr>
          <w:rFonts w:ascii="Times New Roman" w:hAnsi="Times New Roman" w:eastAsia="Times New Roman" w:cs="Times New Roman"/>
          <w:color w:val="000000"/>
        </w:rPr>
      </w:pPr>
      <w:r>
        <w:rPr>
          <w:rFonts w:ascii="Times New Roman" w:hAnsi="Times New Roman" w:eastAsia="Calibri" w:cs="Times New Roman"/>
          <w:b/>
          <w:i/>
          <w:color w:val="000000"/>
        </w:rPr>
        <w:t>As escolas de Mariana e a Olimpíada Nacional em História do Brasil</w:t>
      </w:r>
      <w:r>
        <w:rPr>
          <w:rFonts w:ascii="Times New Roman" w:hAnsi="Times New Roman" w:eastAsia="Calibri" w:cs="Times New Roman"/>
          <w:i/>
          <w:color w:val="000000"/>
        </w:rPr>
        <w:t xml:space="preserve">, </w:t>
      </w:r>
      <w:r>
        <w:rPr>
          <w:rFonts w:ascii="Times New Roman" w:hAnsi="Times New Roman" w:eastAsia="Calibri" w:cs="Times New Roman"/>
          <w:color w:val="000000"/>
        </w:rPr>
        <w:t>sob orientação da professora Helena Miranda Mollo.</w:t>
      </w:r>
    </w:p>
    <w:p>
      <w:pPr>
        <w:pBdr>
          <w:top w:val="none" w:color="auto" w:sz="0" w:space="0"/>
          <w:left w:val="none" w:color="auto" w:sz="0" w:space="0"/>
          <w:bottom w:val="none" w:color="auto" w:sz="0" w:space="0"/>
          <w:right w:val="none" w:color="auto" w:sz="0" w:space="0"/>
          <w:between w:val="none" w:color="auto" w:sz="0" w:space="0"/>
        </w:pBdr>
        <w:spacing w:line="360" w:lineRule="auto"/>
        <w:ind w:left="0" w:right="114" w:hanging="2"/>
        <w:jc w:val="both"/>
        <w:rPr>
          <w:rFonts w:ascii="Times New Roman" w:hAnsi="Times New Roman" w:eastAsia="Times New Roman" w:cs="Times New Roman"/>
          <w:color w:val="000000"/>
        </w:rPr>
      </w:pPr>
      <w:r>
        <w:rPr>
          <w:rFonts w:ascii="Times New Roman" w:hAnsi="Times New Roman" w:eastAsia="Calibri" w:cs="Times New Roman"/>
          <w:color w:val="000000"/>
        </w:rPr>
        <w:t>Resumo: O projeto visa estimular os professores de Mariana a participarem da Olimpíada Nacional em História do Brasil. Desde seu início, em 2009, poucos professores participaram com as escolas da cidade — logo Mariana, que foi a primeira capital de Minas, é sede do primeiro Bispado (1745), e possui uma instituição educacional com 170 anos, o Colégio Providência. A cidade, que é um celeiro da cultura histórica mineira, pode refletir ainda mais sobre esse processo de construção crescente. Outros projetos de extensão que ora vigoram no ICHS, como o “Arquivo Aberto”, contribuem com este projeto no desenvolvimento de  estratégias de reorganização das ações, visto que as atividades da Olimpíada preveem a tratativa com documentos variados e que o acervo do AHCM pode ser de grande valia, suscitando um importante trabalho coletivo. A Olimpíada Nacional em História do Brasil é de grande importância não só para o aprofundamento dos conteúdos da disciplina de História, mas também de conteúdos interdisciplinares, além do desenvolvimento da capacidade de interpretação de textos, da leitura e da escrita. A capacidade de relacionar conteúdos, temas, e sistematizar respostas é fundamental para a formação do aluno e o evento é uma ótima oportunidade para que esse processo aconteça.</w:t>
      </w:r>
    </w:p>
    <w:p>
      <w:pPr>
        <w:pBdr>
          <w:top w:val="none" w:color="auto" w:sz="0" w:space="0"/>
          <w:left w:val="none" w:color="auto" w:sz="0" w:space="0"/>
          <w:bottom w:val="none" w:color="auto" w:sz="0" w:space="0"/>
          <w:right w:val="none" w:color="auto" w:sz="0" w:space="0"/>
          <w:between w:val="none" w:color="auto" w:sz="0" w:space="0"/>
        </w:pBdr>
        <w:spacing w:line="360" w:lineRule="auto"/>
        <w:ind w:left="0" w:right="114" w:hanging="2"/>
        <w:jc w:val="both"/>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Calibri" w:cs="Times New Roman"/>
          <w:b/>
          <w:i/>
          <w:color w:val="000000"/>
        </w:rPr>
        <w:t>Democracia, cidadania e eurocentrismo: direitos humanos, antirracismo e tolerância religiosa nas escolas públicas de Mariana e Ouro Preto</w:t>
      </w:r>
      <w:r>
        <w:rPr>
          <w:rFonts w:ascii="Times New Roman" w:hAnsi="Times New Roman" w:eastAsia="Calibri" w:cs="Times New Roman"/>
          <w:color w:val="000000"/>
        </w:rPr>
        <w:t>, sob coordenação do professor Mateus Henrique de Faria Pereira (atualmente está interrompido)</w:t>
      </w:r>
    </w:p>
    <w:p>
      <w:pPr>
        <w:pBdr>
          <w:top w:val="none" w:color="auto" w:sz="0" w:space="0"/>
          <w:left w:val="none" w:color="auto" w:sz="0" w:space="0"/>
          <w:bottom w:val="none" w:color="auto" w:sz="0" w:space="0"/>
          <w:right w:val="none" w:color="auto" w:sz="0" w:space="0"/>
          <w:between w:val="none" w:color="auto" w:sz="0" w:space="0"/>
        </w:pBdr>
        <w:spacing w:line="360" w:lineRule="auto"/>
        <w:ind w:left="0" w:right="114" w:hanging="2"/>
        <w:jc w:val="both"/>
        <w:rPr>
          <w:rFonts w:ascii="Times New Roman" w:hAnsi="Times New Roman" w:eastAsia="Times New Roman" w:cs="Times New Roman"/>
          <w:color w:val="000000"/>
        </w:rPr>
      </w:pPr>
      <w:r>
        <w:rPr>
          <w:rFonts w:ascii="Times New Roman" w:hAnsi="Times New Roman" w:eastAsia="Calibri" w:cs="Times New Roman"/>
          <w:color w:val="000000"/>
        </w:rPr>
        <w:t>Resumo: O projeto pretende atender à demanda de professores de escolas públicas, da região de Ouro Preto e Mariana, por aprofundamento na promoção dos direitos humanos, especificamente em temas relacionados a luta antirracista, tolerância religiosa, e demais temas propostos pelos professores colaboradores, onde se perceba maior dificuldade de abordagem, entendimento e aprofundamento, atendendo também à demanda presente no BNCC. São produzidos materiais didáticos e planos de aula, em relação dialógica entre a coordenação do projeto e os professores colaboradores e discentes da UFOP. O objetivo do projeto é que esses planos de aula sejam realizados pelos discentes nas escolas públicas parceiras, sob a supervisão dos professores colaboradores.</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Calibri"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tabs>
          <w:tab w:val="left" w:pos="1169"/>
        </w:tabs>
        <w:spacing w:line="360" w:lineRule="auto"/>
        <w:ind w:left="0" w:right="113" w:hanging="2"/>
        <w:rPr>
          <w:rFonts w:ascii="Times New Roman" w:hAnsi="Times New Roman" w:eastAsia="Times New Roman" w:cs="Times New Roman"/>
          <w:color w:val="000000"/>
        </w:rPr>
      </w:pPr>
      <w:r>
        <w:rPr>
          <w:rFonts w:ascii="Times New Roman" w:hAnsi="Times New Roman" w:eastAsia="Calibri" w:cs="Times New Roman"/>
          <w:b/>
          <w:i/>
          <w:color w:val="000000"/>
        </w:rPr>
        <w:t>HH Magazine: humanidades em rede - História pública democrática</w:t>
      </w:r>
      <w:r>
        <w:rPr>
          <w:rFonts w:ascii="Times New Roman" w:hAnsi="Times New Roman" w:eastAsia="Calibri" w:cs="Times New Roman"/>
          <w:i/>
          <w:color w:val="000000"/>
        </w:rPr>
        <w:t>,</w:t>
      </w:r>
      <w:r>
        <w:rPr>
          <w:rFonts w:ascii="Times New Roman" w:hAnsi="Times New Roman" w:eastAsia="Calibri" w:cs="Times New Roman"/>
          <w:color w:val="000000"/>
        </w:rPr>
        <w:t xml:space="preserve"> sob coordenação do professor Valdei Lopes de Araujo.</w:t>
      </w:r>
    </w:p>
    <w:p>
      <w:pPr>
        <w:pBdr>
          <w:top w:val="none" w:color="auto" w:sz="0" w:space="0"/>
          <w:left w:val="none" w:color="auto" w:sz="0" w:space="0"/>
          <w:bottom w:val="none" w:color="auto" w:sz="0" w:space="0"/>
          <w:right w:val="none" w:color="auto" w:sz="0" w:space="0"/>
          <w:between w:val="none" w:color="auto" w:sz="0" w:space="0"/>
        </w:pBdr>
        <w:spacing w:line="360" w:lineRule="auto"/>
        <w:ind w:left="0" w:right="114" w:hanging="2"/>
        <w:jc w:val="both"/>
        <w:rPr>
          <w:rFonts w:ascii="Times New Roman" w:hAnsi="Times New Roman" w:eastAsia="Times New Roman" w:cs="Times New Roman"/>
          <w:color w:val="000000"/>
        </w:rPr>
      </w:pPr>
      <w:r>
        <w:rPr>
          <w:rFonts w:ascii="Times New Roman" w:hAnsi="Times New Roman" w:eastAsia="Calibri" w:cs="Times New Roman"/>
          <w:color w:val="000000"/>
        </w:rPr>
        <w:t>Resumo: O presente projeto visa o desenvolvimento e manutenção de um portal de internet voltado para a promoção de ações de difusão de conhecimentos, curadoria, divulgação científica e história pública nos campos das humanidades. O site “HH Magazine: humanidades em rede” é uma iniciativa que parte da revista História da Historiografia (Qualis A1) cujo objetivo é estabelecer um espaço amplo e dinâmico de discussões sobre história, literatura, antropologia, geografia, filosofia e outras áreas que compõem as humanidades em geral. Essa plataforma se desenvolve com uma linguagem não acadêmica, mas que preza pela qualidade de conteúdo e forma. São publicados no portal artigos, resenhas de livros, entrevistas, crônicas, documentários, podcasts, videoaulas, críticas literárias, comentários, etc. Dessa maneira, compreendemos que o portal proporciona uma forma diversificada e democrática de acesso ao conhecimento alinhada às linguagens digitais atuais, sendo uma oportunidade de articulação entre pesquisa, ensino e extensão para alunos de graduação e pós-graduação interessados em novas linguagens.</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Calibri"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tabs>
          <w:tab w:val="left" w:pos="1169"/>
        </w:tabs>
        <w:spacing w:line="360" w:lineRule="auto"/>
        <w:ind w:left="0" w:right="113" w:hanging="2"/>
        <w:rPr>
          <w:rFonts w:ascii="Times New Roman" w:hAnsi="Times New Roman" w:eastAsia="Times New Roman" w:cs="Times New Roman"/>
          <w:color w:val="000000"/>
        </w:rPr>
      </w:pPr>
      <w:r>
        <w:rPr>
          <w:rFonts w:ascii="Times New Roman" w:hAnsi="Times New Roman" w:eastAsia="Calibri" w:cs="Times New Roman"/>
          <w:b/>
          <w:i/>
          <w:color w:val="000000"/>
        </w:rPr>
        <w:t>Per vias et locos: noticiando as pesquisas das cidades do Patrimônio  Nacional</w:t>
      </w:r>
      <w:r>
        <w:rPr>
          <w:rFonts w:ascii="Times New Roman" w:hAnsi="Times New Roman" w:eastAsia="Calibri" w:cs="Times New Roman"/>
          <w:color w:val="000000"/>
        </w:rPr>
        <w:t>, sob coordenação do professor Francisco Eduardo de Andrade.</w:t>
      </w:r>
    </w:p>
    <w:p>
      <w:pPr>
        <w:pBdr>
          <w:top w:val="none" w:color="auto" w:sz="0" w:space="0"/>
          <w:left w:val="none" w:color="auto" w:sz="0" w:space="0"/>
          <w:bottom w:val="none" w:color="auto" w:sz="0" w:space="0"/>
          <w:right w:val="none" w:color="auto" w:sz="0" w:space="0"/>
          <w:between w:val="none" w:color="auto" w:sz="0" w:space="0"/>
        </w:pBdr>
        <w:spacing w:line="360" w:lineRule="auto"/>
        <w:ind w:left="0" w:right="114" w:hanging="2"/>
        <w:jc w:val="both"/>
        <w:rPr>
          <w:rFonts w:ascii="Times New Roman" w:hAnsi="Times New Roman" w:eastAsia="Times New Roman" w:cs="Times New Roman"/>
          <w:color w:val="000000"/>
        </w:rPr>
      </w:pPr>
      <w:r>
        <w:rPr>
          <w:rFonts w:ascii="Times New Roman" w:hAnsi="Times New Roman" w:eastAsia="Calibri" w:cs="Times New Roman"/>
          <w:color w:val="000000"/>
        </w:rPr>
        <w:t>Resumo: O site “Per vias et locos” é uma página de comunicação social que objetiva divulgar pesquisas, notícias e eventos referentes a temáticas como história, historiografia, territorialidade e patrimônio mineiros. A primeira versão deste portal foi pensada com o título Historiografia, território e patrimônio: noticiando as pesquisas das cidades históricas mineiras, a fim de já expor função e eixos temáticos em seu nome. Para a segunda fase do projeto, optou-se pela alteração do título, no intuito de expressar as relações dinâmicas e orgânicas constitutivas da história e da historiografia de Minas Gerais e de seus personagens. Assim, o site Per vias et locos (Caminhos e lugares) tem divulgado trabalhos historiográficos, eventos acadêmicos e publicações de diversas naturezas que versem sobre o passado mineiro e seus desdobramentos no presente. Objetiva-se, através destas postagens, que seja criada uma rede de trocas de saberes entre pesquisadores em formação, pesquisadores especializados e comunidades habitantes das cidades, além de demais interessados nos temas tratados.</w:t>
      </w:r>
      <w:r>
        <w:rPr>
          <w:rFonts w:ascii="Times New Roman" w:hAnsi="Times New Roman" w:eastAsia="Times New Roman" w:cs="Times New Roman"/>
          <w:color w:val="000000"/>
        </w:rPr>
        <w:t xml:space="preserve"> </w:t>
      </w:r>
      <w:r>
        <w:rPr>
          <w:rFonts w:ascii="Times New Roman" w:hAnsi="Times New Roman" w:eastAsia="Calibri" w:cs="Times New Roman"/>
          <w:color w:val="000000"/>
        </w:rPr>
        <w:t>Ao abordar especialmente os séculos XVIII e XIX, bem como os processos oficiais e cotidianos de patrimonialização de certos ambientes urbanos mineiros, busca- se problematizar as narrativas construídas sobre esses espaços. Para tanto, as publicações do portal versam também sobre a religiosidade e as manifestações culturais percebidas nestes ambientes patrimonializados, no passado e no presente. Através do material divulgado, busca-se oferecer, aos discentes, docentes, pesquisadores, turistas e comunidades que vivem nestes ambientes, um quadro interpretativo dos usos e das apropriações do passado e da memória destas cidades como ambientes não cristalizados, mas de constante ressignificação.</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Calibri" w:cs="Times New Roman"/>
          <w:b/>
          <w:i/>
          <w:color w:val="000000"/>
        </w:rPr>
        <w:t>Sapere Aude</w:t>
      </w:r>
      <w:r>
        <w:rPr>
          <w:rFonts w:ascii="Times New Roman" w:hAnsi="Times New Roman" w:eastAsia="Calibri" w:cs="Times New Roman"/>
          <w:color w:val="000000"/>
        </w:rPr>
        <w:t>, sob coordenação dos professores Fábio Faversani (Dehis),  Alexandre Agnolon (Delet) e Artur Costrino (Delet).</w:t>
      </w:r>
    </w:p>
    <w:p>
      <w:pPr>
        <w:pBdr>
          <w:top w:val="none" w:color="auto" w:sz="0" w:space="0"/>
          <w:left w:val="none" w:color="auto" w:sz="0" w:space="0"/>
          <w:bottom w:val="none" w:color="auto" w:sz="0" w:space="0"/>
          <w:right w:val="none" w:color="auto" w:sz="0" w:space="0"/>
          <w:between w:val="none" w:color="auto" w:sz="0" w:space="0"/>
        </w:pBdr>
        <w:spacing w:line="360" w:lineRule="auto"/>
        <w:ind w:left="0" w:right="114" w:hanging="2"/>
        <w:jc w:val="both"/>
        <w:rPr>
          <w:rFonts w:ascii="Times New Roman" w:hAnsi="Times New Roman" w:eastAsia="Times New Roman" w:cs="Times New Roman"/>
          <w:color w:val="000000"/>
        </w:rPr>
      </w:pPr>
      <w:r>
        <w:rPr>
          <w:rFonts w:ascii="Times New Roman" w:hAnsi="Times New Roman" w:eastAsia="Calibri" w:cs="Times New Roman"/>
          <w:color w:val="000000"/>
        </w:rPr>
        <w:t>Resumo: Podcast com foco nos Estudos Clássicos, produzido com a colaboração da Rádio Plural, do Laboratório de Jornalismo da UFOP, do Laboratório de Estudos sobre o Império Romano, do Núcleo de Estudos Literários, e dos Programas de Pós-Graduação em História e Letras da UFOP.</w:t>
      </w:r>
    </w:p>
    <w:p>
      <w:pPr>
        <w:pBdr>
          <w:top w:val="none" w:color="auto" w:sz="0" w:space="0"/>
          <w:left w:val="none" w:color="auto" w:sz="0" w:space="0"/>
          <w:bottom w:val="none" w:color="auto" w:sz="0" w:space="0"/>
          <w:right w:val="none" w:color="auto" w:sz="0" w:space="0"/>
          <w:between w:val="none" w:color="auto" w:sz="0" w:space="0"/>
        </w:pBdr>
        <w:tabs>
          <w:tab w:val="left" w:pos="1623"/>
          <w:tab w:val="left" w:pos="2638"/>
          <w:tab w:val="left" w:pos="3692"/>
          <w:tab w:val="left" w:pos="4547"/>
          <w:tab w:val="left" w:pos="6202"/>
          <w:tab w:val="left" w:pos="7083"/>
          <w:tab w:val="left" w:pos="8431"/>
        </w:tabs>
        <w:spacing w:line="360" w:lineRule="auto"/>
        <w:ind w:left="0" w:right="113" w:hanging="2"/>
        <w:rPr>
          <w:rFonts w:ascii="Times New Roman" w:hAnsi="Times New Roman" w:eastAsia="Calibri" w:cs="Times New Roman"/>
          <w:color w:val="0461C1"/>
          <w:u w:val="single"/>
        </w:rPr>
      </w:pPr>
      <w:r>
        <w:rPr>
          <w:rFonts w:ascii="Times New Roman" w:hAnsi="Times New Roman" w:eastAsia="Calibri" w:cs="Times New Roman"/>
          <w:color w:val="000000"/>
        </w:rPr>
        <w:t xml:space="preserve">Link para os programas: </w:t>
      </w:r>
      <w:r>
        <w:fldChar w:fldCharType="begin"/>
      </w:r>
      <w:r>
        <w:instrText xml:space="preserve"> HYPERLINK "https://open.spotify.com/show/2mlo60c2hradn1yHbB4ham" \h </w:instrText>
      </w:r>
      <w:r>
        <w:fldChar w:fldCharType="separate"/>
      </w:r>
      <w:r>
        <w:rPr>
          <w:rFonts w:ascii="Times New Roman" w:hAnsi="Times New Roman" w:eastAsia="Calibri" w:cs="Times New Roman"/>
          <w:color w:val="000000"/>
        </w:rPr>
        <w:t>https://open.spotify.com/show/2mlo60c2hradn1yHbB4ham</w:t>
      </w:r>
      <w:r>
        <w:rPr>
          <w:rFonts w:ascii="Times New Roman" w:hAnsi="Times New Roman" w:eastAsia="Calibri" w:cs="Times New Roman"/>
          <w:color w:val="000000"/>
        </w:rPr>
        <w:fldChar w:fldCharType="end"/>
      </w:r>
    </w:p>
    <w:p>
      <w:pPr>
        <w:pBdr>
          <w:top w:val="none" w:color="auto" w:sz="0" w:space="0"/>
          <w:left w:val="none" w:color="auto" w:sz="0" w:space="0"/>
          <w:bottom w:val="none" w:color="auto" w:sz="0" w:space="0"/>
          <w:right w:val="none" w:color="auto" w:sz="0" w:space="0"/>
          <w:between w:val="none" w:color="auto" w:sz="0" w:space="0"/>
        </w:pBdr>
        <w:tabs>
          <w:tab w:val="left" w:pos="1623"/>
          <w:tab w:val="left" w:pos="2638"/>
          <w:tab w:val="left" w:pos="3692"/>
          <w:tab w:val="left" w:pos="4547"/>
          <w:tab w:val="left" w:pos="6202"/>
          <w:tab w:val="left" w:pos="7083"/>
          <w:tab w:val="left" w:pos="8431"/>
        </w:tabs>
        <w:spacing w:line="360" w:lineRule="auto"/>
        <w:ind w:left="0" w:right="113" w:hanging="2"/>
        <w:rPr>
          <w:rFonts w:ascii="Times New Roman" w:hAnsi="Times New Roman" w:eastAsia="Calibri" w:cs="Times New Roman"/>
          <w:color w:val="0461C1"/>
          <w:u w:val="single"/>
        </w:rPr>
      </w:pP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Calibri" w:cs="Times New Roman"/>
          <w:b/>
          <w:i/>
          <w:color w:val="000000"/>
        </w:rPr>
        <w:t>Sofá História: História Pública e Democratização do Conhecimento</w:t>
      </w:r>
      <w:r>
        <w:rPr>
          <w:rFonts w:ascii="Times New Roman" w:hAnsi="Times New Roman" w:eastAsia="Calibri" w:cs="Times New Roman"/>
          <w:color w:val="000000"/>
        </w:rPr>
        <w:t>, sob coordenação dos professores André de Lemos Freixo e Bruno Tadeu Salles (em desenvolvimento).</w:t>
      </w:r>
    </w:p>
    <w:p>
      <w:pPr>
        <w:pBdr>
          <w:top w:val="none" w:color="auto" w:sz="0" w:space="0"/>
          <w:left w:val="none" w:color="auto" w:sz="0" w:space="0"/>
          <w:bottom w:val="none" w:color="auto" w:sz="0" w:space="0"/>
          <w:right w:val="none" w:color="auto" w:sz="0" w:space="0"/>
          <w:between w:val="none" w:color="auto" w:sz="0" w:space="0"/>
        </w:pBdr>
        <w:spacing w:line="360" w:lineRule="auto"/>
        <w:ind w:left="0" w:right="114" w:hanging="2"/>
        <w:jc w:val="both"/>
        <w:rPr>
          <w:rFonts w:ascii="Times New Roman" w:hAnsi="Times New Roman" w:eastAsia="Times New Roman" w:cs="Times New Roman"/>
          <w:color w:val="000000"/>
        </w:rPr>
      </w:pPr>
      <w:r>
        <w:rPr>
          <w:rFonts w:ascii="Times New Roman" w:hAnsi="Times New Roman" w:eastAsia="Calibri" w:cs="Times New Roman"/>
          <w:color w:val="000000"/>
        </w:rPr>
        <w:t xml:space="preserve">Resumo: A visibilidade das relações entre a universidade pública e a sociedade brasileira, a quem ela serve, tem se apresentado como uma demanda cada vez mais premente nos últimos anos. A necessidade de ampliar as possibilidades de interlocução e trocas aumenta com o amadurecimento da democracia brasileira desde 1988. Ao mesmo tempo, a produção de conhecimento científico encontra amplo segmento “alternativo” no qual discursos pseudocientíficos e outras modalidades de construção de “sentido” conquistam espaço nas novas mídias, em especial as redes sociais. Pensando nesses problemas, apresentamos a presente iniciativa. Propomos a criação de um canal do YouTube cuja organização seja feita colaborativamente por discentes e docentes dos cursos de graduação e pós-graduação da UFOP. O canal terá como princípios fundamentais um caráter científico e ético das informações ali divulgadas, bem como um ambiente acolhedor que será palco para o diálogo e a diversidade. O objetivo do canal é oferecer breves análises e comentários sobre todo tipo de produção cultural que tematize e dê visibilidade a eventos, personagens ou momentos da história, tais como telenovelas, filmes, séries, videogames, entre outros. Entrevistas também estão previstas. Esse canal terá como pautas e programação diferentes aspectos das culturas de história que hoje reclamam maior engajamento da ciência histórica no sentido de contribuir para a democratização do conhecimento histórico legítimo bem como reforçar o diálogo com a  comunidade e seus muitos movimentos sociais. Outros veículos contemporâneos de divulgação do conhecimento histórico, como canais de YouTube e Wikipédia, por exemplo, também estão contemplados como “objeto” das conversas que o “Sofá História” poderá proporcionar. </w:t>
      </w:r>
    </w:p>
    <w:p>
      <w:pPr>
        <w:pBdr>
          <w:top w:val="none" w:color="auto" w:sz="0" w:space="0"/>
          <w:left w:val="none" w:color="auto" w:sz="0" w:space="0"/>
          <w:bottom w:val="none" w:color="auto" w:sz="0" w:space="0"/>
          <w:right w:val="none" w:color="auto" w:sz="0" w:space="0"/>
          <w:between w:val="none" w:color="auto" w:sz="0" w:space="0"/>
        </w:pBdr>
        <w:spacing w:line="360" w:lineRule="auto"/>
        <w:ind w:left="0" w:right="114" w:hanging="2"/>
        <w:jc w:val="both"/>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right="114" w:hanging="2"/>
        <w:jc w:val="both"/>
        <w:rPr>
          <w:rFonts w:ascii="Times New Roman" w:hAnsi="Times New Roman" w:eastAsia="Times New Roman" w:cs="Times New Roman"/>
          <w:color w:val="000000"/>
        </w:rPr>
      </w:pPr>
      <w:r>
        <w:rPr>
          <w:rFonts w:ascii="Times New Roman" w:hAnsi="Times New Roman" w:eastAsia="Calibri" w:cs="Times New Roman"/>
          <w:color w:val="000000"/>
        </w:rPr>
        <w:t>Os projetos de extensão e ações extensionistas propostos funcionam em dois eixos: 1. como desenvolvimento das disciplinas em que os alunos da graduação e da pós se envolvem conjuntamente em atividades voltadas para a comunidade; 2. como meio de divulgação histórica, envolvendo também os grupos de pesquisa do Departamento de História. Assim, nem sempre as ações dependem de editais ou verbas da Proex em sua procura por atender a indissociabilidade entre Ensino, Pesquisa e Extensão. Decorre dessa perspectiva o fato de alguns projetos estarem suspensos ou em desenvolvimento, pois as disciplinas e as pesquisas precisam estar em andamento. No entanto, nenhum deles está extinto.</w:t>
      </w: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right="114" w:hanging="2"/>
        <w:jc w:val="both"/>
        <w:rPr>
          <w:rFonts w:ascii="Times New Roman" w:hAnsi="Times New Roman" w:eastAsia="Times New Roman" w:cs="Times New Roman"/>
          <w:b/>
        </w:rPr>
      </w:pPr>
      <w:r>
        <w:rPr>
          <w:rFonts w:ascii="Times New Roman" w:hAnsi="Times New Roman" w:eastAsia="Times New Roman" w:cs="Times New Roman"/>
          <w:b/>
        </w:rPr>
        <w:t>Atividades complementares (ATVs)</w:t>
      </w: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leftChars="0" w:right="114" w:firstLine="720" w:firstLineChars="0"/>
        <w:jc w:val="both"/>
        <w:rPr>
          <w:rFonts w:ascii="Times New Roman" w:hAnsi="Times New Roman" w:eastAsia="Times New Roman" w:cs="Times New Roman"/>
          <w:b/>
        </w:rPr>
      </w:pPr>
      <w:r>
        <w:rPr>
          <w:rFonts w:ascii="Times New Roman" w:hAnsi="Times New Roman" w:eastAsia="Times New Roman" w:cs="Times New Roman"/>
        </w:rPr>
        <w:t xml:space="preserve">Ainda no âmbito das Atividades Acadêmicas, Científicas e Culturais (AACC), são previstas as ATVs que reconhece com fundamentais para o processo de ampla formação do alunado diversas ações, tais como: participação e organização de eventos, representações em órgãos colegiados, tutorias e monitorias etc. A descrição e regulação dessas atividades segue a resolução 02/2019 deste colegiado que se encontra no Anexo 4 do presente plano.  </w:t>
      </w:r>
    </w:p>
    <w:p>
      <w:pPr>
        <w:pBdr>
          <w:top w:val="none" w:color="auto" w:sz="0" w:space="0"/>
          <w:left w:val="none" w:color="auto" w:sz="0" w:space="0"/>
          <w:bottom w:val="none" w:color="auto" w:sz="0" w:space="0"/>
          <w:right w:val="none" w:color="auto" w:sz="0" w:space="0"/>
          <w:between w:val="none" w:color="auto" w:sz="0" w:space="0"/>
        </w:pBdr>
        <w:spacing w:after="140" w:line="360" w:lineRule="auto"/>
        <w:ind w:left="0" w:hanging="2"/>
        <w:rPr>
          <w:rFonts w:ascii="Times New Roman" w:hAnsi="Times New Roman" w:eastAsia="Liberation Serif" w:cs="Times New Roman"/>
          <w:color w:val="000000"/>
        </w:rPr>
      </w:pPr>
      <w:r>
        <w:rPr>
          <w:rFonts w:ascii="Times New Roman" w:hAnsi="Times New Roman" w:eastAsia="Calibri" w:cs="Times New Roman"/>
          <w:b/>
          <w:color w:val="000000"/>
        </w:rPr>
        <w:t>Flexibilidade curricular</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720" w:firstLineChars="0"/>
        <w:jc w:val="both"/>
        <w:rPr>
          <w:rFonts w:ascii="Times New Roman" w:hAnsi="Times New Roman" w:eastAsia="Liberation Serif" w:cs="Times New Roman"/>
          <w:color w:val="000000"/>
        </w:rPr>
      </w:pPr>
      <w:r>
        <w:rPr>
          <w:rFonts w:ascii="Times New Roman" w:hAnsi="Times New Roman" w:eastAsia="Calibri" w:cs="Times New Roman"/>
          <w:color w:val="000000"/>
        </w:rPr>
        <w:t>A flexibilidade curricular representa um dos principais pressupostos do Curso de Licenciatura em História, o qual apresenta um núcleo de disciplinas obrigatórias e eletivas em que as horas práticas permitem o desenvolvimento tanto de atividades de aprofundamento dos conteúdos quanto de atividades de pesquisa e extensionistas. Dessa forma, tornam-se possíveis:</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1. a articulação teoria–prática;</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2. o desenvolvimento da relação ensino-aprendizagem centrada na produtividade dos sujeitos envolvidos;</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3. a integração de docentes e discentes à realidade em que estão inseridos — Região do Inconfidentes;</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4. a formação de processos de subjetividade que promovam o desenvolvimento de habilidades voltadas para o ensino;</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5. a interdisciplinaridade como mecanismo integrador de conteúdos;</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6. a indissociabilidade de Ensino, Pesquisa e Extensão, a qual visa a uma formação mais ampla do futuro educador enquanto pesquisador e agente social capaz de propor intervenções no meio em que está inserido;</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7. o estabelecimento de conexões entre os conteúdos formais de cada componente e os saberes dos sujeitos envolvidos nas atividades de extensão.</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 xml:space="preserve"> </w:t>
      </w:r>
      <w:r>
        <w:rPr>
          <w:rFonts w:ascii="Times New Roman" w:hAnsi="Times New Roman" w:eastAsia="Calibri" w:cs="Times New Roman"/>
          <w:color w:val="000000"/>
        </w:rPr>
        <w:tab/>
      </w:r>
      <w:r>
        <w:rPr>
          <w:rFonts w:ascii="Times New Roman" w:hAnsi="Times New Roman" w:eastAsia="Calibri" w:cs="Times New Roman"/>
          <w:color w:val="000000"/>
        </w:rPr>
        <w:t xml:space="preserve">As disciplinas eletivas ofertadas no curso compõem um vasto leque de opções que permitem ao discente aprofundar-se em uma das áreas do conhecimento histórico ou integrar conteúdos de caráter diverso. Nesse sentido, o Curso de Licenciatura em História recupera e aplica a etimologia da palavra “currículo” – “curso”, “lugar onde se corre”. Acreditamos que o graduando deve e pode ampliar as possibilidades de formação escolhendo um percurso formativo num campo tão vasto e plural como o da História.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i/>
          <w:color w:val="000000"/>
        </w:rPr>
        <w:t>Flexibilidade como proposta interdisciplinar</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720" w:firstLineChars="0"/>
        <w:jc w:val="both"/>
        <w:rPr>
          <w:rFonts w:ascii="Times New Roman" w:hAnsi="Times New Roman" w:eastAsia="Liberation Serif" w:cs="Times New Roman"/>
          <w:color w:val="000000"/>
        </w:rPr>
      </w:pPr>
      <w:r>
        <w:rPr>
          <w:rFonts w:ascii="Times New Roman" w:hAnsi="Times New Roman" w:eastAsia="Calibri" w:cs="Times New Roman"/>
          <w:color w:val="000000"/>
        </w:rPr>
        <w:t>O Curso de Licenciatura em História mantém um diálogo constante com o Curso de Bacharelado pela partilha de horas teóricas comuns nas disciplinas obrigatórias. Dessa forma, os discentes das duas habilitações realizam trocas intelectuais em 18 disciplinas. Além disso, o discente pode cursar disciplinas eletivas disponibilizadas nas matrizes curriculares dos cursos de Filosofia, Serviço Social, Economia, Direito, Turismo, Teatro, Letras e Pedagogia. Para a formalização dessa possibilidade, a licenciatura em história encaminhou aos colegiados dos mencionados cursos um</w:t>
      </w:r>
      <w:r>
        <w:rPr>
          <w:rFonts w:ascii="Times New Roman" w:hAnsi="Times New Roman" w:eastAsia="Calibri" w:cs="Times New Roman"/>
        </w:rPr>
        <w:t xml:space="preserve"> oficio por meio do sistema SEI.</w:t>
      </w:r>
      <w:r>
        <w:rPr>
          <w:rFonts w:ascii="Times New Roman" w:hAnsi="Times New Roman" w:eastAsia="Calibri" w:cs="Times New Roman"/>
          <w:color w:val="000000"/>
        </w:rPr>
        <w:t xml:space="preserve">  Contudo, cumpre destacar que, de acordo com a resolução Cohis 04/2012, o aluno pode ainda matricular-se em disciplinas facultativas ofertadas por outros cursos da UFOP e solicitar, junto ao Colegiado do Curso, a conversão de suas horas como carga horária de disciplinas eletivas.</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i/>
          <w:color w:val="000000"/>
        </w:rPr>
        <w:t xml:space="preserve"> Módulos Interdisciplinares de Formação (MIFs)</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ab/>
      </w:r>
      <w:r>
        <w:rPr>
          <w:rFonts w:ascii="Times New Roman" w:hAnsi="Times New Roman" w:eastAsia="Calibri" w:cs="Times New Roman"/>
          <w:color w:val="000000"/>
        </w:rPr>
        <w:tab/>
      </w:r>
      <w:r>
        <w:rPr>
          <w:rFonts w:ascii="Times New Roman" w:hAnsi="Times New Roman" w:eastAsia="Calibri" w:cs="Times New Roman"/>
          <w:color w:val="000000"/>
        </w:rPr>
        <w:t>De acordo com o “Projeto Pedagógico para as Licenciaturas da UFOP”, os Módulos Interdisciplinares de Formação são “um espaço curricular para a concretização de práticas interdisciplinares, coletivas e colaborativas</w:t>
      </w:r>
      <w:r>
        <w:rPr>
          <w:rFonts w:ascii="Times New Roman" w:hAnsi="Times New Roman" w:eastAsia="Calibri" w:cs="Times New Roman"/>
          <w:color w:val="000000"/>
          <w:vertAlign w:val="superscript"/>
        </w:rPr>
        <w:footnoteReference w:id="21"/>
      </w:r>
      <w:r>
        <w:rPr>
          <w:rFonts w:ascii="Times New Roman" w:hAnsi="Times New Roman" w:eastAsia="Calibri" w:cs="Times New Roman"/>
          <w:color w:val="000000"/>
        </w:rPr>
        <w:t xml:space="preserve">”. O licenciando em História deverá cursar no mínimo 3 MIFs dentre os ofertados pelas licenciaturas da UFOP. Essa oferta e a possibilidade de diálogo em turmas mistas — compostas por discentes de mais de um curso — caracterizam a flexibilidade própria dos módulos.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ab/>
      </w:r>
      <w:r>
        <w:rPr>
          <w:rFonts w:ascii="Times New Roman" w:hAnsi="Times New Roman" w:eastAsia="Calibri" w:cs="Times New Roman"/>
          <w:color w:val="000000"/>
        </w:rPr>
        <w:t xml:space="preserve">Por serem módulos que pretendem discutir questões atuais e globais, não apresentam um programa de disciplina prévio.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i/>
          <w:color w:val="000000"/>
        </w:rPr>
        <w:t>Outras modalidades de flexibilização curricular</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720" w:firstLineChars="0"/>
        <w:jc w:val="both"/>
        <w:rPr>
          <w:rFonts w:ascii="Times New Roman" w:hAnsi="Times New Roman" w:eastAsia="Liberation Serif" w:cs="Times New Roman"/>
          <w:color w:val="000000"/>
        </w:rPr>
      </w:pPr>
      <w:r>
        <w:rPr>
          <w:rFonts w:ascii="Times New Roman" w:hAnsi="Times New Roman" w:eastAsia="Calibri" w:cs="Times New Roman"/>
          <w:color w:val="000000"/>
        </w:rPr>
        <w:t>A flexibilidade curricular se concretiza também através de leituras dirigidas, das Atividades Acadêmicas Cientificas e Culturais (AACC), dos Trabalhos de Conclusão de Curso (TCC) e dos núcleos de pesquisa e laboratórios, que enriquecem a formação das(os) estudantes de licenciatura em História.</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720" w:firstLineChars="0"/>
        <w:jc w:val="both"/>
        <w:rPr>
          <w:rFonts w:ascii="Times New Roman" w:hAnsi="Times New Roman" w:eastAsia="Liberation Serif" w:cs="Times New Roman"/>
          <w:color w:val="000000"/>
        </w:rPr>
      </w:pPr>
      <w:r>
        <w:rPr>
          <w:rFonts w:ascii="Times New Roman" w:hAnsi="Times New Roman" w:eastAsia="Calibri" w:cs="Times New Roman"/>
          <w:color w:val="000000"/>
        </w:rPr>
        <w:t>O curso busca a promoção da autonomia dos discentes, pois, apresentadas as possibilidades de realização curricular, os estudantes escolhem sua trajetória de formação. Entendemos que esse é um movimento fundamental na constituição da autoria — elemento que caracteriza o historiador como produtor de conhecimento.</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720" w:firstLineChars="0"/>
        <w:jc w:val="both"/>
        <w:rPr>
          <w:rFonts w:ascii="Times New Roman" w:hAnsi="Times New Roman" w:eastAsia="Liberation Serif" w:cs="Times New Roman"/>
          <w:color w:val="000000"/>
        </w:rPr>
      </w:pPr>
      <w:r>
        <w:rPr>
          <w:rFonts w:ascii="Times New Roman" w:hAnsi="Times New Roman" w:eastAsia="Calibri" w:cs="Times New Roman"/>
          <w:color w:val="000000"/>
        </w:rPr>
        <w:t>Em suma, o currículo foi estruturado de forma a integrar os princípios de flexibilidade, interdisciplinaridade e autonomia. A oferta das disciplinas obrigatórias sintetiza essa perspectiva ao mesclar, ao longo dos semestres letivos, as disciplinas de diferentes setores, matizando e flexibilizando a tradicional sequência linear-cronológica e permitindo uma visão comparada e interconectada de processos históricos regionais, nacionais e globais.</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Calibri" w:cs="Times New Roman"/>
          <w:i/>
        </w:rPr>
      </w:pPr>
      <w:r>
        <w:rPr>
          <w:rFonts w:ascii="Times New Roman" w:hAnsi="Times New Roman" w:eastAsia="Calibri" w:cs="Times New Roman"/>
          <w:i/>
        </w:rPr>
        <w:t>Mobilidade acadêmica</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Calibri" w:cs="Times New Roman"/>
          <w:i/>
        </w:rPr>
      </w:pP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720" w:firstLineChars="0"/>
        <w:jc w:val="both"/>
        <w:rPr>
          <w:rFonts w:ascii="Times New Roman" w:hAnsi="Times New Roman" w:eastAsia="Calibri" w:cs="Times New Roman"/>
        </w:rPr>
      </w:pPr>
      <w:r>
        <w:rPr>
          <w:rFonts w:ascii="Times New Roman" w:hAnsi="Times New Roman" w:eastAsia="Calibri" w:cs="Times New Roman"/>
        </w:rPr>
        <w:t xml:space="preserve">Os programas e convênios de mobilidade acadêmica, firmados e regulamentados pela UFOP, servem à flexibilização curricular na medida em que permite o contato com diversas realidades e propostas educacionais. Atualmente, na UFOP, existem duas modalidades de mobilidade acadêmica em níveis nacional e internacional.  No que diz respeito ao âmbito nacional, o curso de História segue os termos do convênio ANDIFES e da regulação CEPE 3077, de 27 de fevereiro de 2007. Quanto à mobilidade internacional são seguidas as determinações CEPE 4164 e CEPE 5789. Destacam-se ainda os convênios como universidades no exterior administrados pela Coordenadoria de Assuntos Internacionais (CAINT).  As convalidações das disciplinas cursadas e atividades desenvolvidas em outras instituições devem ser apreciadas pelo colegiado de licenciatura história e/ou pelo seu presidente, na conformidade do que vai estabelecido no plano curricular.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Calibri" w:cs="Times New Roman"/>
          <w:color w:val="000000"/>
        </w:rPr>
      </w:pPr>
      <w:r>
        <w:rPr>
          <w:rFonts w:ascii="Times New Roman" w:hAnsi="Times New Roman" w:eastAsia="Calibri" w:cs="Times New Roman"/>
          <w:color w:val="000000"/>
        </w:rPr>
        <w:t xml:space="preserve">      </w:t>
      </w:r>
    </w:p>
    <w:p>
      <w:pPr>
        <w:pBdr>
          <w:top w:val="none" w:color="auto" w:sz="0" w:space="0"/>
          <w:left w:val="none" w:color="auto" w:sz="0" w:space="0"/>
          <w:bottom w:val="none" w:color="auto" w:sz="0" w:space="0"/>
          <w:right w:val="none" w:color="auto" w:sz="0" w:space="0"/>
          <w:between w:val="none" w:color="auto" w:sz="0" w:space="0"/>
        </w:pBdr>
        <w:spacing w:line="360" w:lineRule="auto"/>
        <w:ind w:left="0" w:right="-1" w:hanging="2"/>
        <w:jc w:val="both"/>
        <w:rPr>
          <w:rFonts w:ascii="Times New Roman" w:hAnsi="Times New Roman" w:eastAsia="Liberation Serif" w:cs="Times New Roman"/>
          <w:color w:val="000000"/>
        </w:rPr>
      </w:pPr>
      <w:bookmarkStart w:id="4" w:name="_heading=h.2et92p0" w:colFirst="0" w:colLast="0"/>
      <w:bookmarkEnd w:id="4"/>
      <w:r>
        <w:rPr>
          <w:rFonts w:ascii="Times New Roman" w:hAnsi="Times New Roman" w:eastAsia="Calibri" w:cs="Times New Roman"/>
          <w:b/>
          <w:color w:val="000000"/>
        </w:rPr>
        <w:t>Prática como componente curricular</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Calibri" w:cs="Times New Roman"/>
          <w:color w:val="000000"/>
        </w:rPr>
        <w:tab/>
      </w:r>
    </w:p>
    <w:p>
      <w:pPr>
        <w:pBdr>
          <w:top w:val="none" w:color="auto" w:sz="0" w:space="0"/>
          <w:left w:val="none" w:color="auto" w:sz="0" w:space="0"/>
          <w:bottom w:val="none" w:color="auto" w:sz="0" w:space="0"/>
          <w:right w:val="none" w:color="auto" w:sz="0" w:space="0"/>
          <w:between w:val="none" w:color="auto" w:sz="0" w:space="0"/>
        </w:pBdr>
        <w:spacing w:line="360" w:lineRule="auto"/>
        <w:ind w:left="0" w:right="-1" w:hanging="2"/>
        <w:jc w:val="both"/>
        <w:rPr>
          <w:rFonts w:ascii="Times New Roman" w:hAnsi="Times New Roman" w:eastAsia="Liberation Serif" w:cs="Times New Roman"/>
          <w:color w:val="000000"/>
        </w:rPr>
      </w:pPr>
      <w:r>
        <w:rPr>
          <w:rFonts w:ascii="Times New Roman" w:hAnsi="Times New Roman" w:eastAsia="Calibri" w:cs="Times New Roman"/>
          <w:color w:val="000000"/>
        </w:rPr>
        <w:tab/>
      </w:r>
      <w:r>
        <w:rPr>
          <w:rFonts w:ascii="Times New Roman" w:hAnsi="Times New Roman" w:eastAsia="Calibri" w:cs="Times New Roman"/>
          <w:color w:val="000000"/>
        </w:rPr>
        <w:tab/>
      </w:r>
      <w:r>
        <w:rPr>
          <w:rFonts w:ascii="Times New Roman" w:hAnsi="Times New Roman" w:eastAsia="Calibri" w:cs="Times New Roman"/>
          <w:color w:val="000000"/>
        </w:rPr>
        <w:t>No curso de Licenciatura em História da UFOP, a prática é componente curricular obrigatória desenvolvida ao longo do curso (Resolução CNE/CP nº 2/2015, art. 13, § 1º, inciso I) e possui carga horária total de 480 horas distribuídas nas disciplinas obrigatórias.</w:t>
      </w:r>
    </w:p>
    <w:p>
      <w:pPr>
        <w:pBdr>
          <w:top w:val="none" w:color="auto" w:sz="0" w:space="0"/>
          <w:left w:val="none" w:color="auto" w:sz="0" w:space="0"/>
          <w:bottom w:val="none" w:color="auto" w:sz="0" w:space="0"/>
          <w:right w:val="none" w:color="auto" w:sz="0" w:space="0"/>
          <w:between w:val="none" w:color="auto" w:sz="0" w:space="0"/>
        </w:pBdr>
        <w:spacing w:line="360" w:lineRule="auto"/>
        <w:ind w:left="0" w:right="-1" w:hanging="2"/>
        <w:jc w:val="both"/>
        <w:rPr>
          <w:rFonts w:ascii="Times New Roman" w:hAnsi="Times New Roman" w:eastAsia="Liberation Serif" w:cs="Times New Roman"/>
          <w:color w:val="000000"/>
        </w:rPr>
      </w:pPr>
      <w:r>
        <w:rPr>
          <w:rFonts w:ascii="Times New Roman" w:hAnsi="Times New Roman" w:eastAsia="Calibri" w:cs="Times New Roman"/>
          <w:color w:val="000000"/>
        </w:rPr>
        <w:tab/>
      </w:r>
      <w:r>
        <w:rPr>
          <w:rFonts w:ascii="Times New Roman" w:hAnsi="Times New Roman" w:eastAsia="Calibri" w:cs="Times New Roman"/>
          <w:color w:val="000000"/>
        </w:rPr>
        <w:t>A Prática como Componente Curricular tem como objetivo a integração entre conhecimentos conceituais apresentados pelo professor e conhecimentos práticos (“Diretrizes da UFOP para os cursos de Licenciatura”), proporcionando aos licenciandos, no decorrer do curso, um conjunto de experiências que os auxiliem, de modo crítico e reflexivo, no desenvolvimento das diferentes habilidades necessárias à formação do professor de História, assim como na compreensão das diferentes dimensões da prática profissional em sua área de atuação. Para atingir esse objetivo, um amplo conjunto de disciplinas do curso foi estruturado com horas teóricas e horas práticas.</w:t>
      </w:r>
    </w:p>
    <w:p>
      <w:pPr>
        <w:pBdr>
          <w:top w:val="none" w:color="auto" w:sz="0" w:space="0"/>
          <w:left w:val="none" w:color="auto" w:sz="0" w:space="0"/>
          <w:bottom w:val="none" w:color="auto" w:sz="0" w:space="0"/>
          <w:right w:val="none" w:color="auto" w:sz="0" w:space="0"/>
          <w:between w:val="none" w:color="auto" w:sz="0" w:space="0"/>
        </w:pBdr>
        <w:spacing w:line="360" w:lineRule="auto"/>
        <w:ind w:left="0" w:right="-1" w:hanging="2"/>
        <w:jc w:val="both"/>
        <w:rPr>
          <w:rFonts w:ascii="Times New Roman" w:hAnsi="Times New Roman" w:eastAsia="Liberation Serif" w:cs="Times New Roman"/>
          <w:color w:val="000000"/>
        </w:rPr>
      </w:pPr>
      <w:r>
        <w:rPr>
          <w:rFonts w:ascii="Times New Roman" w:hAnsi="Times New Roman" w:eastAsia="Calibri" w:cs="Times New Roman"/>
          <w:color w:val="000000"/>
        </w:rPr>
        <w:tab/>
      </w:r>
      <w:r>
        <w:rPr>
          <w:rFonts w:ascii="Times New Roman" w:hAnsi="Times New Roman" w:eastAsia="Calibri" w:cs="Times New Roman"/>
          <w:color w:val="000000"/>
        </w:rPr>
        <w:tab/>
      </w:r>
      <w:r>
        <w:rPr>
          <w:rFonts w:ascii="Times New Roman" w:hAnsi="Times New Roman" w:eastAsia="Calibri" w:cs="Times New Roman"/>
          <w:color w:val="000000"/>
        </w:rPr>
        <w:t>Como visto acima, a distribuição da carga horária prática no Curso de Licenciatura em História da UFOP ocorre da seguinte forma:</w:t>
      </w:r>
    </w:p>
    <w:p>
      <w:pPr>
        <w:pBdr>
          <w:top w:val="none" w:color="auto" w:sz="0" w:space="0"/>
          <w:left w:val="none" w:color="auto" w:sz="0" w:space="0"/>
          <w:bottom w:val="none" w:color="auto" w:sz="0" w:space="0"/>
          <w:right w:val="none" w:color="auto" w:sz="0" w:space="0"/>
          <w:between w:val="none" w:color="auto" w:sz="0" w:space="0"/>
        </w:pBdr>
        <w:spacing w:line="360" w:lineRule="auto"/>
        <w:ind w:left="0" w:right="-1" w:hanging="2"/>
        <w:jc w:val="both"/>
        <w:rPr>
          <w:rFonts w:ascii="Times New Roman" w:hAnsi="Times New Roman" w:eastAsia="Liberation Serif" w:cs="Times New Roman"/>
          <w:color w:val="000000"/>
        </w:rPr>
      </w:pPr>
      <w:r>
        <w:rPr>
          <w:rFonts w:ascii="Times New Roman" w:hAnsi="Times New Roman" w:eastAsia="Calibri" w:cs="Times New Roman"/>
          <w:b/>
          <w:i/>
          <w:color w:val="000000"/>
        </w:rPr>
        <w:t>- Primeiro período</w:t>
      </w:r>
      <w:r>
        <w:rPr>
          <w:rFonts w:ascii="Times New Roman" w:hAnsi="Times New Roman" w:eastAsia="Calibri" w:cs="Times New Roman"/>
          <w:i/>
          <w:color w:val="000000"/>
        </w:rPr>
        <w:t>:</w:t>
      </w:r>
      <w:r>
        <w:rPr>
          <w:rFonts w:ascii="Times New Roman" w:hAnsi="Times New Roman" w:eastAsia="Calibri" w:cs="Times New Roman"/>
          <w:color w:val="000000"/>
        </w:rPr>
        <w:t xml:space="preserve"> História Moderna (30h), História do Brasil I (30h), Introdução às Ciências Sociais (30hs) e Introdução aos Estudos Históricos (30h);</w:t>
      </w:r>
    </w:p>
    <w:p>
      <w:pPr>
        <w:pBdr>
          <w:top w:val="none" w:color="auto" w:sz="0" w:space="0"/>
          <w:left w:val="none" w:color="auto" w:sz="0" w:space="0"/>
          <w:bottom w:val="none" w:color="auto" w:sz="0" w:space="0"/>
          <w:right w:val="none" w:color="auto" w:sz="0" w:space="0"/>
          <w:between w:val="none" w:color="auto" w:sz="0" w:space="0"/>
        </w:pBdr>
        <w:spacing w:line="360" w:lineRule="auto"/>
        <w:ind w:left="0" w:right="-1" w:hanging="2"/>
        <w:jc w:val="both"/>
        <w:rPr>
          <w:rFonts w:ascii="Times New Roman" w:hAnsi="Times New Roman" w:eastAsia="Liberation Serif" w:cs="Times New Roman"/>
          <w:color w:val="000000"/>
        </w:rPr>
      </w:pPr>
      <w:r>
        <w:rPr>
          <w:rFonts w:ascii="Times New Roman" w:hAnsi="Times New Roman" w:eastAsia="Calibri" w:cs="Times New Roman"/>
          <w:b/>
          <w:i/>
          <w:color w:val="000000"/>
        </w:rPr>
        <w:t>- Segundo período:</w:t>
      </w:r>
      <w:r>
        <w:rPr>
          <w:rFonts w:ascii="Times New Roman" w:hAnsi="Times New Roman" w:eastAsia="Calibri" w:cs="Times New Roman"/>
          <w:color w:val="000000"/>
        </w:rPr>
        <w:t xml:space="preserve"> História Contemporânea (30h), História da América I (30h), História do Brasil II (30h) e História da Historiografia Brasileira (30h); História das Áfricas (30h)</w:t>
      </w:r>
    </w:p>
    <w:p>
      <w:pPr>
        <w:pBdr>
          <w:top w:val="none" w:color="auto" w:sz="0" w:space="0"/>
          <w:left w:val="none" w:color="auto" w:sz="0" w:space="0"/>
          <w:bottom w:val="none" w:color="auto" w:sz="0" w:space="0"/>
          <w:right w:val="none" w:color="auto" w:sz="0" w:space="0"/>
          <w:between w:val="none" w:color="auto" w:sz="0" w:space="0"/>
        </w:pBdr>
        <w:spacing w:line="360" w:lineRule="auto"/>
        <w:ind w:left="0" w:right="-1" w:hanging="2"/>
        <w:jc w:val="both"/>
        <w:rPr>
          <w:rFonts w:ascii="Times New Roman" w:hAnsi="Times New Roman" w:eastAsia="Liberation Serif" w:cs="Times New Roman"/>
          <w:color w:val="000000"/>
        </w:rPr>
      </w:pPr>
      <w:r>
        <w:rPr>
          <w:rFonts w:ascii="Times New Roman" w:hAnsi="Times New Roman" w:eastAsia="Calibri" w:cs="Times New Roman"/>
          <w:b/>
          <w:i/>
          <w:color w:val="000000"/>
        </w:rPr>
        <w:t>- Terceiro período:</w:t>
      </w:r>
      <w:r>
        <w:rPr>
          <w:rFonts w:ascii="Times New Roman" w:hAnsi="Times New Roman" w:eastAsia="Calibri" w:cs="Times New Roman"/>
          <w:color w:val="000000"/>
        </w:rPr>
        <w:t xml:space="preserve"> História da Historiografia Geral (30h), História do Brasil III (30h), História Antiga (30h) e História da América II (30h);</w:t>
      </w:r>
    </w:p>
    <w:p>
      <w:pPr>
        <w:pBdr>
          <w:top w:val="none" w:color="auto" w:sz="0" w:space="0"/>
          <w:left w:val="none" w:color="auto" w:sz="0" w:space="0"/>
          <w:bottom w:val="none" w:color="auto" w:sz="0" w:space="0"/>
          <w:right w:val="none" w:color="auto" w:sz="0" w:space="0"/>
          <w:between w:val="none" w:color="auto" w:sz="0" w:space="0"/>
        </w:pBdr>
        <w:spacing w:line="360" w:lineRule="auto"/>
        <w:ind w:left="0" w:right="-1" w:hanging="2"/>
        <w:jc w:val="both"/>
        <w:rPr>
          <w:rFonts w:ascii="Times New Roman" w:hAnsi="Times New Roman" w:eastAsia="Liberation Serif" w:cs="Times New Roman"/>
          <w:color w:val="000000"/>
        </w:rPr>
      </w:pPr>
      <w:r>
        <w:rPr>
          <w:rFonts w:ascii="Times New Roman" w:hAnsi="Times New Roman" w:eastAsia="Calibri" w:cs="Times New Roman"/>
          <w:b/>
          <w:i/>
          <w:color w:val="000000"/>
        </w:rPr>
        <w:t>- Quarto período:</w:t>
      </w:r>
      <w:r>
        <w:rPr>
          <w:rFonts w:ascii="Times New Roman" w:hAnsi="Times New Roman" w:eastAsia="Calibri" w:cs="Times New Roman"/>
          <w:color w:val="000000"/>
        </w:rPr>
        <w:t xml:space="preserve"> Teoria da História (30h), História Medieval (30h) e História de Minas (30h);</w:t>
      </w:r>
    </w:p>
    <w:p>
      <w:pPr>
        <w:pBdr>
          <w:top w:val="none" w:color="auto" w:sz="0" w:space="0"/>
          <w:left w:val="none" w:color="auto" w:sz="0" w:space="0"/>
          <w:bottom w:val="none" w:color="auto" w:sz="0" w:space="0"/>
          <w:right w:val="none" w:color="auto" w:sz="0" w:space="0"/>
          <w:between w:val="none" w:color="auto" w:sz="0" w:space="0"/>
        </w:pBdr>
        <w:spacing w:line="360" w:lineRule="auto"/>
        <w:ind w:left="0" w:right="-1" w:hanging="2"/>
        <w:jc w:val="both"/>
        <w:rPr>
          <w:rFonts w:ascii="Times New Roman" w:hAnsi="Times New Roman" w:eastAsia="Calibri" w:cs="Times New Roman"/>
          <w:color w:val="000000"/>
        </w:rPr>
      </w:pPr>
      <w:r>
        <w:rPr>
          <w:rFonts w:ascii="Times New Roman" w:hAnsi="Times New Roman" w:eastAsia="Calibri" w:cs="Times New Roman"/>
          <w:b/>
          <w:i/>
          <w:color w:val="000000"/>
        </w:rPr>
        <w:t>- Do quinto ao oitavo período:</w:t>
      </w:r>
      <w:r>
        <w:rPr>
          <w:rFonts w:ascii="Times New Roman" w:hAnsi="Times New Roman" w:eastAsia="Calibri" w:cs="Times New Roman"/>
          <w:color w:val="000000"/>
        </w:rPr>
        <w:t xml:space="preserve"> o aluno deve cursar eletivas que podem ou não ter horas práticas, de acordo com programas de curso integrantes deste Projeto Pedagógico de Curso</w:t>
      </w:r>
      <w:r>
        <w:rPr>
          <w:rFonts w:ascii="Times New Roman" w:hAnsi="Times New Roman" w:eastAsia="Calibri" w:cs="Times New Roman"/>
          <w:color w:val="000000"/>
          <w:vertAlign w:val="superscript"/>
        </w:rPr>
        <w:footnoteReference w:id="22"/>
      </w:r>
      <w:r>
        <w:rPr>
          <w:rFonts w:ascii="Times New Roman" w:hAnsi="Times New Roman" w:eastAsia="Calibri" w:cs="Times New Roman"/>
          <w:color w:val="000000"/>
        </w:rPr>
        <w:t>.</w:t>
      </w:r>
    </w:p>
    <w:p>
      <w:pPr>
        <w:pBdr>
          <w:top w:val="none" w:color="auto" w:sz="0" w:space="0"/>
          <w:left w:val="none" w:color="auto" w:sz="0" w:space="0"/>
          <w:bottom w:val="none" w:color="auto" w:sz="0" w:space="0"/>
          <w:right w:val="none" w:color="auto" w:sz="0" w:space="0"/>
          <w:between w:val="none" w:color="auto" w:sz="0" w:space="0"/>
        </w:pBdr>
        <w:spacing w:line="360" w:lineRule="auto"/>
        <w:ind w:left="0" w:right="-1" w:hanging="2"/>
        <w:jc w:val="both"/>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right="-1" w:firstLine="720" w:firstLineChars="0"/>
        <w:jc w:val="both"/>
        <w:rPr>
          <w:rFonts w:ascii="Times New Roman" w:hAnsi="Times New Roman" w:eastAsia="Calibri" w:cs="Times New Roman"/>
          <w:color w:val="000000"/>
        </w:rPr>
      </w:pPr>
      <w:r>
        <w:rPr>
          <w:rFonts w:ascii="Times New Roman" w:hAnsi="Times New Roman" w:eastAsia="Calibri" w:cs="Times New Roman"/>
          <w:color w:val="000000"/>
        </w:rPr>
        <w:t xml:space="preserve">O exercício das horas práticas e seu desenvolvimento aparecerão descritos em um subitem dos planos de ensino, entregues no início de cada disciplina. </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right="-1" w:firstLine="720" w:firstLineChars="0"/>
        <w:jc w:val="both"/>
        <w:rPr>
          <w:rFonts w:ascii="Times New Roman" w:hAnsi="Times New Roman" w:eastAsia="Liberation Serif" w:cs="Times New Roman"/>
          <w:color w:val="000000"/>
        </w:rPr>
      </w:pPr>
      <w:r>
        <w:rPr>
          <w:rFonts w:ascii="Times New Roman" w:hAnsi="Times New Roman" w:eastAsia="Calibri" w:cs="Times New Roman"/>
          <w:color w:val="000000"/>
        </w:rPr>
        <w:t>É importante destacar que, em um curso de formação de professores, as atividades práticas se constituem a partir de propostas caracterizadas pelo ensino de História, em suas diversas possibilidades, e pela ampliação do acesso ao conhecimento histórico.</w:t>
      </w:r>
      <w:r>
        <w:rPr>
          <w:rFonts w:ascii="Times New Roman" w:hAnsi="Times New Roman" w:eastAsia="Liberation Serif" w:cs="Times New Roman"/>
          <w:color w:val="000000"/>
        </w:rPr>
        <w:t xml:space="preserve"> </w:t>
      </w:r>
      <w:r>
        <w:rPr>
          <w:rFonts w:ascii="Times New Roman" w:hAnsi="Times New Roman" w:eastAsia="Calibri" w:cs="Times New Roman"/>
          <w:color w:val="000000"/>
        </w:rPr>
        <w:t xml:space="preserve">Essa parcela das disciplinas incorpora atividades diversas que se voltam sempre para o desenvolvimento da autonomia dos estudantes, sob a supervisão ou a sistemática orientação docente, e partem do pressuposto de que pesquisa e ensino são atividades complementares e indissociáveis. Na dimensão prática, é possível desenvolver uma miríade de ações, conforme os interesses dos alunos e a instigação docente, que incluem: a leitura de textos complementares variados; a produção de textos escritos (trabalhos, blogs etc.); atividades propriamente </w:t>
      </w:r>
      <w:r>
        <w:rPr>
          <w:rFonts w:ascii="Times New Roman" w:hAnsi="Times New Roman" w:eastAsia="Calibri" w:cs="Times New Roman"/>
          <w:i/>
          <w:color w:val="000000"/>
        </w:rPr>
        <w:t>extensionistas</w:t>
      </w:r>
      <w:r>
        <w:rPr>
          <w:rFonts w:ascii="Times New Roman" w:hAnsi="Times New Roman" w:eastAsia="Calibri" w:cs="Times New Roman"/>
          <w:color w:val="000000"/>
        </w:rPr>
        <w:t xml:space="preserve"> contempladas na produção audiovisual; trabalhos de campo (visitas de investigação aos museus, consultas a arquivos históricos ou permanentes, trabalhos de observação de meio, realização de entrevistas, observações etnográficas) e reuniões de tutoria com o professor-orientador. Esses trabalhos podem ser feitos individualmente ou em pequenos grupos, conforme a orientação do docente que planeja tais atividades.</w:t>
      </w:r>
    </w:p>
    <w:p>
      <w:pPr>
        <w:pBdr>
          <w:top w:val="none" w:color="auto" w:sz="0" w:space="0"/>
          <w:left w:val="none" w:color="auto" w:sz="0" w:space="0"/>
          <w:bottom w:val="none" w:color="auto" w:sz="0" w:space="0"/>
          <w:right w:val="none" w:color="auto" w:sz="0" w:space="0"/>
          <w:between w:val="none" w:color="auto" w:sz="0" w:space="0"/>
        </w:pBdr>
        <w:shd w:val="clear" w:color="auto" w:fill="FFFFFF"/>
        <w:spacing w:after="200" w:line="360" w:lineRule="auto"/>
        <w:ind w:left="0" w:leftChars="0" w:right="-1" w:firstLine="720" w:firstLineChars="0"/>
        <w:jc w:val="both"/>
        <w:rPr>
          <w:rFonts w:ascii="Times New Roman" w:hAnsi="Times New Roman" w:eastAsia="Times New Roman" w:cs="Times New Roman"/>
          <w:color w:val="000000"/>
        </w:rPr>
      </w:pPr>
      <w:r>
        <w:rPr>
          <w:rFonts w:ascii="Times New Roman" w:hAnsi="Times New Roman" w:eastAsia="Calibri" w:cs="Times New Roman"/>
          <w:color w:val="000000"/>
        </w:rPr>
        <w:t>O desenvolvimento das atividades, no momento das horas práticas, pode gerar ainda elementos de avaliação para o curso. A diversidade das atividades, com suas implicações positivas para o processo de ensino e aprendizagem, é o que se almeja, uma vez que ela permite o desenvolvimento de múltiplas estratégias, sempre com foco no protagonismo estudantil no interior do processo educacional, isto é, na capacidade do discente de propor novos problemas e lançar hipóteses e soluções viáveis. A dimensão prática do ensino-aprendizagem, proposta conforme a determinação da organicidade entre os saberes e a reflexão autônoma do discente, permite que o curso se afaste do modelo centrado somente nas convencionais aulas expositivas voltadas para o conjunto indistinto dos estudantes, as quais desconsideram seus conhecimentos prévios e interesses diversos. Estes tendem a ser contemplados pelo vigor das disciplinas eletivas na grade do curso de História. Em outras palavras, as horas práticas procuram afastar-se do modelo de transmissão do conhecimento que toma os estudantes como polo passivo do processo de ensino-aprendizagem, meramente agenciados pelos planos da dimensão teórica do saber docente.</w:t>
      </w:r>
    </w:p>
    <w:p>
      <w:pPr>
        <w:pBdr>
          <w:top w:val="none" w:color="auto" w:sz="0" w:space="0"/>
          <w:left w:val="none" w:color="auto" w:sz="0" w:space="0"/>
          <w:bottom w:val="none" w:color="auto" w:sz="0" w:space="0"/>
          <w:right w:val="none" w:color="auto" w:sz="0" w:space="0"/>
          <w:between w:val="none" w:color="auto" w:sz="0" w:space="0"/>
        </w:pBdr>
        <w:shd w:val="clear" w:color="auto" w:fill="FFFFFF"/>
        <w:spacing w:after="200" w:line="360" w:lineRule="auto"/>
        <w:ind w:left="0" w:leftChars="0" w:right="-1" w:firstLine="720" w:firstLineChars="0"/>
        <w:jc w:val="both"/>
        <w:rPr>
          <w:rFonts w:ascii="Times New Roman" w:hAnsi="Times New Roman" w:eastAsia="Times New Roman" w:cs="Times New Roman"/>
          <w:color w:val="000000"/>
        </w:rPr>
      </w:pPr>
      <w:r>
        <w:rPr>
          <w:rFonts w:ascii="Times New Roman" w:hAnsi="Times New Roman" w:eastAsia="Calibri" w:cs="Times New Roman"/>
          <w:color w:val="000000"/>
        </w:rPr>
        <w:t xml:space="preserve">Essa carga horária, para alcançar os objetivos pretendidos, como restou evidente, deve ser dedicada a atividades diversificadas desenvolvidas por estudantes e professores em momentos diversos da disciplina, podendo se concentrar em determinados períodos (caso dos estudos de meio e das pesquisas arquivísticas, para citar dois exemplos) ou se distribuir mais regularmente ao longo do semestre (por exemplo, em leituras orientadas ou críticas). As diferentes estratégias empregadas devem perseguir sempre os objetivos gerais: ampliar os percursos formativos e estimular a criatividade e autonomia dos educandos. O trabalho de acompanhamento, supervisão e orientação por parte do docente deve abarcar as atividades desenvolvidas, podendo ocorrer através de orientações sistemáticas, da definição prática ou operatória, da investigação </w:t>
      </w:r>
      <w:r>
        <w:rPr>
          <w:rFonts w:ascii="Times New Roman" w:hAnsi="Times New Roman" w:eastAsia="Calibri" w:cs="Times New Roman"/>
          <w:i/>
          <w:color w:val="000000"/>
        </w:rPr>
        <w:t>in loco</w:t>
      </w:r>
      <w:r>
        <w:rPr>
          <w:rFonts w:ascii="Times New Roman" w:hAnsi="Times New Roman" w:eastAsia="Calibri" w:cs="Times New Roman"/>
          <w:color w:val="000000"/>
        </w:rPr>
        <w:t xml:space="preserve"> (como experimentação ou teste), de reuniões de trabalho com pequenos grupos ou individuais, da produção de avaliação específica das atividades, da elaboração de relatos e planos de abordagem.</w:t>
      </w:r>
    </w:p>
    <w:p>
      <w:pPr>
        <w:pBdr>
          <w:top w:val="none" w:color="auto" w:sz="0" w:space="0"/>
          <w:left w:val="none" w:color="auto" w:sz="0" w:space="0"/>
          <w:bottom w:val="none" w:color="auto" w:sz="0" w:space="0"/>
          <w:right w:val="none" w:color="auto" w:sz="0" w:space="0"/>
          <w:between w:val="none" w:color="auto" w:sz="0" w:space="0"/>
        </w:pBdr>
        <w:shd w:val="clear" w:color="auto" w:fill="FFFFFF"/>
        <w:spacing w:after="200" w:line="360" w:lineRule="auto"/>
        <w:ind w:left="0" w:leftChars="0" w:right="-1" w:firstLine="720" w:firstLineChars="0"/>
        <w:jc w:val="both"/>
        <w:rPr>
          <w:rFonts w:ascii="Times New Roman" w:hAnsi="Times New Roman" w:eastAsia="Times New Roman" w:cs="Times New Roman"/>
          <w:color w:val="000000"/>
        </w:rPr>
      </w:pPr>
      <w:r>
        <w:rPr>
          <w:rFonts w:ascii="Times New Roman" w:hAnsi="Times New Roman" w:eastAsia="Calibri" w:cs="Times New Roman"/>
          <w:color w:val="000000"/>
        </w:rPr>
        <w:t xml:space="preserve">As horas práticas se voltam, assim, à exploração dos diferentes espaços do Curso de História, que são as bibliotecas, os arquivos, os museus, as instituições escolares e outros espaços educativos físicos (como organizações comunitárias que guardam saberes e culturas populares) ou virtuais (mídias e redes sociais, etc.). Sobretudo, trata-se de enfocar os vários espaços de sociabilidade que nos cercam e as diversas linguagens — da oralidade ao audiovisual, da ciência à arte, do erudito ao popular. Isso significa, ainda, a previsão de uma </w:t>
      </w:r>
      <w:r>
        <w:rPr>
          <w:rFonts w:ascii="Times New Roman" w:hAnsi="Times New Roman" w:eastAsia="Calibri" w:cs="Times New Roman"/>
          <w:i/>
          <w:color w:val="000000"/>
        </w:rPr>
        <w:t>práxis</w:t>
      </w:r>
      <w:r>
        <w:rPr>
          <w:rFonts w:ascii="Times New Roman" w:hAnsi="Times New Roman" w:eastAsia="Calibri" w:cs="Times New Roman"/>
          <w:color w:val="000000"/>
        </w:rPr>
        <w:t xml:space="preserve"> que estabeleça uma junção efetiva entre a graduação e a pós-graduação em História.</w:t>
      </w:r>
    </w:p>
    <w:p>
      <w:pPr>
        <w:pBdr>
          <w:top w:val="none" w:color="auto" w:sz="0" w:space="0"/>
          <w:left w:val="none" w:color="auto" w:sz="0" w:space="0"/>
          <w:bottom w:val="none" w:color="auto" w:sz="0" w:space="0"/>
          <w:right w:val="none" w:color="auto" w:sz="0" w:space="0"/>
          <w:between w:val="none" w:color="auto" w:sz="0" w:space="0"/>
        </w:pBdr>
        <w:shd w:val="clear" w:color="auto" w:fill="FFFFFF"/>
        <w:spacing w:after="200" w:line="360" w:lineRule="auto"/>
        <w:ind w:left="0" w:leftChars="0" w:right="-1" w:firstLine="720" w:firstLineChars="0"/>
        <w:jc w:val="both"/>
        <w:rPr>
          <w:rFonts w:ascii="Times New Roman" w:hAnsi="Times New Roman" w:eastAsia="Times New Roman" w:cs="Times New Roman"/>
          <w:color w:val="000000"/>
        </w:rPr>
      </w:pPr>
      <w:r>
        <w:rPr>
          <w:rFonts w:ascii="Times New Roman" w:hAnsi="Times New Roman" w:eastAsia="Calibri" w:cs="Times New Roman"/>
          <w:color w:val="000000"/>
        </w:rPr>
        <w:t>Desse modo, a dimensão prática do processo formativo (traduzida nas horas de estudos práticos) permite multiplicar, sob a orientação do professor-educador, as abordagens de ensino, os objetos de investigação e estudo, os mecanismos de avaliação, além de construir caminhos singulares de compreensão das problemáticas de pesquisa apresentadas. Portanto, os planos de ensino de cada disciplina devem permitir, por meio das suas estratégias específicas, essa construção de problemas de estudo, análise e observação. Além disso, eles devem se desdobrar nas experiências concretas (e históricas) do ensino-aprendizagem dirigido pelo professor-educador (nas aulas, nos roteiros de trabalho, no planejamento das ações ou das etapas de estudo).</w:t>
      </w:r>
    </w:p>
    <w:p>
      <w:pPr>
        <w:pBdr>
          <w:top w:val="none" w:color="auto" w:sz="0" w:space="0"/>
          <w:left w:val="none" w:color="auto" w:sz="0" w:space="0"/>
          <w:bottom w:val="none" w:color="auto" w:sz="0" w:space="0"/>
          <w:right w:val="none" w:color="auto" w:sz="0" w:space="0"/>
          <w:between w:val="none" w:color="auto" w:sz="0" w:space="0"/>
        </w:pBdr>
        <w:shd w:val="clear" w:color="auto" w:fill="FFFFFF"/>
        <w:spacing w:after="200" w:line="360" w:lineRule="auto"/>
        <w:ind w:left="0" w:leftChars="0" w:right="-1" w:firstLine="720" w:firstLineChars="0"/>
        <w:jc w:val="both"/>
        <w:rPr>
          <w:rFonts w:ascii="Times New Roman" w:hAnsi="Times New Roman" w:eastAsia="Times New Roman" w:cs="Times New Roman"/>
          <w:color w:val="000000"/>
        </w:rPr>
      </w:pPr>
      <w:r>
        <w:rPr>
          <w:rFonts w:ascii="Times New Roman" w:hAnsi="Times New Roman" w:eastAsia="Calibri" w:cs="Times New Roman"/>
          <w:color w:val="000000"/>
        </w:rPr>
        <w:t>Assim, no processo que opera uma teorização (mesmo que preliminar) da prática, permitindo inquirir o conhecimento instituído, historiográfico ou teórico, são estimulados os planos de caráter tutorial, os interesses extensionistas e a necessária articulação ensino-pesquisa. Esse esforço dissemina os compromissos da reflexão acadêmica que não se reduzem ao sucesso, considerado mais seletivo, das “iniciações científicas”. A legitimidade disso, com evidência, advém do propósito fundacional da universidade pública e democrática: a indissociabilidade entre ensino, pesquisa e extensão.</w:t>
      </w:r>
    </w:p>
    <w:p>
      <w:pPr>
        <w:pBdr>
          <w:top w:val="none" w:color="auto" w:sz="0" w:space="0"/>
          <w:left w:val="none" w:color="auto" w:sz="0" w:space="0"/>
          <w:bottom w:val="none" w:color="auto" w:sz="0" w:space="0"/>
          <w:right w:val="none" w:color="auto" w:sz="0" w:space="0"/>
          <w:between w:val="none" w:color="auto" w:sz="0" w:space="0"/>
        </w:pBdr>
        <w:spacing w:line="360" w:lineRule="auto"/>
        <w:ind w:left="0" w:right="-1" w:hanging="2"/>
        <w:jc w:val="both"/>
        <w:rPr>
          <w:rFonts w:ascii="Times New Roman" w:hAnsi="Times New Roman" w:eastAsia="Liberation Serif" w:cs="Times New Roman"/>
          <w:color w:val="000000"/>
        </w:rPr>
      </w:pPr>
      <w:r>
        <w:rPr>
          <w:rFonts w:ascii="Times New Roman" w:hAnsi="Times New Roman" w:eastAsia="Calibri" w:cs="Times New Roman"/>
          <w:b/>
          <w:color w:val="000000"/>
        </w:rPr>
        <w:t>Temas transversais</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360" w:lineRule="auto"/>
        <w:ind w:left="0" w:right="-1" w:hanging="2"/>
        <w:jc w:val="both"/>
        <w:rPr>
          <w:rFonts w:ascii="Times New Roman" w:hAnsi="Times New Roman" w:eastAsia="Liberation Serif" w:cs="Times New Roman"/>
          <w:color w:val="000000"/>
        </w:rPr>
      </w:pPr>
      <w:r>
        <w:rPr>
          <w:rFonts w:ascii="Times New Roman" w:hAnsi="Times New Roman" w:eastAsia="Calibri" w:cs="Times New Roman"/>
          <w:color w:val="000000"/>
        </w:rPr>
        <w:tab/>
      </w:r>
      <w:r>
        <w:rPr>
          <w:rFonts w:ascii="Times New Roman" w:hAnsi="Times New Roman" w:eastAsia="Calibri" w:cs="Times New Roman"/>
          <w:color w:val="000000"/>
        </w:rPr>
        <w:tab/>
      </w:r>
      <w:r>
        <w:rPr>
          <w:rFonts w:ascii="Times New Roman" w:hAnsi="Times New Roman" w:eastAsia="Calibri" w:cs="Times New Roman"/>
          <w:color w:val="000000"/>
        </w:rPr>
        <w:t>Os temas transversais são tratados ao longo de todo o curso, tanto nas disciplinas obrigatórias quanto nas eletivas. Segundo os Parâmetros Curriculares Nacionais, os principais temas transversais são Ética, Pluralidade Cultural, Meio Ambiente, Saúde, Orientação Sexual e Temas Locais</w:t>
      </w:r>
      <w:r>
        <w:rPr>
          <w:rFonts w:ascii="Times New Roman" w:hAnsi="Times New Roman" w:eastAsia="Calibri" w:cs="Times New Roman"/>
          <w:color w:val="000000"/>
          <w:vertAlign w:val="superscript"/>
        </w:rPr>
        <w:footnoteReference w:id="23"/>
      </w:r>
      <w:r>
        <w:rPr>
          <w:rFonts w:ascii="Times New Roman" w:hAnsi="Times New Roman" w:eastAsia="Calibri" w:cs="Times New Roman"/>
          <w:color w:val="000000"/>
        </w:rPr>
        <w:t>.Contudo, como salientam Antonio Carlos Figueiredo Costa, Daniella Custódia de Almeida e Tayane Alves da Silva,</w:t>
      </w:r>
    </w:p>
    <w:p>
      <w:pPr>
        <w:pBdr>
          <w:top w:val="none" w:color="auto" w:sz="0" w:space="0"/>
          <w:left w:val="none" w:color="auto" w:sz="0" w:space="0"/>
          <w:bottom w:val="none" w:color="auto" w:sz="0" w:space="0"/>
          <w:right w:val="none" w:color="auto" w:sz="0" w:space="0"/>
          <w:between w:val="none" w:color="auto" w:sz="0" w:space="0"/>
        </w:pBdr>
        <w:spacing w:after="240" w:line="240" w:lineRule="auto"/>
        <w:ind w:left="362" w:leftChars="150" w:right="-1" w:hanging="2"/>
        <w:jc w:val="both"/>
        <w:rPr>
          <w:rFonts w:ascii="Times New Roman" w:hAnsi="Times New Roman" w:eastAsia="Liberation Serif" w:cs="Times New Roman"/>
          <w:color w:val="000000"/>
        </w:rPr>
      </w:pPr>
      <w:r>
        <w:rPr>
          <w:rFonts w:ascii="Times New Roman" w:hAnsi="Times New Roman" w:eastAsia="Calibri" w:cs="Times New Roman"/>
          <w:color w:val="000000"/>
        </w:rPr>
        <w:t>(...) a transversalidade contém suas possibilidades, mas também seus limites, os quais, caso sejam ultrapassados, tornam-se armadilhas, tais como a ilusão de que haverá temas suficientemente abrangentes que venham a ser tratados satisfatoriamente por todas as disciplinas, ou mesmo que a grade curricular reservará horários específicos para tratar de temas transversais</w:t>
      </w:r>
      <w:r>
        <w:rPr>
          <w:rFonts w:ascii="Times New Roman" w:hAnsi="Times New Roman" w:eastAsia="Calibri" w:cs="Times New Roman"/>
          <w:color w:val="000000"/>
          <w:vertAlign w:val="superscript"/>
        </w:rPr>
        <w:footnoteReference w:id="24"/>
      </w:r>
      <w:r>
        <w:rPr>
          <w:rFonts w:ascii="Times New Roman" w:hAnsi="Times New Roman" w:eastAsia="Calibri" w:cs="Times New Roman"/>
          <w:color w:val="000000"/>
        </w:rPr>
        <w:t>.</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right="-1" w:firstLine="720" w:firstLineChars="0"/>
        <w:jc w:val="both"/>
        <w:rPr>
          <w:rFonts w:ascii="Times New Roman" w:hAnsi="Times New Roman" w:eastAsia="Liberation Serif" w:cs="Times New Roman"/>
          <w:color w:val="000000"/>
        </w:rPr>
      </w:pPr>
      <w:r>
        <w:rPr>
          <w:rFonts w:ascii="Times New Roman" w:hAnsi="Times New Roman" w:eastAsia="Calibri" w:cs="Times New Roman"/>
          <w:color w:val="000000"/>
        </w:rPr>
        <w:t>Assim, por exemplo, ao tratar do papel do intelectual na história no mundo atual, a disciplina de Introdução ao Estudo da História aborda a responsabilidade ambiental como uma obrigação de todos os profissionais que atuam em História (licenciatura ou bacharelado)</w:t>
      </w:r>
      <w:r>
        <w:rPr>
          <w:rFonts w:ascii="Times New Roman" w:hAnsi="Times New Roman" w:eastAsia="Calibri" w:cs="Times New Roman"/>
          <w:color w:val="000000"/>
          <w:vertAlign w:val="superscript"/>
        </w:rPr>
        <w:footnoteReference w:id="25"/>
      </w:r>
      <w:r>
        <w:rPr>
          <w:rFonts w:ascii="Times New Roman" w:hAnsi="Times New Roman" w:eastAsia="Calibri" w:cs="Times New Roman"/>
          <w:color w:val="000000"/>
        </w:rPr>
        <w:t>. Para além desta disciplina, temas recorrentes da História, presentes em várias disciplinas, como a colonização (na América, África e Ásia), a Revolução Industrial (primeira e segunda fase), a formação das cidades, a urbanização, as revoluções tecnológicas (das agrícolas à era da informática) e o aumento populacional, são propícios ao debate da educação ambiental.</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right="-1" w:firstLine="720" w:firstLineChars="0"/>
        <w:jc w:val="both"/>
        <w:rPr>
          <w:rFonts w:ascii="Times New Roman" w:hAnsi="Times New Roman" w:eastAsia="Liberation Serif" w:cs="Times New Roman"/>
          <w:color w:val="000000"/>
        </w:rPr>
      </w:pPr>
      <w:r>
        <w:rPr>
          <w:rFonts w:ascii="Times New Roman" w:hAnsi="Times New Roman" w:eastAsia="Calibri" w:cs="Times New Roman"/>
          <w:color w:val="000000"/>
        </w:rPr>
        <w:t>Portanto, Educação Ambiental, de acordo com a Resolução CNE n</w:t>
      </w:r>
      <w:r>
        <w:rPr>
          <w:rFonts w:ascii="Times New Roman" w:hAnsi="Times New Roman" w:eastAsia="Calibri" w:cs="Times New Roman"/>
          <w:color w:val="000000"/>
          <w:vertAlign w:val="superscript"/>
        </w:rPr>
        <w:t>o</w:t>
      </w:r>
      <w:r>
        <w:rPr>
          <w:rFonts w:ascii="Times New Roman" w:hAnsi="Times New Roman" w:eastAsia="Calibri" w:cs="Times New Roman"/>
          <w:color w:val="000000"/>
        </w:rPr>
        <w:t xml:space="preserve"> 2, de 15/06/2012, também é abordada de forma transversal. Segundo uma revisão dos PCNs, realizada por seis pesquisadores em conjunto, ainda que existam problemas de concepção, a parte da proposta a respeito da educação ambiental é importante, pois:</w:t>
      </w:r>
    </w:p>
    <w:p>
      <w:pPr>
        <w:pBdr>
          <w:top w:val="none" w:color="auto" w:sz="0" w:space="0"/>
          <w:left w:val="none" w:color="auto" w:sz="0" w:space="0"/>
          <w:bottom w:val="none" w:color="auto" w:sz="0" w:space="0"/>
          <w:right w:val="none" w:color="auto" w:sz="0" w:space="0"/>
          <w:between w:val="none" w:color="auto" w:sz="0" w:space="0"/>
        </w:pBdr>
        <w:spacing w:line="360" w:lineRule="auto"/>
        <w:ind w:left="0" w:right="-1" w:hanging="2"/>
        <w:jc w:val="both"/>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569" w:leftChars="0" w:right="-1" w:hanging="2" w:firstLineChars="0"/>
        <w:jc w:val="both"/>
        <w:rPr>
          <w:rFonts w:ascii="Times New Roman" w:hAnsi="Times New Roman" w:eastAsia="Liberation Serif" w:cs="Times New Roman"/>
          <w:color w:val="000000"/>
        </w:rPr>
      </w:pPr>
      <w:r>
        <w:rPr>
          <w:rFonts w:ascii="Times New Roman" w:hAnsi="Times New Roman" w:eastAsia="Calibri" w:cs="Times New Roman"/>
          <w:color w:val="000000"/>
        </w:rPr>
        <w:t>(...) percebe o problema ambiental como sendo um problema humano (antrópico); questiona o uso de recursos não-renováveis, atenta para as unidades de conservação, incentiva pesquisa na área ambiental; apresenta os problemas sociais e das populações humanas como sendo também ambientais; faz referência aos eventos internacionais que promovem a realização de acordos e encaminhamentos políticos; apesar de ficar no limite do desenvolvimento sustentável, problematiza pontos de divergência relativos às concepções sobre a relação homem-natureza e políticas ambientais; mesmo que brevemente, questiona o consumismo da atual sociedade, indo um pouco além da EA restrita à reciclagem e mitigação dos resíduos; e promove a EA</w:t>
      </w:r>
      <w:r>
        <w:rPr>
          <w:rFonts w:ascii="Times New Roman" w:hAnsi="Times New Roman" w:eastAsia="Calibri" w:cs="Times New Roman"/>
          <w:color w:val="000000"/>
          <w:vertAlign w:val="superscript"/>
        </w:rPr>
        <w:footnoteReference w:id="26"/>
      </w:r>
      <w:r>
        <w:rPr>
          <w:rFonts w:ascii="Times New Roman" w:hAnsi="Times New Roman" w:eastAsia="Calibri" w:cs="Times New Roman"/>
          <w:color w:val="000000"/>
        </w:rPr>
        <w:t>.</w:t>
      </w:r>
    </w:p>
    <w:p>
      <w:pPr>
        <w:pBdr>
          <w:top w:val="none" w:color="auto" w:sz="0" w:space="0"/>
          <w:left w:val="none" w:color="auto" w:sz="0" w:space="0"/>
          <w:bottom w:val="none" w:color="auto" w:sz="0" w:space="0"/>
          <w:right w:val="none" w:color="auto" w:sz="0" w:space="0"/>
          <w:between w:val="none" w:color="auto" w:sz="0" w:space="0"/>
        </w:pBdr>
        <w:spacing w:line="360" w:lineRule="auto"/>
        <w:ind w:left="0" w:right="1441" w:hanging="2"/>
        <w:jc w:val="both"/>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right="-1" w:firstLine="567" w:firstLineChars="0"/>
        <w:jc w:val="both"/>
        <w:rPr>
          <w:rFonts w:ascii="Times New Roman" w:hAnsi="Times New Roman" w:eastAsia="Liberation Serif" w:cs="Times New Roman"/>
          <w:color w:val="000000"/>
        </w:rPr>
      </w:pPr>
      <w:r>
        <w:rPr>
          <w:rFonts w:ascii="Times New Roman" w:hAnsi="Times New Roman" w:eastAsia="Calibri" w:cs="Times New Roman"/>
          <w:color w:val="000000"/>
        </w:rPr>
        <w:t>Da mesma forma, os temas relativos à Educação para as relações étnico-raciais estão presentes em várias disciplinas — como História das Áfricas, História do Brasil I, II e III, História da América I e II, História Moderna e História Contemporânea —, quando são abordados os temas da diáspora, da escravização, da abolição, da miscigenação, da chamada “democracia racial”, do racismo e da xenofobia, por exemplo. Em conformidade com a resolução CNE n. 1, de 17/06/2004, a organização curricular do curso possui uma disciplina obrigatória e algumas eletivas de História das Áfricas, além de tratar da cultura afro-brasileira e afro-americana, particularmente nas disciplinas obrigatórias de História da América I e História da América II  — de forma transversal ao longo do curso, bem como dos desafios a respeito da multipolaridade étnico-identitária que estrutura a sociedade brasileira</w:t>
      </w:r>
      <w:r>
        <w:rPr>
          <w:rFonts w:ascii="Times New Roman" w:hAnsi="Times New Roman" w:eastAsia="Calibri" w:cs="Times New Roman"/>
          <w:color w:val="000000"/>
          <w:vertAlign w:val="superscript"/>
        </w:rPr>
        <w:footnoteReference w:id="27"/>
      </w:r>
      <w:r>
        <w:rPr>
          <w:rFonts w:ascii="Times New Roman" w:hAnsi="Times New Roman" w:eastAsia="Calibri" w:cs="Times New Roman"/>
          <w:color w:val="000000"/>
        </w:rPr>
        <w:t>. Como o curso ainda não obteve vagas para a contratação de docentes para a área de Histórias Indígenas</w:t>
      </w:r>
      <w:r>
        <w:rPr>
          <w:rFonts w:ascii="Times New Roman" w:hAnsi="Times New Roman" w:eastAsia="Calibri" w:cs="Times New Roman"/>
          <w:color w:val="000000"/>
          <w:vertAlign w:val="superscript"/>
        </w:rPr>
        <w:footnoteReference w:id="28"/>
      </w:r>
      <w:r>
        <w:rPr>
          <w:rFonts w:ascii="Times New Roman" w:hAnsi="Times New Roman" w:eastAsia="Calibri" w:cs="Times New Roman"/>
          <w:color w:val="000000"/>
        </w:rPr>
        <w:t>, as discussões sobre o tema são abordadas em disciplinas eletivas, conforme podemos ver nas ementas que compõem o presente Projeto Pedagógico.</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right="-1" w:firstLine="720" w:firstLineChars="0"/>
        <w:jc w:val="both"/>
        <w:rPr>
          <w:rFonts w:ascii="Times New Roman" w:hAnsi="Times New Roman" w:eastAsia="Liberation Serif" w:cs="Times New Roman"/>
          <w:color w:val="000000"/>
        </w:rPr>
      </w:pPr>
      <w:r>
        <w:rPr>
          <w:rFonts w:ascii="Times New Roman" w:hAnsi="Times New Roman" w:eastAsia="Calibri" w:cs="Times New Roman"/>
          <w:color w:val="000000"/>
        </w:rPr>
        <w:t>Na esteira do debate sobre as questões étnico raciais, estão presentes questões relativas aos direitos humanos. Alguns temas como terrorismo, holocausto, diáspora, genocídio de indígenas no Brasil e nas Américas, população carcerária, mutilação genital e feminicídios são mais expressivos para pensarmos o que é a humanidade, o que significa ser cidadão universal</w:t>
      </w:r>
      <w:r>
        <w:rPr>
          <w:rFonts w:ascii="Times New Roman" w:hAnsi="Times New Roman" w:eastAsia="Calibri" w:cs="Times New Roman"/>
          <w:color w:val="000000"/>
          <w:vertAlign w:val="superscript"/>
        </w:rPr>
        <w:footnoteReference w:id="29"/>
      </w:r>
      <w:r>
        <w:rPr>
          <w:rFonts w:ascii="Times New Roman" w:hAnsi="Times New Roman" w:eastAsia="Calibri" w:cs="Times New Roman"/>
          <w:color w:val="000000"/>
        </w:rPr>
        <w:t xml:space="preserve"> e quais são os direitos que acompanham essa categoria.</w:t>
      </w:r>
    </w:p>
    <w:p>
      <w:pPr>
        <w:pBdr>
          <w:top w:val="none" w:color="auto" w:sz="0" w:space="0"/>
          <w:left w:val="none" w:color="auto" w:sz="0" w:space="0"/>
          <w:bottom w:val="none" w:color="auto" w:sz="0" w:space="0"/>
          <w:right w:val="none" w:color="auto" w:sz="0" w:space="0"/>
          <w:between w:val="none" w:color="auto" w:sz="0" w:space="0"/>
        </w:pBdr>
        <w:spacing w:line="360" w:lineRule="auto"/>
        <w:ind w:left="0" w:right="-1" w:hanging="2"/>
        <w:jc w:val="both"/>
        <w:rPr>
          <w:rFonts w:ascii="Times New Roman" w:hAnsi="Times New Roman" w:eastAsia="Liberation Serif" w:cs="Times New Roman"/>
          <w:color w:val="000000"/>
        </w:rPr>
      </w:pPr>
      <w:r>
        <w:rPr>
          <w:rFonts w:ascii="Times New Roman" w:hAnsi="Times New Roman" w:eastAsia="Calibri" w:cs="Times New Roman"/>
          <w:color w:val="000000"/>
        </w:rPr>
        <w:t>A educação em direitos humanos também é trabalhada de forma transversal em diferentes disciplinas obrigatórias, como História do Brasil III, História das Áfricas e História das Américas II, em concordância com CNE n</w:t>
      </w:r>
      <w:r>
        <w:rPr>
          <w:rFonts w:ascii="Times New Roman" w:hAnsi="Times New Roman" w:eastAsia="Calibri" w:cs="Times New Roman"/>
          <w:color w:val="000000"/>
          <w:vertAlign w:val="superscript"/>
        </w:rPr>
        <w:t xml:space="preserve">o </w:t>
      </w:r>
      <w:r>
        <w:rPr>
          <w:rFonts w:ascii="Times New Roman" w:hAnsi="Times New Roman" w:eastAsia="Calibri" w:cs="Times New Roman"/>
          <w:color w:val="000000"/>
        </w:rPr>
        <w:t>1, de 30/05/2012, assim como na inclusão da oferta de eletivas do curso de Direito para os estudantes de História, tanto do Bacharelado quanto da Licenciatura. Cabe salientar que são necessárias cada vez mais iniciativas para a educação em Direitos Humanos, pois, como sustentam Ângela Viana Machado Fernandes e Melina Casari Paludeto:</w:t>
      </w:r>
    </w:p>
    <w:p>
      <w:pPr>
        <w:pBdr>
          <w:top w:val="none" w:color="auto" w:sz="0" w:space="0"/>
          <w:left w:val="none" w:color="auto" w:sz="0" w:space="0"/>
          <w:bottom w:val="none" w:color="auto" w:sz="0" w:space="0"/>
          <w:right w:val="none" w:color="auto" w:sz="0" w:space="0"/>
          <w:between w:val="none" w:color="auto" w:sz="0" w:space="0"/>
        </w:pBdr>
        <w:spacing w:after="240" w:line="240" w:lineRule="auto"/>
        <w:ind w:left="962" w:leftChars="400" w:right="-1" w:hanging="2"/>
        <w:jc w:val="both"/>
        <w:rPr>
          <w:rFonts w:ascii="Times New Roman" w:hAnsi="Times New Roman" w:eastAsia="Liberation Serif" w:cs="Times New Roman"/>
          <w:color w:val="000000"/>
        </w:rPr>
      </w:pPr>
      <w:r>
        <w:rPr>
          <w:rFonts w:ascii="Times New Roman" w:hAnsi="Times New Roman" w:eastAsia="Calibri" w:cs="Times New Roman"/>
          <w:color w:val="000000"/>
        </w:rPr>
        <w:t>A educação voltada para os direitos humanos ainda não faz parte da prática nem do currículo da escola como deveria. Em momentos de crise de valores públicos e privados e da sociedade como um todo, torna-se imperativo que a temática da igualdade e da dignidade humana não faça parte apenas de textos legais, mas que, igualmente, seja internalizada por todos que atuam tanto na educação formal como na não formal. E aqui podemos propor não só revisão curricular, mas a formação docente para que inclua em seu programa os direitos humanos, que são para todos e cuja proposta aconteça de fato e de direito</w:t>
      </w:r>
      <w:r>
        <w:rPr>
          <w:rFonts w:ascii="Times New Roman" w:hAnsi="Times New Roman" w:eastAsia="Calibri" w:cs="Times New Roman"/>
          <w:color w:val="000000"/>
          <w:vertAlign w:val="superscript"/>
        </w:rPr>
        <w:footnoteReference w:id="30"/>
      </w:r>
      <w:r>
        <w:rPr>
          <w:rFonts w:ascii="Times New Roman" w:hAnsi="Times New Roman" w:eastAsia="Calibri" w:cs="Times New Roman"/>
          <w:color w:val="000000"/>
        </w:rPr>
        <w:t>.</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right="-1" w:firstLine="720" w:firstLineChars="0"/>
        <w:jc w:val="both"/>
        <w:rPr>
          <w:rFonts w:ascii="Times New Roman" w:hAnsi="Times New Roman" w:eastAsia="Liberation Serif" w:cs="Times New Roman"/>
          <w:color w:val="000000"/>
        </w:rPr>
      </w:pPr>
      <w:r>
        <w:rPr>
          <w:rFonts w:ascii="Times New Roman" w:hAnsi="Times New Roman" w:eastAsia="Calibri" w:cs="Times New Roman"/>
          <w:color w:val="000000"/>
        </w:rPr>
        <w:t>De forma mais ampla, a organização curricular tem como objetivo enfocar as construções identitárias e as diferenças que precisam ser trabalhadas em todos os graus de ensino. Cabe salientar que tais processos envolvem questões de “diversidade étnico-racial, sexual, de gênero e identidade de gênero, geracional, cultural e regional, além das diferenças cognitivas e físicas” e “não se limitam ao respeito e à tolerância nas relações interpessoais, mas, como parte do processo formativo, produz implicações no currículo, na prática pedagógica e na gestão da instituição educativa”</w:t>
      </w:r>
      <w:r>
        <w:rPr>
          <w:rFonts w:ascii="Times New Roman" w:hAnsi="Times New Roman" w:eastAsia="Calibri" w:cs="Times New Roman"/>
          <w:color w:val="000000"/>
          <w:vertAlign w:val="superscript"/>
        </w:rPr>
        <w:footnoteReference w:id="31"/>
      </w:r>
      <w:r>
        <w:rPr>
          <w:rFonts w:ascii="Times New Roman" w:hAnsi="Times New Roman" w:eastAsia="Calibri" w:cs="Times New Roman"/>
          <w:color w:val="000000"/>
        </w:rPr>
        <w:t>.</w:t>
      </w:r>
    </w:p>
    <w:p>
      <w:pPr>
        <w:pBdr>
          <w:top w:val="none" w:color="auto" w:sz="0" w:space="0"/>
          <w:left w:val="none" w:color="auto" w:sz="0" w:space="0"/>
          <w:bottom w:val="none" w:color="auto" w:sz="0" w:space="0"/>
          <w:right w:val="none" w:color="auto" w:sz="0" w:space="0"/>
          <w:between w:val="none" w:color="auto" w:sz="0" w:space="0"/>
        </w:pBdr>
        <w:spacing w:line="360" w:lineRule="auto"/>
        <w:ind w:left="0" w:right="-1" w:hanging="2"/>
        <w:jc w:val="both"/>
        <w:rPr>
          <w:rFonts w:ascii="Times New Roman" w:hAnsi="Times New Roman" w:eastAsia="Liberation Serif" w:cs="Times New Roman"/>
          <w:color w:val="000000"/>
        </w:rPr>
      </w:pPr>
      <w:r>
        <w:rPr>
          <w:rFonts w:ascii="Times New Roman" w:hAnsi="Times New Roman" w:eastAsia="Calibri" w:cs="Times New Roman"/>
          <w:color w:val="000000"/>
        </w:rPr>
        <w:t>Destacando a preocupação com a Educação Inclusiva, o curso de Licenciatura em História oferece a disciplina de Libras como obrigatória, de acordo com o Art. 3º do Decreto nº 5.626, de 22 de dezembro de 2005, que regulamenta a Lei nº 10.436, de 24 de abril de 2002, que dispõe sobre a Língua Brasileira de Sinais - Libras.</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Calibri" w:cs="Times New Roman"/>
          <w:b/>
          <w:color w:val="000000"/>
        </w:rPr>
        <w:t>Metodologias de ensino e aprendizagem</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p>
      <w:pPr>
        <w:spacing w:line="360" w:lineRule="auto"/>
        <w:ind w:left="0" w:leftChars="0" w:firstLine="720" w:firstLineChars="0"/>
        <w:jc w:val="both"/>
        <w:rPr>
          <w:rFonts w:ascii="Times New Roman" w:hAnsi="Times New Roman" w:cs="Times New Roman"/>
        </w:rPr>
      </w:pPr>
      <w:r>
        <w:rPr>
          <w:rFonts w:ascii="Times New Roman" w:hAnsi="Times New Roman" w:eastAsia="Calibri" w:cs="Times New Roman"/>
        </w:rPr>
        <w:t>Seguindo os recentes desenvolvimentos da disciplina de história, o currículo foi pensado e estruturado tendo como centro quatro princípios, como já mencionado na seção anterior: flexibilidade, interdisciplinaridade, autonomia e a indissociabilidade entre ensino e pesquisa histórica. Eles conferem às disciplinas não um caráter de transmissoras de conteúdo, mas de local de produção de saber historiográfico e de revisão crítica da bibliografia e das práticas historiográficas do passado e do presente.</w:t>
      </w:r>
    </w:p>
    <w:p>
      <w:pPr>
        <w:spacing w:line="360" w:lineRule="auto"/>
        <w:ind w:left="0" w:leftChars="0" w:firstLine="720" w:firstLineChars="0"/>
        <w:jc w:val="both"/>
        <w:rPr>
          <w:rFonts w:ascii="Times New Roman" w:hAnsi="Times New Roman" w:cs="Times New Roman"/>
        </w:rPr>
      </w:pPr>
      <w:r>
        <w:rPr>
          <w:rFonts w:ascii="Times New Roman" w:hAnsi="Times New Roman" w:eastAsia="Calibri" w:cs="Times New Roman"/>
        </w:rPr>
        <w:t>As disciplinas realizam-se como seminários de pesquisas e leituras dirigidas, exigindo dos discentes engajamento nas discussões bibliográficas e análises documentais para suscitar a investigação de hipóteses de pesquisa e a confecção de textos e outras formas de expressão do conhecimento histórico. Estimulados a elaborar e desenvolver reflexões em torno de eixos temáticos selecionados, os discentes realizam sua formação como pesquisadores e produtores de História de forma autônoma, mas essencialmente colaborativa. Nesse sentido, o viés prático das disciplinas obrigatórias facilita o desenvolvimento de atividades científico-culturais, combinando ensino, pesquisa e extensão.</w:t>
      </w:r>
    </w:p>
    <w:p>
      <w:pPr>
        <w:spacing w:line="360" w:lineRule="auto"/>
        <w:ind w:left="0" w:leftChars="0" w:firstLine="720" w:firstLineChars="0"/>
        <w:jc w:val="both"/>
        <w:rPr>
          <w:rFonts w:ascii="Times New Roman" w:hAnsi="Times New Roman" w:cs="Times New Roman"/>
        </w:rPr>
      </w:pPr>
      <w:r>
        <w:rPr>
          <w:rFonts w:ascii="Times New Roman" w:hAnsi="Times New Roman" w:eastAsia="Calibri" w:cs="Times New Roman"/>
        </w:rPr>
        <w:t>As atividades didáticas no curso de Licenciatura em História se desenvolvem de forma plural e criativa, com o objetivo de concretizar seus principais princípios orientadores: a interdisciplinaridade, a articulação teórico-prática, a flexibilidade curricular, a autonomia e a inclusão. Além das tradicionais aulas expositivas, empregamos metodologias inovadoras capazes de promover um processo inclusivo e dialogado de construção do conhecimento, incentivando os discentes ao desenvolvimento de competências e habilidades relacionadas ao ensino de História, à popularização e democratização do conhecimento histórico, bem como à pesquisa histórica. Vejamos alguns eixos metodológicos nos quais se enquadram determinadas atividades desenvolvidas durante as atividades didáticas do curso:</w:t>
      </w:r>
    </w:p>
    <w:p>
      <w:pPr>
        <w:spacing w:line="360" w:lineRule="auto"/>
        <w:ind w:left="0" w:hanging="2"/>
        <w:jc w:val="both"/>
        <w:rPr>
          <w:rFonts w:ascii="Times New Roman" w:hAnsi="Times New Roman" w:eastAsia="Calibri" w:cs="Times New Roman"/>
        </w:rPr>
      </w:pPr>
    </w:p>
    <w:p>
      <w:pPr>
        <w:spacing w:line="360" w:lineRule="auto"/>
        <w:ind w:left="0" w:hanging="2"/>
        <w:jc w:val="both"/>
        <w:rPr>
          <w:rFonts w:ascii="Times New Roman" w:hAnsi="Times New Roman" w:cs="Times New Roman"/>
        </w:rPr>
      </w:pPr>
      <w:r>
        <w:rPr>
          <w:rFonts w:ascii="Times New Roman" w:hAnsi="Times New Roman" w:eastAsia="Calibri" w:cs="Times New Roman"/>
          <w:i/>
        </w:rPr>
        <w:t>1. Ensino-aprendizagem a partir de problemas</w:t>
      </w:r>
    </w:p>
    <w:p>
      <w:pPr>
        <w:spacing w:line="360" w:lineRule="auto"/>
        <w:ind w:left="0" w:hanging="2"/>
        <w:jc w:val="both"/>
        <w:rPr>
          <w:rFonts w:ascii="Times New Roman" w:hAnsi="Times New Roman" w:eastAsia="Calibri" w:cs="Times New Roman"/>
        </w:rPr>
      </w:pPr>
    </w:p>
    <w:p>
      <w:pPr>
        <w:spacing w:line="360" w:lineRule="auto"/>
        <w:ind w:left="0" w:leftChars="0" w:firstLine="720" w:firstLineChars="0"/>
        <w:jc w:val="both"/>
        <w:rPr>
          <w:rFonts w:ascii="Times New Roman" w:hAnsi="Times New Roman" w:cs="Times New Roman"/>
        </w:rPr>
      </w:pPr>
      <w:r>
        <w:rPr>
          <w:rFonts w:ascii="Times New Roman" w:hAnsi="Times New Roman" w:eastAsia="Calibri" w:cs="Times New Roman"/>
        </w:rPr>
        <w:t xml:space="preserve">O processo de ensino e aprendizagem é despertado a partir da formulação em sala de aula de problemas de conhecimento relacionados ao conteúdo e às questões de cada módulo das disciplinas. Ao invés de trazer informações e dados prontos a serem simplesmente expostos e assimilados, optamos por dinâmicas de problematização que dirijam os alunos a adentrar de modo crítico e construtivo no universo da temática a ser estudada. Partindo da realidade da vida concreta contemporânea, dos debates públicos e das informações e opiniões prévias trazidas pela classe, o professor, num processo de construção coletiva, orienta a formulação de problemas a serem investigados durante o curso. Somente assim os conteúdos e debates historiográficos podem fazer sentido e, de fato, contribuírem para suscitar a crítica, a criatividade e a autonomia. </w:t>
      </w:r>
    </w:p>
    <w:p>
      <w:pPr>
        <w:spacing w:line="360" w:lineRule="auto"/>
        <w:ind w:left="0" w:leftChars="0" w:firstLine="720" w:firstLineChars="0"/>
        <w:jc w:val="both"/>
        <w:rPr>
          <w:rFonts w:ascii="Times New Roman" w:hAnsi="Times New Roman" w:cs="Times New Roman"/>
        </w:rPr>
      </w:pPr>
      <w:r>
        <w:rPr>
          <w:rFonts w:ascii="Times New Roman" w:hAnsi="Times New Roman" w:eastAsia="Calibri" w:cs="Times New Roman"/>
        </w:rPr>
        <w:t xml:space="preserve">De modo mais concreto, as aulas no curso de Licenciatura em História são desenvolvidas em torno de perguntas, da exposição de materiais motivadores e instigadores, como vídeos, notícias de jornal, trechos de livros e revistas, trechos de entrevistas, imagens, músicas, entre outros. Nos dias atuais, com a facilidade de acesso a materiais </w:t>
      </w:r>
      <w:r>
        <w:rPr>
          <w:rFonts w:ascii="Times New Roman" w:hAnsi="Times New Roman" w:eastAsia="Calibri" w:cs="Times New Roman"/>
          <w:i/>
        </w:rPr>
        <w:t>online</w:t>
      </w:r>
      <w:r>
        <w:rPr>
          <w:rFonts w:ascii="Times New Roman" w:hAnsi="Times New Roman" w:eastAsia="Calibri" w:cs="Times New Roman"/>
        </w:rPr>
        <w:t xml:space="preserve">, os docentes são orientados a fazer uso abundante desses materiais, capazes de servir de base para a formulação de problemas próprios ao campo do ensino de História, do debate historiográfico e da pesquisa histórica. As aulas, portanto, tendem a ser, ao mesmo tempo, expositivas e dialogadas, promovendo debates em que os discentes podem expor suas próprias dúvidas, percepções e críticas aos problemas propostos. A aula em torno de problemas torna necessária a prática da experiência da “aula invertida", que põe o aluno no centro do processo de ensino e aprendizagem e o professor como um mediador e incitador de dinâmicas. Neste intuito são realizadas “oficinas” em que os estudantes são divididos em grupos, aos quais o professor delega tarefas específicas de pesquisa e reflexão a serem desenvolvidas em uma ou mais aulas. O professor atua como um orientador na realização das tarefas. Deste modo é desenvolvido o espírito de autonomia, tão necessário ao professor e ao pesquisador da área de História. </w:t>
      </w:r>
    </w:p>
    <w:p>
      <w:pPr>
        <w:spacing w:line="360" w:lineRule="auto"/>
        <w:ind w:left="0" w:hanging="2"/>
        <w:jc w:val="both"/>
        <w:rPr>
          <w:rFonts w:ascii="Times New Roman" w:hAnsi="Times New Roman" w:eastAsia="Calibri" w:cs="Times New Roman"/>
        </w:rPr>
      </w:pPr>
    </w:p>
    <w:p>
      <w:pPr>
        <w:spacing w:line="360" w:lineRule="auto"/>
        <w:ind w:left="0" w:hanging="2"/>
        <w:jc w:val="both"/>
        <w:rPr>
          <w:rFonts w:ascii="Times New Roman" w:hAnsi="Times New Roman" w:cs="Times New Roman"/>
        </w:rPr>
      </w:pPr>
      <w:r>
        <w:rPr>
          <w:rFonts w:ascii="Times New Roman" w:hAnsi="Times New Roman" w:eastAsia="Calibri" w:cs="Times New Roman"/>
          <w:i/>
        </w:rPr>
        <w:t>2.  A pesquisa como princípio no processo de ensino-aprendizagem de História</w:t>
      </w:r>
    </w:p>
    <w:p>
      <w:pPr>
        <w:spacing w:line="360" w:lineRule="auto"/>
        <w:ind w:left="0" w:hanging="2"/>
        <w:jc w:val="both"/>
        <w:rPr>
          <w:rFonts w:ascii="Times New Roman" w:hAnsi="Times New Roman" w:eastAsia="Calibri" w:cs="Times New Roman"/>
        </w:rPr>
      </w:pPr>
    </w:p>
    <w:p>
      <w:pPr>
        <w:spacing w:line="360" w:lineRule="auto"/>
        <w:ind w:left="0" w:leftChars="0" w:firstLine="720" w:firstLineChars="0"/>
        <w:jc w:val="both"/>
        <w:rPr>
          <w:rFonts w:ascii="Times New Roman" w:hAnsi="Times New Roman" w:cs="Times New Roman"/>
        </w:rPr>
      </w:pPr>
      <w:r>
        <w:rPr>
          <w:rFonts w:ascii="Times New Roman" w:hAnsi="Times New Roman" w:eastAsia="Calibri" w:cs="Times New Roman"/>
        </w:rPr>
        <w:t xml:space="preserve">No sentido de promover o desenvolvimento de autonomia crítica por parte dos estudantes do curso, as aulas são norteadas também por tarefas de pesquisa. Além da bibliografia, fontes históricas e demais materiais escolhidos e propostos pelos professores durante as aulas, os alunos são incentivados a buscar seus próprios referenciais através de atividades de pesquisa. </w:t>
      </w:r>
    </w:p>
    <w:p>
      <w:pPr>
        <w:spacing w:line="360" w:lineRule="auto"/>
        <w:ind w:left="0" w:leftChars="0" w:firstLine="720" w:firstLineChars="0"/>
        <w:jc w:val="both"/>
        <w:rPr>
          <w:rFonts w:ascii="Times New Roman" w:hAnsi="Times New Roman" w:cs="Times New Roman"/>
        </w:rPr>
      </w:pPr>
      <w:r>
        <w:rPr>
          <w:rFonts w:ascii="Times New Roman" w:hAnsi="Times New Roman" w:eastAsia="Calibri" w:cs="Times New Roman"/>
        </w:rPr>
        <w:t xml:space="preserve">A cada aula, os alunos são incentivados a encontrar, através de ferramentas de pesquisa online e de visitas às bibliotecas físicas da Instituição, livros, artigos, documentos e materiais diversos que possam enriquecer seu processo de construção de conhecimento e fomentar o espírito científico. Um recurso bastante utilizado, como parte das atividades avaliativas, é o seminário de pesquisa, em que grupos de alunos são orientados a realizar pesquisas sobre determinadas temáticas e problemas com posterior apresentação pública em classe.  </w:t>
      </w:r>
    </w:p>
    <w:p>
      <w:pPr>
        <w:spacing w:line="360" w:lineRule="auto"/>
        <w:ind w:left="0" w:leftChars="0" w:firstLine="720" w:firstLineChars="0"/>
        <w:jc w:val="both"/>
        <w:rPr>
          <w:rFonts w:ascii="Times New Roman" w:hAnsi="Times New Roman" w:cs="Times New Roman"/>
        </w:rPr>
      </w:pPr>
      <w:r>
        <w:rPr>
          <w:rFonts w:ascii="Times New Roman" w:hAnsi="Times New Roman" w:eastAsia="Calibri" w:cs="Times New Roman"/>
        </w:rPr>
        <w:t xml:space="preserve">As pesquisas desenvolvidas neste âmbito podem resultar na produção de diversos tipos de materiais: textos, apresentações de PowerPoint, vídeos, arquivos de áudio, materiais didáticos para o ensino básico, simulações de aulas e até mesmo performances artísticas nos mais diversos formatos. Os seminários são igualmente oportunidades para o aprimoramento das competências relacionadas à exposição oral, tão importante na formação de professores de história e demais profissionais da área. </w:t>
      </w:r>
    </w:p>
    <w:p>
      <w:pPr>
        <w:spacing w:line="360" w:lineRule="auto"/>
        <w:ind w:left="0" w:leftChars="0" w:firstLine="720" w:firstLineChars="0"/>
        <w:jc w:val="both"/>
        <w:rPr>
          <w:rFonts w:ascii="Times New Roman" w:hAnsi="Times New Roman" w:cs="Times New Roman"/>
        </w:rPr>
      </w:pPr>
      <w:r>
        <w:rPr>
          <w:rFonts w:ascii="Times New Roman" w:hAnsi="Times New Roman" w:eastAsia="Calibri" w:cs="Times New Roman"/>
        </w:rPr>
        <w:t xml:space="preserve">Além disso, são oportunidades para o diálogo crítico sobre as temáticas e questões da área estudada. Os seminários podem ser pensados como uma versão da metodologia da “aula invertida”: aqui, o professor age como um orientador do processo de ensino e aprendizagem, um mediador e incentivador de uma caminhada de conhecimento centrada na experiência do estudante. </w:t>
      </w:r>
    </w:p>
    <w:p>
      <w:pPr>
        <w:spacing w:line="360" w:lineRule="auto"/>
        <w:ind w:left="0" w:leftChars="0" w:firstLine="720" w:firstLineChars="0"/>
        <w:jc w:val="both"/>
        <w:rPr>
          <w:rFonts w:ascii="Times New Roman" w:hAnsi="Times New Roman" w:cs="Times New Roman"/>
        </w:rPr>
      </w:pPr>
      <w:r>
        <w:rPr>
          <w:rFonts w:ascii="Times New Roman" w:hAnsi="Times New Roman" w:eastAsia="Calibri" w:cs="Times New Roman"/>
        </w:rPr>
        <w:t>Ressaltamos ainda que não consideramos pesquisa histórica em oposição a ensino de História: entendemos o professor da escola básica como um pesquisador, criador de conteúdo e intelectual da área. Portanto, há muitas conexões entre a formação do bacharel e do licenciado em História. Por um lado, o bacharel precisa preparar palestras ou comunicações, além de trabalhar com o público em diferentes instituições, bem como se envolver com atividades de educação patrimonial. Por outro, consideramos a própria aula como fruto de um processo autoral de pesquisa e produção de conhecimento histórico, e não como momento de transposição de conhecimentos produzidos no âmbito da pesquisa científica desenvolvida na universidade.</w:t>
      </w:r>
    </w:p>
    <w:p>
      <w:pPr>
        <w:spacing w:line="360" w:lineRule="auto"/>
        <w:ind w:left="0" w:leftChars="0" w:firstLine="0" w:firstLineChars="0"/>
        <w:jc w:val="both"/>
        <w:rPr>
          <w:rFonts w:ascii="Times New Roman" w:hAnsi="Times New Roman" w:eastAsia="Calibri" w:cs="Times New Roman"/>
        </w:rPr>
      </w:pPr>
    </w:p>
    <w:p>
      <w:pPr>
        <w:spacing w:line="360" w:lineRule="auto"/>
        <w:ind w:left="0" w:hanging="2"/>
        <w:jc w:val="both"/>
        <w:rPr>
          <w:rFonts w:ascii="Times New Roman" w:hAnsi="Times New Roman" w:cs="Times New Roman"/>
        </w:rPr>
      </w:pPr>
      <w:r>
        <w:rPr>
          <w:rFonts w:ascii="Times New Roman" w:hAnsi="Times New Roman" w:eastAsia="Calibri" w:cs="Times New Roman"/>
          <w:i/>
        </w:rPr>
        <w:t>3. Tecnologias de informação e comunicação nas aulas e na educação a distância</w:t>
      </w:r>
    </w:p>
    <w:p>
      <w:pPr>
        <w:spacing w:line="360" w:lineRule="auto"/>
        <w:ind w:left="0" w:hanging="2"/>
        <w:jc w:val="both"/>
        <w:rPr>
          <w:rFonts w:ascii="Times New Roman" w:hAnsi="Times New Roman" w:eastAsia="Calibri" w:cs="Times New Roman"/>
        </w:rPr>
      </w:pPr>
    </w:p>
    <w:p>
      <w:pPr>
        <w:spacing w:line="360" w:lineRule="auto"/>
        <w:ind w:left="0" w:leftChars="0" w:firstLine="720" w:firstLineChars="0"/>
        <w:jc w:val="both"/>
        <w:rPr>
          <w:rFonts w:ascii="Times New Roman" w:hAnsi="Times New Roman" w:eastAsia="Calibri" w:cs="Times New Roman"/>
        </w:rPr>
      </w:pPr>
      <w:r>
        <w:rPr>
          <w:rFonts w:ascii="Times New Roman" w:hAnsi="Times New Roman" w:eastAsia="Calibri" w:cs="Times New Roman"/>
        </w:rPr>
        <w:t xml:space="preserve">Embora nosso curso seja presencial, nossas metodologias de ensino e aprendizagem incluem o uso de novas tecnologias de informação e comunicação virtuais. Tais meios são, hoje em dia, parte da vida, especialmente entre os jovens, e não poderia ser diferente em nosso curso. Através de blogs, páginas em redes sociais, sites e do uso de plataformas de ensino a distância, como Moodle e Google Classroom, dentre outros, ganha-se em dinamismo. Vale mencionar ainda que as disciplinas ofertadas a cada semestre contam com uma sala do Moodle criada pelo setor de informática da UFOP. </w:t>
      </w:r>
    </w:p>
    <w:p>
      <w:pPr>
        <w:spacing w:line="360" w:lineRule="auto"/>
        <w:ind w:left="0" w:leftChars="0" w:firstLine="720" w:firstLineChars="0"/>
        <w:jc w:val="both"/>
        <w:rPr>
          <w:rFonts w:ascii="Times New Roman" w:hAnsi="Times New Roman" w:cs="Times New Roman"/>
        </w:rPr>
      </w:pPr>
      <w:r>
        <w:rPr>
          <w:rFonts w:ascii="Times New Roman" w:hAnsi="Times New Roman" w:eastAsia="Calibri" w:cs="Times New Roman"/>
        </w:rPr>
        <w:t xml:space="preserve">Os processos de troca de informações diversas a respeito do andamento do curso é facilitado, tanto no que se refere à comunicação entre professores e alunos quanto entre os próprios alunos. Vídeos, filmes, artigos, podcasts e imagens são disponibilizados para debate, incentivando a curiosidade de pesquisa, a crítica e o interesse pela disciplina em geral. Os processos de orientação para a realização das tarefas de pesquisa e para a preparação para as avaliações e exames é substantivamente agilizado. </w:t>
      </w:r>
    </w:p>
    <w:p>
      <w:pPr>
        <w:spacing w:line="360" w:lineRule="auto"/>
        <w:ind w:left="0" w:leftChars="0" w:firstLine="720" w:firstLineChars="0"/>
        <w:jc w:val="both"/>
        <w:rPr>
          <w:rFonts w:ascii="Times New Roman" w:hAnsi="Times New Roman" w:cs="Times New Roman"/>
        </w:rPr>
      </w:pPr>
      <w:r>
        <w:rPr>
          <w:rFonts w:ascii="Times New Roman" w:hAnsi="Times New Roman" w:eastAsia="Calibri" w:cs="Times New Roman"/>
        </w:rPr>
        <w:t xml:space="preserve">As plataformas online são também espaços para a necessária democratização do saber produzido em sala de aula, tanto entre os estudantes da própria disciplina quanto da comunidade universitária em geral, e talvez até da comunidade externa. Nessas plataformas, são publicizados os produtos das atividades realizadas, como os seminários de pesquisa, que podem ser comentados, tanto pelos professores quanto pelos demais estudantes. </w:t>
      </w:r>
    </w:p>
    <w:p>
      <w:pPr>
        <w:spacing w:line="360" w:lineRule="auto"/>
        <w:ind w:left="0" w:hanging="2"/>
        <w:jc w:val="both"/>
        <w:rPr>
          <w:rFonts w:ascii="Times New Roman" w:hAnsi="Times New Roman" w:eastAsia="Calibri" w:cs="Times New Roman"/>
        </w:rPr>
      </w:pPr>
    </w:p>
    <w:p>
      <w:pPr>
        <w:spacing w:line="360" w:lineRule="auto"/>
        <w:ind w:left="0" w:hanging="2"/>
        <w:jc w:val="both"/>
        <w:rPr>
          <w:rFonts w:ascii="Times New Roman" w:hAnsi="Times New Roman" w:cs="Times New Roman"/>
        </w:rPr>
      </w:pPr>
      <w:r>
        <w:rPr>
          <w:rFonts w:ascii="Times New Roman" w:hAnsi="Times New Roman" w:eastAsia="Calibri" w:cs="Times New Roman"/>
          <w:i/>
        </w:rPr>
        <w:t>4. Metodologias de ensino e aprendizagem para a inclusão</w:t>
      </w:r>
    </w:p>
    <w:p>
      <w:pPr>
        <w:spacing w:line="360" w:lineRule="auto"/>
        <w:ind w:left="0" w:hanging="2"/>
        <w:jc w:val="both"/>
        <w:rPr>
          <w:rFonts w:ascii="Times New Roman" w:hAnsi="Times New Roman" w:cs="Times New Roman"/>
        </w:rPr>
      </w:pPr>
      <w:r>
        <w:rPr>
          <w:rFonts w:ascii="Times New Roman" w:hAnsi="Times New Roman" w:eastAsia="Calibri" w:cs="Times New Roman"/>
        </w:rPr>
        <w:t xml:space="preserve"> </w:t>
      </w:r>
    </w:p>
    <w:p>
      <w:pPr>
        <w:spacing w:line="360" w:lineRule="auto"/>
        <w:ind w:left="0" w:leftChars="0" w:firstLine="720" w:firstLineChars="0"/>
        <w:jc w:val="both"/>
        <w:rPr>
          <w:rFonts w:ascii="Times New Roman" w:hAnsi="Times New Roman" w:cs="Times New Roman"/>
        </w:rPr>
      </w:pPr>
      <w:r>
        <w:rPr>
          <w:rFonts w:ascii="Times New Roman" w:hAnsi="Times New Roman" w:eastAsia="Calibri" w:cs="Times New Roman"/>
        </w:rPr>
        <w:t>Uma preocupação central de nosso curso é a inclusão, em diferentes esferas. Com a democratização do acesso ao ensino superior, o curso de Licenciatura em História tem recebido alunos de diversas origens sociais, econômicas e culturais. Deste modo, torna-se necessário promover ações metodológicas para que o ensino e a aprendizagem se deem de forma democrática, plural e inclusiva. A História do saber universitário e científico revela sua tendência ao elitismo, ao etnocentrismo</w:t>
      </w:r>
      <w:r>
        <w:rPr>
          <w:rFonts w:ascii="Times New Roman" w:hAnsi="Times New Roman" w:eastAsia="Calibri" w:cs="Times New Roman"/>
          <w:vertAlign w:val="superscript"/>
        </w:rPr>
        <w:footnoteReference w:id="32"/>
      </w:r>
      <w:r>
        <w:rPr>
          <w:rFonts w:ascii="Times New Roman" w:hAnsi="Times New Roman" w:eastAsia="Calibri" w:cs="Times New Roman"/>
        </w:rPr>
        <w:t xml:space="preserve"> e às formas de comunicação e ensino que tendem à exclusão de grande parte da população. Nesse mesmo movimento, identificamos o rebaixamento dos conhecimentos e sensibilidades populares. Nossas aulas e atividades didáticas, em geral, são planejadas, tendo em vista a superação crítica desta tendência, de modo a neutralizar os processos silenciosos de exclusão</w:t>
      </w:r>
      <w:r>
        <w:rPr>
          <w:rFonts w:ascii="Times New Roman" w:hAnsi="Times New Roman" w:eastAsia="Calibri" w:cs="Times New Roman"/>
          <w:vertAlign w:val="superscript"/>
        </w:rPr>
        <w:footnoteReference w:id="33"/>
      </w:r>
      <w:r>
        <w:rPr>
          <w:rFonts w:ascii="Times New Roman" w:hAnsi="Times New Roman" w:eastAsia="Calibri" w:cs="Times New Roman"/>
        </w:rPr>
        <w:t xml:space="preserve">. No sentido de não deixar “ninguém de fora”, nossos professores realizam dinâmicas que favorecem, a todos, a participação nas aulas, como debates e dinâmicas de pesquisa em grupos.  </w:t>
      </w:r>
    </w:p>
    <w:p>
      <w:pPr>
        <w:spacing w:line="360" w:lineRule="auto"/>
        <w:ind w:left="0" w:leftChars="0" w:firstLine="720" w:firstLineChars="0"/>
        <w:jc w:val="both"/>
        <w:rPr>
          <w:rFonts w:ascii="Times New Roman" w:hAnsi="Times New Roman" w:cs="Times New Roman"/>
        </w:rPr>
      </w:pPr>
      <w:r>
        <w:rPr>
          <w:rFonts w:ascii="Times New Roman" w:hAnsi="Times New Roman" w:eastAsia="Calibri" w:cs="Times New Roman"/>
        </w:rPr>
        <w:t xml:space="preserve">Ao mesmo tempo, as experiências e saberes populares trazidos pelos estudantes são tomados não como elemento a ser ultrapassado em direção ao “verdadeiro conhecimento científico”, mas como vetores para um processo de tradução construtiva entre saberes diversos. Os estudantes são, assim, convidados a expor suas opiniões, conhecimentos e experiências prévias sobre os temas e problemas a serem estudados, o que serve como base para a formulação de questões relevantes que nortearão o processo de ensino e aprendizado. Somente assim o conhecimento histórico acadêmico-científico pode fazer sentido para os estudantes e ser, deste modo, discutido, problematizado e constituído de forma mais sólida. </w:t>
      </w:r>
    </w:p>
    <w:p>
      <w:pPr>
        <w:spacing w:line="360" w:lineRule="auto"/>
        <w:ind w:left="0" w:leftChars="0" w:firstLine="720" w:firstLineChars="0"/>
        <w:jc w:val="both"/>
        <w:rPr>
          <w:rFonts w:ascii="Times New Roman" w:hAnsi="Times New Roman" w:cs="Times New Roman"/>
        </w:rPr>
      </w:pPr>
      <w:r>
        <w:rPr>
          <w:rFonts w:ascii="Times New Roman" w:hAnsi="Times New Roman" w:eastAsia="Calibri" w:cs="Times New Roman"/>
        </w:rPr>
        <w:t>Em outras palavras, buscamos diversificar os materiais que formam a base para a montagem das disciplinas e aulas (livros, artigos, filmes, series de TV, documentos históricos etc.) em termos de sua origem étnica, geográfica e de gênero.  Almejamos evitar a tendência etnocêntrica e especialmente eurocêntrica que a formação universitária traz por tradição, possibilitando o acesso dos estudantes a bens culturais produzidos por diversos atores, espaços e formas epistemológicas</w:t>
      </w:r>
      <w:r>
        <w:rPr>
          <w:rFonts w:ascii="Times New Roman" w:hAnsi="Times New Roman" w:eastAsia="Calibri" w:cs="Times New Roman"/>
          <w:vertAlign w:val="superscript"/>
        </w:rPr>
        <w:footnoteReference w:id="34"/>
      </w:r>
      <w:r>
        <w:rPr>
          <w:rFonts w:ascii="Times New Roman" w:hAnsi="Times New Roman" w:eastAsia="Calibri" w:cs="Times New Roman"/>
        </w:rPr>
        <w:t>. Tal metodologia é especialmente importante na universidade brasileira, marcada pela presença cada vez mais expressiva de estudantes afrodescendentes</w:t>
      </w:r>
      <w:r>
        <w:rPr>
          <w:rFonts w:ascii="Times New Roman" w:hAnsi="Times New Roman" w:eastAsia="Calibri" w:cs="Times New Roman"/>
          <w:vertAlign w:val="superscript"/>
        </w:rPr>
        <w:footnoteReference w:id="35"/>
      </w:r>
      <w:r>
        <w:rPr>
          <w:rFonts w:ascii="Times New Roman" w:hAnsi="Times New Roman" w:eastAsia="Calibri" w:cs="Times New Roman"/>
        </w:rPr>
        <w:t xml:space="preserve"> e indígenas</w:t>
      </w:r>
      <w:r>
        <w:rPr>
          <w:rFonts w:ascii="Times New Roman" w:hAnsi="Times New Roman" w:eastAsia="Calibri" w:cs="Times New Roman"/>
          <w:vertAlign w:val="superscript"/>
        </w:rPr>
        <w:footnoteReference w:id="36"/>
      </w:r>
      <w:r>
        <w:rPr>
          <w:rFonts w:ascii="Times New Roman" w:hAnsi="Times New Roman" w:eastAsia="Calibri" w:cs="Times New Roman"/>
        </w:rPr>
        <w:t xml:space="preserve"> e pela pluralidade de gênero</w:t>
      </w:r>
      <w:r>
        <w:rPr>
          <w:rFonts w:ascii="Times New Roman" w:hAnsi="Times New Roman" w:eastAsia="Calibri" w:cs="Times New Roman"/>
          <w:vertAlign w:val="superscript"/>
        </w:rPr>
        <w:footnoteReference w:id="37"/>
      </w:r>
      <w:r>
        <w:rPr>
          <w:rFonts w:ascii="Times New Roman" w:hAnsi="Times New Roman" w:eastAsia="Calibri" w:cs="Times New Roman"/>
        </w:rPr>
        <w:t xml:space="preserve">.  </w:t>
      </w:r>
    </w:p>
    <w:p>
      <w:pPr>
        <w:spacing w:line="360" w:lineRule="auto"/>
        <w:ind w:left="0" w:leftChars="0" w:firstLine="720" w:firstLineChars="0"/>
        <w:jc w:val="both"/>
        <w:rPr>
          <w:rFonts w:ascii="Times New Roman" w:hAnsi="Times New Roman" w:cs="Times New Roman"/>
        </w:rPr>
      </w:pPr>
      <w:r>
        <w:rPr>
          <w:rFonts w:ascii="Times New Roman" w:hAnsi="Times New Roman" w:eastAsia="Calibri" w:cs="Times New Roman"/>
        </w:rPr>
        <w:t>Sobre este ponto, vale ainda destacar que não se trata de um abandono de referências da cultura europeia (indispensáveis para o ensino universitário e para o espírito científico), mas de uma postura metodológica democratizante, de abertura para a diferença e o diálogo intercultural</w:t>
      </w:r>
      <w:r>
        <w:rPr>
          <w:rFonts w:ascii="Times New Roman" w:hAnsi="Times New Roman" w:eastAsia="Calibri" w:cs="Times New Roman"/>
          <w:vertAlign w:val="superscript"/>
        </w:rPr>
        <w:footnoteReference w:id="38"/>
      </w:r>
      <w:r>
        <w:rPr>
          <w:rFonts w:ascii="Times New Roman" w:hAnsi="Times New Roman" w:eastAsia="Calibri" w:cs="Times New Roman"/>
        </w:rPr>
        <w:t>. Tal postura se mostra fundamental para o processo de ensino e aprendizagem, uma vez que fomenta a identificação, o interesse e o envolvimento afetivo dos estudantes de diversas origens e experiências de vida com os conteúdos e problemas estudados.</w:t>
      </w:r>
    </w:p>
    <w:p>
      <w:pPr>
        <w:spacing w:line="360" w:lineRule="auto"/>
        <w:ind w:left="0" w:hanging="2"/>
        <w:jc w:val="both"/>
        <w:rPr>
          <w:rFonts w:ascii="Times New Roman" w:hAnsi="Times New Roman" w:eastAsia="Calibri" w:cs="Times New Roman"/>
        </w:rPr>
      </w:pPr>
    </w:p>
    <w:p>
      <w:pPr>
        <w:spacing w:line="360" w:lineRule="auto"/>
        <w:ind w:left="0" w:hanging="2"/>
        <w:jc w:val="both"/>
        <w:rPr>
          <w:rFonts w:ascii="Times New Roman" w:hAnsi="Times New Roman" w:cs="Times New Roman"/>
        </w:rPr>
      </w:pPr>
      <w:r>
        <w:rPr>
          <w:rFonts w:ascii="Times New Roman" w:hAnsi="Times New Roman" w:eastAsia="Calibri" w:cs="Times New Roman"/>
          <w:i/>
        </w:rPr>
        <w:t xml:space="preserve">5.  Procedimentos continuados de verificação de aprendizagem em consonância com os princípios da diversidade e da inclusão </w:t>
      </w:r>
    </w:p>
    <w:p>
      <w:pPr>
        <w:spacing w:line="360" w:lineRule="auto"/>
        <w:ind w:left="0" w:leftChars="0" w:firstLine="720" w:firstLineChars="0"/>
        <w:jc w:val="both"/>
        <w:rPr>
          <w:rFonts w:ascii="Times New Roman" w:hAnsi="Times New Roman" w:eastAsia="Calibri" w:cs="Times New Roman"/>
        </w:rPr>
      </w:pPr>
      <w:r>
        <w:rPr>
          <w:rFonts w:ascii="Times New Roman" w:hAnsi="Times New Roman" w:eastAsia="Calibri" w:cs="Times New Roman"/>
        </w:rPr>
        <w:t xml:space="preserve">Primeiramente, vale destacar que a avaliação do rendimento escolar segue as determinações do Regimento da UFOP, especialmente na sua sessão III. Afora essas diretrizes gerais, o colegiando de licenciatura considera como diretrizes as orientações fixadas para o curso - conforme já exposto – quais sejam: flexibilidade, interdisciplinaridade, autonomia e indissociabilidade entre ensino e pesquisa histórica). Pensado a partir da colaboração entre docentes e discentes, o processo de verificação de aprendizagem, em suas diversas modalidades, deve se pautar pelo princípio da pluralidade, onde aspectos qualitativos, empáticos e atentos à auteridade, sejam centrais. Desse modo, as diversidades de formação, inerentes à pluralidade de experiências, levam a aferir a aprendizagem a partir de procedimentos continuados e diagnósticos. Dessa forma, os futuros professores, em sua formação, são levados a vivenciar modalidades avaliativas inclusivas, atentas aos diferentes ritmos de aprendizagem e que não contenham em si princípios de seleção e exclusão, </w:t>
      </w:r>
    </w:p>
    <w:p>
      <w:pPr>
        <w:spacing w:line="360" w:lineRule="auto"/>
        <w:ind w:left="0" w:leftChars="0" w:firstLine="720" w:firstLineChars="0"/>
        <w:jc w:val="both"/>
        <w:rPr>
          <w:rFonts w:ascii="Times New Roman" w:hAnsi="Times New Roman" w:cs="Times New Roman"/>
        </w:rPr>
      </w:pPr>
      <w:r>
        <w:rPr>
          <w:rFonts w:ascii="Times New Roman" w:hAnsi="Times New Roman" w:eastAsia="Calibri" w:cs="Times New Roman"/>
        </w:rPr>
        <w:t>Além disso, o processo de formação de professores de História se realiza através de metodologias de ensino e aprendizagem que procuram incentivar a reflexão e a prática da pesquisa, com o objetivo de divulgação, publicação e participação em atividades que lidam diretamente com o público. Estas, concebidas como produtos de verificação de aprendizagem, visam a ser lugar de experimentação e de construção crítica e colaborativa do saber. Concretamente, são realizadas atividades de produção, pelos alunos, de material de divulgação de cultura histórica, por meio de periódicos, blogs e outros meios digitais, bem como da elaboração de projetos de pesquisa e extensão. Todo o conteúdo e os problemas tratados nas disciplinas, mesmo naquelas consideradas “temáticas”, isto é, centradas em determinadas regiões e períodos históricos, ou teóricas, são sempre pensados em conexão com a problemática da pesquisa e da divulgação em História.</w:t>
      </w:r>
    </w:p>
    <w:p>
      <w:pPr>
        <w:spacing w:line="360" w:lineRule="auto"/>
        <w:ind w:left="0" w:leftChars="0" w:firstLine="720" w:firstLineChars="0"/>
        <w:jc w:val="both"/>
        <w:rPr>
          <w:rFonts w:ascii="Times New Roman" w:hAnsi="Times New Roman" w:cs="Times New Roman"/>
        </w:rPr>
      </w:pPr>
      <w:r>
        <w:rPr>
          <w:rFonts w:ascii="Times New Roman" w:hAnsi="Times New Roman" w:eastAsia="Calibri" w:cs="Times New Roman"/>
        </w:rPr>
        <w:t>A verificação de aprendizagem, na condição de eixo das modalidades de avaliação, é pensada a partir do trabalho colaborativo entre docente e discente que tenha como intento o respeito à diversidade, a atenção à pluralidade inerente às atividades de ensino, a produção de matéria direcionada para a democratização do conhecimento histórico e a promoção do caráter processual e continuado do processo de ensino e aprendizagem. Pensar em procedimentos avaliativos continuados deve valorizar o processo, o caminho trilhado pelo discente e os diferentes ritmos que fazem parte dele, do discutir, do pensar e do constituir uma posição ou construir uma compreensão acerca da História. Nesse sentido, espera-se, em concordância com os princípios aqui apresentados, formar docentes comprometidos com uma Educação inclusiva, que não se constranja por parâmetros de sucesso e fracasso, mas estejam comprometidos com princípios éticos contidos na atenção às diversidades e à democracia.</w:t>
      </w: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hanging="2"/>
        <w:jc w:val="both"/>
        <w:rPr>
          <w:rFonts w:ascii="Times New Roman" w:hAnsi="Times New Roman" w:eastAsia="Times New Roman" w:cs="Times New Roman"/>
          <w:color w:val="000000"/>
        </w:rPr>
      </w:pPr>
      <w:r>
        <w:rPr>
          <w:rFonts w:ascii="Times New Roman" w:hAnsi="Times New Roman" w:eastAsia="Calibri" w:cs="Times New Roman"/>
          <w:color w:val="000000"/>
        </w:rPr>
        <w:tab/>
      </w:r>
      <w:r>
        <w:rPr>
          <w:rFonts w:ascii="Times New Roman" w:hAnsi="Times New Roman" w:eastAsia="Calibri" w:cs="Times New Roman"/>
          <w:color w:val="000000"/>
        </w:rPr>
        <w:tab/>
      </w:r>
      <w:r>
        <w:rPr>
          <w:rFonts w:ascii="Times New Roman" w:hAnsi="Times New Roman" w:eastAsia="Calibri" w:cs="Times New Roman"/>
          <w:color w:val="000000"/>
        </w:rPr>
        <w:t xml:space="preserve">Em suma, tendo em vista os cinco parâmetros anteriores, seguindo os recentes desenvolvimentos da disciplina de História, o currículo foi pensado e estruturado tendo como centro cinco princípios: </w:t>
      </w: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hanging="2"/>
        <w:jc w:val="both"/>
        <w:rPr>
          <w:rFonts w:ascii="Times New Roman" w:hAnsi="Times New Roman" w:eastAsia="Times New Roman" w:cs="Times New Roman"/>
          <w:color w:val="000000"/>
        </w:rPr>
      </w:pPr>
      <w:r>
        <w:rPr>
          <w:rFonts w:ascii="Times New Roman" w:hAnsi="Times New Roman" w:eastAsia="Calibri" w:cs="Times New Roman"/>
          <w:color w:val="000000"/>
        </w:rPr>
        <w:t xml:space="preserve">1) </w:t>
      </w:r>
      <w:r>
        <w:rPr>
          <w:rFonts w:ascii="Times New Roman" w:hAnsi="Times New Roman" w:eastAsia="Calibri" w:cs="Times New Roman"/>
          <w:i/>
          <w:color w:val="000000"/>
        </w:rPr>
        <w:t>Flexibilidade -</w:t>
      </w:r>
      <w:r>
        <w:rPr>
          <w:rFonts w:ascii="Times New Roman" w:hAnsi="Times New Roman" w:eastAsia="Calibri" w:cs="Times New Roman"/>
          <w:color w:val="000000"/>
        </w:rPr>
        <w:t xml:space="preserve"> enquanto o currículo anterior era constituído por um grande número de disciplinas de caráter obrigatório a serem cumpridas em sequência, a atual aposta na maior liberdade de escolha do alunado. Partindo da etimologia da palavra “currículo” – “curso”, “lugar onde se corre”, acreditamos que o graduando deve e pode ampliar as possibilidades de formação, tendo em vista um percurso formativo num campo tão vasto e plural como o da história. Assim, o número de disciplinas obrigatórias foi reduzido a um núcleo básico, concentrado nos primeiros dois anos de formação. Seguindo-se a esse ciclo básico, outro núcleo, composto de disciplinas eletivas, completa a segunda metade do curso. Tais disciplinas eletivas envolvem uma maior quantidade de leituras e dinâmicas de pesquisa em História, como montagem de seminários, projetos, etc.</w:t>
      </w: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hanging="2"/>
        <w:jc w:val="both"/>
        <w:rPr>
          <w:rFonts w:ascii="Times New Roman" w:hAnsi="Times New Roman" w:eastAsia="Times New Roman" w:cs="Times New Roman"/>
          <w:color w:val="000000"/>
        </w:rPr>
      </w:pPr>
      <w:r>
        <w:rPr>
          <w:rFonts w:ascii="Times New Roman" w:hAnsi="Times New Roman" w:eastAsia="Calibri" w:cs="Times New Roman"/>
          <w:color w:val="000000"/>
        </w:rPr>
        <w:t xml:space="preserve">2) </w:t>
      </w:r>
      <w:r>
        <w:rPr>
          <w:rFonts w:ascii="Times New Roman" w:hAnsi="Times New Roman" w:eastAsia="Calibri" w:cs="Times New Roman"/>
          <w:i/>
          <w:color w:val="000000"/>
        </w:rPr>
        <w:t>Interdisciplinaridade</w:t>
      </w:r>
      <w:r>
        <w:rPr>
          <w:rFonts w:ascii="Times New Roman" w:hAnsi="Times New Roman" w:eastAsia="Calibri" w:cs="Times New Roman"/>
          <w:color w:val="000000"/>
        </w:rPr>
        <w:t xml:space="preserve"> - a possibilidade de cursar disciplinas eletivas em outros departamentos da UFOP é um elemento a enriquecer as possibilidades de diálogo entre as áreas afins. Já no núcleo de obrigatórias, a interdisciplinaridade fica evidenciada com as disciplinas de Filosofia e Ciências Sociais.</w:t>
      </w: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hanging="2"/>
        <w:jc w:val="both"/>
        <w:rPr>
          <w:rFonts w:ascii="Times New Roman" w:hAnsi="Times New Roman" w:eastAsia="Times New Roman" w:cs="Times New Roman"/>
          <w:color w:val="000000"/>
        </w:rPr>
      </w:pPr>
      <w:r>
        <w:rPr>
          <w:rFonts w:ascii="Times New Roman" w:hAnsi="Times New Roman" w:eastAsia="Calibri" w:cs="Times New Roman"/>
          <w:color w:val="000000"/>
        </w:rPr>
        <w:t xml:space="preserve">3) </w:t>
      </w:r>
      <w:r>
        <w:rPr>
          <w:rFonts w:ascii="Times New Roman" w:hAnsi="Times New Roman" w:eastAsia="Calibri" w:cs="Times New Roman"/>
          <w:i/>
          <w:color w:val="000000"/>
        </w:rPr>
        <w:t>Autonomia</w:t>
      </w:r>
      <w:r>
        <w:rPr>
          <w:rFonts w:ascii="Times New Roman" w:hAnsi="Times New Roman" w:eastAsia="Calibri" w:cs="Times New Roman"/>
          <w:color w:val="000000"/>
        </w:rPr>
        <w:t xml:space="preserve"> - apresentadas as possibilidades de realização curricular, os estudantes escolhem sua trajetória de formação porque entendemos que esse é um movimento fundamental na constituição da autoria — elemento que caracteriza o historiador como produtor de conhecimento.</w:t>
      </w: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hanging="2"/>
        <w:jc w:val="both"/>
        <w:rPr>
          <w:rFonts w:ascii="Times New Roman" w:hAnsi="Times New Roman" w:eastAsia="Times New Roman" w:cs="Times New Roman"/>
          <w:color w:val="000000"/>
        </w:rPr>
      </w:pPr>
      <w:r>
        <w:rPr>
          <w:rFonts w:ascii="Times New Roman" w:hAnsi="Times New Roman" w:eastAsia="Calibri" w:cs="Times New Roman"/>
          <w:color w:val="000000"/>
        </w:rPr>
        <w:t xml:space="preserve">4) </w:t>
      </w:r>
      <w:r>
        <w:rPr>
          <w:rFonts w:ascii="Times New Roman" w:hAnsi="Times New Roman" w:eastAsia="Calibri" w:cs="Times New Roman"/>
          <w:i/>
          <w:color w:val="000000"/>
        </w:rPr>
        <w:t>Integração</w:t>
      </w:r>
      <w:r>
        <w:rPr>
          <w:rFonts w:ascii="Times New Roman" w:hAnsi="Times New Roman" w:eastAsia="Calibri" w:cs="Times New Roman"/>
          <w:color w:val="000000"/>
        </w:rPr>
        <w:t xml:space="preserve"> </w:t>
      </w:r>
      <w:r>
        <w:rPr>
          <w:rFonts w:ascii="Times New Roman" w:hAnsi="Times New Roman" w:eastAsia="Calibri" w:cs="Times New Roman"/>
          <w:i/>
          <w:color w:val="000000"/>
        </w:rPr>
        <w:t>indissociável</w:t>
      </w:r>
      <w:r>
        <w:rPr>
          <w:rFonts w:ascii="Times New Roman" w:hAnsi="Times New Roman" w:eastAsia="Calibri" w:cs="Times New Roman"/>
          <w:color w:val="000000"/>
        </w:rPr>
        <w:t xml:space="preserve"> </w:t>
      </w:r>
      <w:r>
        <w:rPr>
          <w:rFonts w:ascii="Times New Roman" w:hAnsi="Times New Roman" w:eastAsia="Calibri" w:cs="Times New Roman"/>
          <w:i/>
          <w:color w:val="000000"/>
        </w:rPr>
        <w:t>entre ensino e pesquisa histórica - é</w:t>
      </w:r>
      <w:r>
        <w:rPr>
          <w:rFonts w:ascii="Times New Roman" w:hAnsi="Times New Roman" w:eastAsia="Calibri" w:cs="Times New Roman"/>
          <w:color w:val="000000"/>
        </w:rPr>
        <w:t xml:space="preserve"> o que confere às disciplinas não um caráter de transmissoras de conteúdo, mas de local de produção de saber historiográfico e revisão crítica da bibliografia e das práticas historiográficas do passado e do presente.</w:t>
      </w: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hanging="2"/>
        <w:jc w:val="both"/>
        <w:rPr>
          <w:rFonts w:ascii="Times New Roman" w:hAnsi="Times New Roman" w:eastAsia="Times New Roman" w:cs="Times New Roman"/>
          <w:color w:val="000000"/>
        </w:rPr>
      </w:pPr>
      <w:r>
        <w:rPr>
          <w:rFonts w:ascii="Times New Roman" w:hAnsi="Times New Roman" w:eastAsia="Calibri" w:cs="Times New Roman"/>
          <w:color w:val="000000"/>
        </w:rPr>
        <w:t xml:space="preserve">5) </w:t>
      </w:r>
      <w:r>
        <w:rPr>
          <w:rFonts w:ascii="Times New Roman" w:hAnsi="Times New Roman" w:eastAsia="Calibri" w:cs="Times New Roman"/>
          <w:i/>
          <w:color w:val="000000"/>
        </w:rPr>
        <w:t>Inclusão e atenção à diversidade -</w:t>
      </w:r>
      <w:r>
        <w:rPr>
          <w:rFonts w:ascii="Times New Roman" w:hAnsi="Times New Roman" w:eastAsia="Calibri" w:cs="Times New Roman"/>
          <w:color w:val="000000"/>
        </w:rPr>
        <w:t xml:space="preserve"> o respeito à pluralidade de formação e de trajetórias de vida deve ser uma constante na formação dos licenciandos e na constituição de suas práticas docentes posteriores.</w:t>
      </w: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hanging="2"/>
        <w:jc w:val="both"/>
        <w:rPr>
          <w:rFonts w:ascii="Times New Roman" w:hAnsi="Times New Roman" w:eastAsia="Times New Roman" w:cs="Times New Roman"/>
          <w:color w:val="000000"/>
        </w:rPr>
      </w:pPr>
      <w:r>
        <w:rPr>
          <w:rFonts w:ascii="Times New Roman" w:hAnsi="Times New Roman" w:eastAsia="Calibri" w:cs="Times New Roman"/>
          <w:color w:val="000000"/>
        </w:rPr>
        <w:tab/>
      </w:r>
      <w:r>
        <w:rPr>
          <w:rFonts w:ascii="Times New Roman" w:hAnsi="Times New Roman" w:eastAsia="Calibri" w:cs="Times New Roman"/>
          <w:color w:val="000000"/>
        </w:rPr>
        <w:tab/>
      </w:r>
      <w:r>
        <w:rPr>
          <w:rFonts w:ascii="Times New Roman" w:hAnsi="Times New Roman" w:eastAsia="Calibri" w:cs="Times New Roman"/>
          <w:color w:val="000000"/>
        </w:rPr>
        <w:t xml:space="preserve">O currículo foi estruturado de forma a integrar tais princípios. A oferta das disciplinas obrigatórias sintetiza essas perspectivas ao mesclar, ao longo dos semestres letivos, as disciplinas dos setores, matizando e flexibilizando a tradicional sequência linear-cronológica e permitindo uma visão comparada e interconectada de processos históricos regionais, nacionais e globais. </w:t>
      </w: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hanging="2"/>
        <w:jc w:val="both"/>
        <w:rPr>
          <w:rFonts w:ascii="Times New Roman" w:hAnsi="Times New Roman" w:eastAsia="Times New Roman" w:cs="Times New Roman"/>
          <w:color w:val="000000"/>
        </w:rPr>
      </w:pPr>
      <w:r>
        <w:rPr>
          <w:rFonts w:ascii="Times New Roman" w:hAnsi="Times New Roman" w:eastAsia="Calibri" w:cs="Times New Roman"/>
          <w:color w:val="000000"/>
        </w:rPr>
        <w:tab/>
      </w:r>
      <w:r>
        <w:rPr>
          <w:rFonts w:ascii="Times New Roman" w:hAnsi="Times New Roman" w:eastAsia="Calibri" w:cs="Times New Roman"/>
          <w:color w:val="000000"/>
        </w:rPr>
        <w:tab/>
      </w:r>
      <w:r>
        <w:rPr>
          <w:rFonts w:ascii="Times New Roman" w:hAnsi="Times New Roman" w:eastAsia="Calibri" w:cs="Times New Roman"/>
          <w:color w:val="000000"/>
        </w:rPr>
        <w:t>As disciplinas eletivas realizam-se como seminários de pesquisa e leituras dirigidas, exigindo dos discentes o engajamento nas discussões bibliográficas e análises documentais para suscitar a investigação de hipóteses de pesquisa e a confecção de textos e outras formas de expressão do conhecimento histórico. Estimulados a elaborar e desenvolver reflexões em torno de eixos temáticos selecionados, os discentes realizam sua formação como pesquisadores e produtores de História de forma autônoma, mas essencialmente colaborativa. Nesse sentido, o viés prático das disciplinas eletivas facilita o desenvolvimento de atividades científico-culturais, combinando ensino e pesquisa. Acreditamos que isso contribui para a formação do professor-pesquisador.</w:t>
      </w: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hanging="2"/>
        <w:jc w:val="both"/>
        <w:rPr>
          <w:rFonts w:ascii="Times New Roman" w:hAnsi="Times New Roman" w:eastAsia="Times New Roman" w:cs="Times New Roman"/>
          <w:color w:val="000000"/>
        </w:rPr>
      </w:pPr>
      <w:r>
        <w:rPr>
          <w:rFonts w:ascii="Times New Roman" w:hAnsi="Times New Roman" w:eastAsia="Calibri" w:cs="Times New Roman"/>
          <w:color w:val="000000"/>
        </w:rPr>
        <w:tab/>
      </w:r>
      <w:r>
        <w:rPr>
          <w:rFonts w:ascii="Times New Roman" w:hAnsi="Times New Roman" w:eastAsia="Calibri" w:cs="Times New Roman"/>
          <w:color w:val="000000"/>
        </w:rPr>
        <w:tab/>
      </w:r>
      <w:r>
        <w:rPr>
          <w:rFonts w:ascii="Times New Roman" w:hAnsi="Times New Roman" w:eastAsia="Calibri" w:cs="Times New Roman"/>
          <w:color w:val="000000"/>
        </w:rPr>
        <w:t xml:space="preserve">As atividades didáticas no curso de Licenciatura em História se desenvolvem de forma plural e criativa, com o objetivo de concretizar seus principais princípios norteadores: a interdisciplinaridade, a articulação teórico-prática, a flexibilidade curricular, a autonomia e a inclusão. Além das tradicionais aulas expositivas, empregamos metodologias inovadoras capazes de promover um processo inclusivo e dialogado de construção do conhecimento, incentivando os discentes, futuros professores, ao desenvolvimento de competências e habilidades relacionadas ao ensino de história, à popularização do conhecimento histórico e à pesquisa histórica. </w:t>
      </w:r>
    </w:p>
    <w:p>
      <w:pPr>
        <w:pBdr>
          <w:top w:val="none" w:color="auto" w:sz="0" w:space="0"/>
          <w:left w:val="none" w:color="auto" w:sz="0" w:space="0"/>
          <w:bottom w:val="none" w:color="auto" w:sz="0" w:space="0"/>
          <w:right w:val="none" w:color="auto" w:sz="0" w:space="0"/>
          <w:between w:val="none" w:color="auto" w:sz="0" w:space="0"/>
        </w:pBdr>
        <w:spacing w:line="360" w:lineRule="auto"/>
        <w:ind w:left="0" w:leftChars="0" w:firstLine="0" w:firstLineChars="0"/>
        <w:jc w:val="both"/>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b/>
          <w:color w:val="000000"/>
        </w:rPr>
        <w:t>Modalidades de Avaliação Institucional</w:t>
      </w:r>
    </w:p>
    <w:p>
      <w:pPr>
        <w:spacing w:line="360" w:lineRule="auto"/>
        <w:ind w:left="0" w:hanging="2"/>
        <w:jc w:val="both"/>
        <w:rPr>
          <w:rFonts w:ascii="Times New Roman" w:hAnsi="Times New Roman" w:cs="Times New Roman"/>
        </w:rPr>
      </w:pPr>
      <w:r>
        <w:rPr>
          <w:rFonts w:ascii="Times New Roman" w:hAnsi="Times New Roman" w:eastAsia="Calibri" w:cs="Times New Roman"/>
        </w:rPr>
        <w:tab/>
      </w:r>
    </w:p>
    <w:p>
      <w:pPr>
        <w:spacing w:line="360" w:lineRule="auto"/>
        <w:ind w:left="0" w:hanging="2"/>
        <w:jc w:val="both"/>
        <w:rPr>
          <w:rFonts w:ascii="Times New Roman" w:hAnsi="Times New Roman" w:cs="Times New Roman"/>
        </w:rPr>
      </w:pPr>
      <w:r>
        <w:rPr>
          <w:rFonts w:ascii="Times New Roman" w:hAnsi="Times New Roman" w:eastAsia="Calibri" w:cs="Times New Roman"/>
        </w:rPr>
        <w:tab/>
      </w:r>
      <w:r>
        <w:rPr>
          <w:rFonts w:ascii="Times New Roman" w:hAnsi="Times New Roman" w:eastAsia="Calibri" w:cs="Times New Roman"/>
        </w:rPr>
        <w:tab/>
      </w:r>
      <w:r>
        <w:rPr>
          <w:rFonts w:ascii="Times New Roman" w:hAnsi="Times New Roman" w:eastAsia="Calibri" w:cs="Times New Roman"/>
        </w:rPr>
        <w:t xml:space="preserve">A avaliação institucional ocorre em atendimento à Lei nº 10.861 de 14 de abril de 2004, que instituiu o Sistema Nacional de Avaliação da Educação Superior (Sinaes). A lei estabelece, em seus artigos 11 e 12, a necessidade de que cada instituição de ensino superior tenha sua Comissão Própria de Avaliação (CPA), formada por representantes dos três segmentos universitários e da sociedade organizada. Conforme determinado em seu artigo 7°, a CPA terá por atribuição a coordenação dos processos internos de avaliação da instituição, a sistematização e a prestação das informações solicitadas pelo Instituto Nacional de Estudos e Pesquisas Educacionais Anísio Teixeira (Inep). </w:t>
      </w:r>
    </w:p>
    <w:p>
      <w:pPr>
        <w:spacing w:line="360" w:lineRule="auto"/>
        <w:ind w:left="0" w:hanging="2"/>
        <w:jc w:val="both"/>
        <w:rPr>
          <w:rFonts w:ascii="Times New Roman" w:hAnsi="Times New Roman" w:cs="Times New Roman"/>
        </w:rPr>
      </w:pPr>
      <w:r>
        <w:rPr>
          <w:rFonts w:ascii="Times New Roman" w:hAnsi="Times New Roman" w:eastAsia="Calibri" w:cs="Times New Roman"/>
        </w:rPr>
        <w:tab/>
      </w:r>
      <w:r>
        <w:rPr>
          <w:rFonts w:ascii="Times New Roman" w:hAnsi="Times New Roman" w:eastAsia="Calibri" w:cs="Times New Roman"/>
        </w:rPr>
        <w:tab/>
      </w:r>
      <w:r>
        <w:rPr>
          <w:rFonts w:ascii="Times New Roman" w:hAnsi="Times New Roman" w:eastAsia="Calibri" w:cs="Times New Roman"/>
        </w:rPr>
        <w:t>A CPA/UFOP atua com autonomia em relação aos conselhos e demais órgãos colegiados existentes na UFOP. Cabe a eles colaborar no sentido de promover a reflexão e a autoconsciência institucional.</w:t>
      </w:r>
    </w:p>
    <w:p>
      <w:pPr>
        <w:spacing w:line="360" w:lineRule="auto"/>
        <w:ind w:left="0" w:hanging="2"/>
        <w:jc w:val="both"/>
        <w:rPr>
          <w:rFonts w:ascii="Times New Roman" w:hAnsi="Times New Roman" w:cs="Times New Roman"/>
        </w:rPr>
      </w:pPr>
      <w:r>
        <w:rPr>
          <w:rFonts w:ascii="Times New Roman" w:hAnsi="Times New Roman" w:eastAsia="Calibri" w:cs="Times New Roman"/>
        </w:rPr>
        <w:tab/>
      </w:r>
      <w:r>
        <w:rPr>
          <w:rFonts w:ascii="Times New Roman" w:hAnsi="Times New Roman" w:eastAsia="Calibri" w:cs="Times New Roman"/>
        </w:rPr>
        <w:tab/>
      </w:r>
      <w:r>
        <w:rPr>
          <w:rFonts w:ascii="Times New Roman" w:hAnsi="Times New Roman" w:eastAsia="Calibri" w:cs="Times New Roman"/>
        </w:rPr>
        <w:t xml:space="preserve">Assim, no presente PPC admite-se como essenciais para a avaliação do desempenho do curso: os resultados do Enade, a Avaliação Institucional e as visitas do MEC. Através desses três parâmetros é possível autoavaliar o desempenho do curso como um todo, bem como o processo de ensino aprendizado. </w:t>
      </w:r>
    </w:p>
    <w:p>
      <w:pPr>
        <w:spacing w:line="360" w:lineRule="auto"/>
        <w:ind w:left="0" w:leftChars="0" w:firstLine="720" w:firstLineChars="0"/>
        <w:jc w:val="both"/>
        <w:rPr>
          <w:rFonts w:ascii="Times New Roman" w:hAnsi="Times New Roman" w:cs="Times New Roman"/>
        </w:rPr>
      </w:pPr>
      <w:r>
        <w:rPr>
          <w:rFonts w:ascii="Times New Roman" w:hAnsi="Times New Roman" w:eastAsia="Calibri" w:cs="Times New Roman"/>
        </w:rPr>
        <w:t>O Enade possibilita visualizar possíveis deficiências no processo de formação acadêmica e corrigi-lo, quando for o caso, a partir da análise da adequação dos conteúdos previstos e das estratégias metodológicas adotadas no ensino e aprendizagem.</w:t>
      </w:r>
    </w:p>
    <w:p>
      <w:pPr>
        <w:spacing w:line="360" w:lineRule="auto"/>
        <w:ind w:left="0" w:hanging="2"/>
        <w:jc w:val="both"/>
        <w:rPr>
          <w:rFonts w:ascii="Times New Roman" w:hAnsi="Times New Roman" w:cs="Times New Roman"/>
        </w:rPr>
      </w:pPr>
      <w:r>
        <w:rPr>
          <w:rFonts w:ascii="Times New Roman" w:hAnsi="Times New Roman" w:eastAsia="Calibri" w:cs="Times New Roman"/>
        </w:rPr>
        <w:tab/>
      </w:r>
      <w:r>
        <w:rPr>
          <w:rFonts w:ascii="Times New Roman" w:hAnsi="Times New Roman" w:eastAsia="Calibri" w:cs="Times New Roman"/>
        </w:rPr>
        <w:tab/>
      </w:r>
      <w:r>
        <w:rPr>
          <w:rFonts w:ascii="Times New Roman" w:hAnsi="Times New Roman" w:eastAsia="Calibri" w:cs="Times New Roman"/>
        </w:rPr>
        <w:t>Os relatórios da CPA ilustram questões acadêmicas e administrativas que podem ser aprimoradas ou desenvolvidas.</w:t>
      </w:r>
    </w:p>
    <w:p>
      <w:pPr>
        <w:spacing w:line="360" w:lineRule="auto"/>
        <w:ind w:left="0" w:leftChars="0" w:firstLine="720" w:firstLineChars="0"/>
        <w:jc w:val="both"/>
        <w:rPr>
          <w:rFonts w:ascii="Times New Roman" w:hAnsi="Times New Roman" w:cs="Times New Roman"/>
        </w:rPr>
      </w:pPr>
      <w:r>
        <w:rPr>
          <w:rFonts w:ascii="Times New Roman" w:hAnsi="Times New Roman" w:eastAsia="Calibri" w:cs="Times New Roman"/>
        </w:rPr>
        <w:t>As visitas do MEC sempre se mostram positivas, pois visam apresentar um olhar imparcial e avaliativo sobre o curso e a IES. Por meio do Relatório de Visitas do MEC é possível corrigir divergências e melhorar a qualidade do curso.</w:t>
      </w:r>
    </w:p>
    <w:p>
      <w:pPr>
        <w:spacing w:line="360" w:lineRule="auto"/>
        <w:ind w:left="0" w:hanging="2"/>
        <w:jc w:val="both"/>
        <w:rPr>
          <w:rFonts w:ascii="Times New Roman" w:hAnsi="Times New Roman" w:cs="Times New Roman"/>
        </w:rPr>
      </w:pPr>
      <w:r>
        <w:rPr>
          <w:rFonts w:ascii="Times New Roman" w:hAnsi="Times New Roman" w:eastAsia="Calibri" w:cs="Times New Roman"/>
        </w:rPr>
        <w:tab/>
      </w:r>
      <w:r>
        <w:rPr>
          <w:rFonts w:ascii="Times New Roman" w:hAnsi="Times New Roman" w:eastAsia="Calibri" w:cs="Times New Roman"/>
        </w:rPr>
        <w:tab/>
      </w:r>
      <w:r>
        <w:rPr>
          <w:rFonts w:ascii="Times New Roman" w:hAnsi="Times New Roman" w:eastAsia="Calibri" w:cs="Times New Roman"/>
        </w:rPr>
        <w:t>O próprio olhar da coordenação sobre o curso tem caráter de promover a autoavaliação dos processos de ensino aprendizagem em busca da melhoria contínua.</w:t>
      </w:r>
    </w:p>
    <w:p>
      <w:pPr>
        <w:spacing w:line="360" w:lineRule="auto"/>
        <w:ind w:left="0" w:leftChars="0" w:firstLine="720" w:firstLineChars="0"/>
        <w:jc w:val="both"/>
        <w:rPr>
          <w:rFonts w:ascii="Times New Roman" w:hAnsi="Times New Roman" w:cs="Times New Roman"/>
        </w:rPr>
      </w:pPr>
      <w:r>
        <w:rPr>
          <w:rFonts w:ascii="Times New Roman" w:hAnsi="Times New Roman" w:eastAsia="Calibri" w:cs="Times New Roman"/>
        </w:rPr>
        <w:t>Nas duas primeiras décadas do século XXI, o esforço de democratização do acesso à educação superior no Brasil proporcionou a muitas pessoas a possibilidade de fazer um curso superior em uma universidade pública. Políticas de ações afirmativas, por exemplo, representaram um passo significativo no esforço de redução das desigualdades relativas à concorrência por uma vaga nas universidades brasileiras. Ao mesmo tempo em que essa democratização precisa ser afirmada e ampliada, é mister enfatizar a premência de disponibilizar ao corpo discente possibilidades e oportunidades de realizarem seus cursos de graduação com sucesso e satisfação. Consideramos estes dois elementos, sucesso e satisfação, como o ponto de intercessão entre as demandas da vida acadêmica e as expectativas que as pessoas constroem durante sua experiência na universidade.</w:t>
      </w:r>
    </w:p>
    <w:p>
      <w:pPr>
        <w:spacing w:line="360" w:lineRule="auto"/>
        <w:ind w:left="0" w:leftChars="0" w:firstLine="720" w:firstLineChars="0"/>
        <w:jc w:val="both"/>
        <w:rPr>
          <w:rFonts w:ascii="Times New Roman" w:hAnsi="Times New Roman" w:cs="Times New Roman"/>
        </w:rPr>
      </w:pPr>
      <w:r>
        <w:rPr>
          <w:rFonts w:ascii="Times New Roman" w:hAnsi="Times New Roman" w:eastAsia="Calibri" w:cs="Times New Roman"/>
        </w:rPr>
        <w:t>De acordo com o estudo realizado e publicado pela Pró-Reitoria de Assuntos Comunitários e Estudantis (Prace), intitulado “Perfil socioeconômico e cultural dos estudantes de graduação da UFOP : ingressantes na Graduação 2017-1”</w:t>
      </w:r>
      <w:r>
        <w:rPr>
          <w:rFonts w:ascii="Times New Roman" w:hAnsi="Times New Roman" w:eastAsia="Calibri" w:cs="Times New Roman"/>
          <w:vertAlign w:val="superscript"/>
        </w:rPr>
        <w:footnoteReference w:id="39"/>
      </w:r>
      <w:r>
        <w:rPr>
          <w:rFonts w:ascii="Times New Roman" w:hAnsi="Times New Roman" w:eastAsia="Calibri" w:cs="Times New Roman"/>
        </w:rPr>
        <w:t>, três quartos dos estudantes vêm de famílias com renda mensal de até cinco salários mínimos, mas são sustentados pelos pais. A respeito do local de residência, o relatório “demonstra que parcela expressiva do total de ingressantes se desloca dentro do próprio estado de Minas Gerais (63,8%) ou ainda dentro da própria região sudeste (11,2%); apenas 19,6% já moravam na mesma cidade do campus em que estudam”</w:t>
      </w:r>
      <w:r>
        <w:rPr>
          <w:rFonts w:ascii="Times New Roman" w:hAnsi="Times New Roman" w:eastAsia="Calibri" w:cs="Times New Roman"/>
          <w:vertAlign w:val="superscript"/>
        </w:rPr>
        <w:footnoteReference w:id="40"/>
      </w:r>
      <w:r>
        <w:rPr>
          <w:rFonts w:ascii="Times New Roman" w:hAnsi="Times New Roman" w:eastAsia="Calibri" w:cs="Times New Roman"/>
        </w:rPr>
        <w:t>.</w:t>
      </w:r>
    </w:p>
    <w:p>
      <w:pPr>
        <w:spacing w:line="360" w:lineRule="auto"/>
        <w:ind w:left="0" w:leftChars="0" w:firstLine="720" w:firstLineChars="0"/>
        <w:jc w:val="both"/>
        <w:rPr>
          <w:rFonts w:ascii="Times New Roman" w:hAnsi="Times New Roman" w:cs="Times New Roman"/>
        </w:rPr>
      </w:pPr>
      <w:r>
        <w:rPr>
          <w:rFonts w:ascii="Times New Roman" w:hAnsi="Times New Roman" w:eastAsia="Calibri" w:cs="Times New Roman"/>
        </w:rPr>
        <w:t xml:space="preserve">A frustração inerente à distância da acima referida intercessão expressa-se no impacto diante das necessidades, exigências e demandas do ensino superior (domínio da linguagem escrita em um mundo cada vez mais orientado pelo audiovisual, organização autônoma do tempo de estudos, convívio com colegas e docentes etc.). Soma-se a isso a experiência de uma grande quantidade de estudantes que têm que cursar a graduação na UFOP distantes do núcleo familiar e de suas cidades de origem. </w:t>
      </w:r>
    </w:p>
    <w:p>
      <w:pPr>
        <w:spacing w:line="360" w:lineRule="auto"/>
        <w:ind w:left="0" w:leftChars="0" w:firstLine="720" w:firstLineChars="0"/>
        <w:jc w:val="both"/>
        <w:rPr>
          <w:rFonts w:ascii="Times New Roman" w:hAnsi="Times New Roman" w:cs="Times New Roman"/>
        </w:rPr>
      </w:pPr>
      <w:r>
        <w:rPr>
          <w:rFonts w:ascii="Times New Roman" w:hAnsi="Times New Roman" w:eastAsia="Calibri" w:cs="Times New Roman"/>
        </w:rPr>
        <w:t>Essas questões se apresentam à Universidade Federal de Ouro Preto como um desafio a enfrentar. Este expressa-se em sua obrigação social de, ao mesmo tempo, formar profissionais competentes em seus ofícios e cidadãos conscientes de seus deveres e direitos. Se consideramos que o peso de um passado brasileiro escravista, machista, excludente e elitista, que se acentua no que tange às desigualdades relativas às oportunidades de formação acadêmica, perceberemos a importância de inciativas que tenham como objetivo a assistência estudantil.</w:t>
      </w:r>
    </w:p>
    <w:p>
      <w:pPr>
        <w:spacing w:line="360" w:lineRule="auto"/>
        <w:ind w:left="0" w:hanging="2"/>
        <w:jc w:val="both"/>
        <w:rPr>
          <w:rFonts w:ascii="Times New Roman" w:hAnsi="Times New Roman" w:eastAsia="Calibri" w:cs="Times New Roman"/>
        </w:rPr>
      </w:pPr>
    </w:p>
    <w:p>
      <w:pPr>
        <w:spacing w:line="360" w:lineRule="auto"/>
        <w:ind w:left="0" w:hanging="2"/>
        <w:rPr>
          <w:rFonts w:ascii="Times New Roman" w:hAnsi="Times New Roman" w:cs="Times New Roman"/>
        </w:rPr>
      </w:pPr>
      <w:r>
        <w:rPr>
          <w:rFonts w:ascii="Times New Roman" w:hAnsi="Times New Roman" w:eastAsia="Calibri" w:cs="Times New Roman"/>
          <w:b/>
        </w:rPr>
        <w:t xml:space="preserve">Acompanhamento acadêmico do curso </w:t>
      </w:r>
    </w:p>
    <w:p>
      <w:pPr>
        <w:spacing w:line="360" w:lineRule="auto"/>
        <w:ind w:left="0" w:hanging="2"/>
        <w:rPr>
          <w:rFonts w:ascii="Times New Roman" w:hAnsi="Times New Roman" w:eastAsia="Calibri" w:cs="Times New Roman"/>
        </w:rPr>
      </w:pPr>
    </w:p>
    <w:p>
      <w:pPr>
        <w:spacing w:line="360" w:lineRule="auto"/>
        <w:ind w:left="0" w:leftChars="0" w:firstLine="720" w:firstLineChars="0"/>
        <w:jc w:val="both"/>
        <w:rPr>
          <w:rFonts w:ascii="Times New Roman" w:hAnsi="Times New Roman" w:cs="Times New Roman"/>
        </w:rPr>
      </w:pPr>
      <w:r>
        <w:rPr>
          <w:rFonts w:ascii="Times New Roman" w:hAnsi="Times New Roman" w:eastAsia="Calibri" w:cs="Times New Roman"/>
        </w:rPr>
        <w:t>O princípio de que a Universidade deve proporcionar ao corpo discente os meios ou as possibilidades de realização de um curso que traga satisfação e não frustração ganha efetividade nas iniciativas conduzidas em parceria entre os colegiados dos cursos de licenciatura e bacharelado e as pró-reitorias da UFOP. Referimo-nos especificamente à Pró-Reitoria de Assuntos Comunitários e Estudantis (Prace) e à Pró-Reitoria de Graduação (Prograd). Nesse sentido, algumas iniciativas podem ser identificadas:</w:t>
      </w:r>
    </w:p>
    <w:p>
      <w:pPr>
        <w:spacing w:line="360" w:lineRule="auto"/>
        <w:ind w:left="0" w:hanging="2"/>
        <w:jc w:val="both"/>
        <w:rPr>
          <w:rFonts w:ascii="Times New Roman" w:hAnsi="Times New Roman" w:eastAsia="Calibri" w:cs="Times New Roman"/>
        </w:rPr>
      </w:pPr>
    </w:p>
    <w:p>
      <w:pPr>
        <w:spacing w:line="360" w:lineRule="auto"/>
        <w:ind w:left="0" w:hanging="2"/>
        <w:jc w:val="both"/>
        <w:rPr>
          <w:rFonts w:ascii="Times New Roman" w:hAnsi="Times New Roman" w:cs="Times New Roman"/>
        </w:rPr>
      </w:pPr>
      <w:r>
        <w:rPr>
          <w:rFonts w:ascii="Times New Roman" w:hAnsi="Times New Roman" w:eastAsia="Calibri" w:cs="Times New Roman"/>
          <w:i/>
        </w:rPr>
        <w:t xml:space="preserve">Semana de Integração </w:t>
      </w:r>
    </w:p>
    <w:p>
      <w:pPr>
        <w:spacing w:line="360" w:lineRule="auto"/>
        <w:ind w:left="0" w:hanging="2"/>
        <w:jc w:val="both"/>
        <w:rPr>
          <w:rFonts w:ascii="Times New Roman" w:hAnsi="Times New Roman" w:eastAsia="Calibri" w:cs="Times New Roman"/>
        </w:rPr>
      </w:pPr>
    </w:p>
    <w:p>
      <w:pPr>
        <w:spacing w:line="360" w:lineRule="auto"/>
        <w:ind w:left="0" w:leftChars="0" w:firstLine="720" w:firstLineChars="0"/>
        <w:jc w:val="both"/>
        <w:rPr>
          <w:rFonts w:ascii="Times New Roman" w:hAnsi="Times New Roman" w:cs="Times New Roman"/>
        </w:rPr>
      </w:pPr>
      <w:r>
        <w:rPr>
          <w:rFonts w:ascii="Times New Roman" w:hAnsi="Times New Roman" w:eastAsia="Calibri" w:cs="Times New Roman"/>
        </w:rPr>
        <w:t xml:space="preserve">A cada início de semestre, é realizada pelo Centro Acadêmico de História (Cahis) a recepção de discentes ingressantes. Além disso, discentes que compõem os colegiados dos cursos de História apresentam o </w:t>
      </w:r>
      <w:r>
        <w:rPr>
          <w:rFonts w:ascii="Times New Roman" w:hAnsi="Times New Roman" w:eastAsia="Calibri" w:cs="Times New Roman"/>
          <w:i/>
        </w:rPr>
        <w:t>Manual Básico dos Cursos de História da UFOP: Licenciatura em História e Bacharelado em História</w:t>
      </w:r>
      <w:r>
        <w:rPr>
          <w:rFonts w:ascii="Times New Roman" w:hAnsi="Times New Roman" w:eastAsia="Calibri" w:cs="Times New Roman"/>
        </w:rPr>
        <w:t>. A apresentação e a disponibilização desse manual, em formato PowerPoint, é uma orientação inicial, apresenta os caminhos e os contatos importantes que podem ser mobilizados em caso de dúvidas ou demais demandas acadêmicas.</w:t>
      </w:r>
    </w:p>
    <w:p>
      <w:pPr>
        <w:spacing w:line="360" w:lineRule="auto"/>
        <w:ind w:left="0" w:hanging="2"/>
        <w:jc w:val="both"/>
        <w:rPr>
          <w:rFonts w:ascii="Times New Roman" w:hAnsi="Times New Roman" w:eastAsia="Calibri" w:cs="Times New Roman"/>
        </w:rPr>
      </w:pPr>
    </w:p>
    <w:p>
      <w:pPr>
        <w:spacing w:line="360" w:lineRule="auto"/>
        <w:ind w:left="0" w:hanging="2"/>
        <w:jc w:val="both"/>
        <w:rPr>
          <w:rFonts w:ascii="Times New Roman" w:hAnsi="Times New Roman" w:cs="Times New Roman"/>
        </w:rPr>
      </w:pPr>
      <w:r>
        <w:rPr>
          <w:rFonts w:ascii="Times New Roman" w:hAnsi="Times New Roman" w:eastAsia="Calibri" w:cs="Times New Roman"/>
          <w:i/>
        </w:rPr>
        <w:t xml:space="preserve"> Tutoria Docente </w:t>
      </w:r>
    </w:p>
    <w:p>
      <w:pPr>
        <w:spacing w:line="360" w:lineRule="auto"/>
        <w:ind w:left="0" w:hanging="2"/>
        <w:jc w:val="both"/>
        <w:rPr>
          <w:rFonts w:ascii="Times New Roman" w:hAnsi="Times New Roman" w:eastAsia="Calibri" w:cs="Times New Roman"/>
        </w:rPr>
      </w:pPr>
    </w:p>
    <w:p>
      <w:pPr>
        <w:spacing w:line="360" w:lineRule="auto"/>
        <w:ind w:left="0" w:leftChars="0" w:firstLine="720" w:firstLineChars="0"/>
        <w:jc w:val="both"/>
        <w:rPr>
          <w:rFonts w:ascii="Times New Roman" w:hAnsi="Times New Roman" w:cs="Times New Roman"/>
        </w:rPr>
      </w:pPr>
      <w:r>
        <w:rPr>
          <w:rFonts w:ascii="Times New Roman" w:hAnsi="Times New Roman" w:eastAsia="Calibri" w:cs="Times New Roman"/>
        </w:rPr>
        <w:t xml:space="preserve">A disponibilidade de docentes para acompanhamento de estudantes pode ser considerada a partir da designação de docentes tutores e tutoras para auxílio de discentes ingressantes. Esta modalidade de tutoria tem como objetivo acompanhar estudantes nos momentos iniciais do curso e atender, de forma mais precisa, às dúvidas, questões e necessidades que se apresentam no início dos cursos.  </w:t>
      </w:r>
    </w:p>
    <w:p>
      <w:pPr>
        <w:spacing w:line="360" w:lineRule="auto"/>
        <w:ind w:left="0" w:hanging="2"/>
        <w:jc w:val="both"/>
        <w:rPr>
          <w:rFonts w:ascii="Times New Roman" w:hAnsi="Times New Roman" w:eastAsia="Calibri" w:cs="Times New Roman"/>
        </w:rPr>
      </w:pPr>
    </w:p>
    <w:p>
      <w:pPr>
        <w:spacing w:line="360" w:lineRule="auto"/>
        <w:ind w:left="0" w:hanging="2"/>
        <w:jc w:val="both"/>
        <w:rPr>
          <w:rFonts w:ascii="Times New Roman" w:hAnsi="Times New Roman" w:cs="Times New Roman"/>
        </w:rPr>
      </w:pPr>
      <w:r>
        <w:rPr>
          <w:rFonts w:ascii="Times New Roman" w:hAnsi="Times New Roman" w:eastAsia="Calibri" w:cs="Times New Roman"/>
          <w:i/>
        </w:rPr>
        <w:t xml:space="preserve"> Acompanhamento pelo sistema minhaUFOP</w:t>
      </w:r>
    </w:p>
    <w:p>
      <w:pPr>
        <w:spacing w:line="360" w:lineRule="auto"/>
        <w:ind w:left="0" w:hanging="2"/>
        <w:jc w:val="both"/>
        <w:rPr>
          <w:rFonts w:ascii="Times New Roman" w:hAnsi="Times New Roman" w:eastAsia="Calibri" w:cs="Times New Roman"/>
        </w:rPr>
      </w:pPr>
    </w:p>
    <w:p>
      <w:pPr>
        <w:spacing w:line="360" w:lineRule="auto"/>
        <w:ind w:left="0" w:leftChars="0" w:firstLine="720" w:firstLineChars="0"/>
        <w:jc w:val="both"/>
        <w:rPr>
          <w:rFonts w:ascii="Times New Roman" w:hAnsi="Times New Roman" w:cs="Times New Roman"/>
        </w:rPr>
      </w:pPr>
      <w:r>
        <w:rPr>
          <w:rFonts w:ascii="Times New Roman" w:hAnsi="Times New Roman" w:eastAsia="Calibri" w:cs="Times New Roman"/>
        </w:rPr>
        <w:t xml:space="preserve">O sistema minhaUFOP também permite um acompanhamento detido do rendimento e da frequência estudantil. Destaca-se a ferramenta de aviso imediato no caso de a frequência e/ou rendimento acadêmico estarem comprometidos por qualquer motivo. Notadamente, a aba </w:t>
      </w:r>
      <w:r>
        <w:rPr>
          <w:rFonts w:ascii="Times New Roman" w:hAnsi="Times New Roman" w:eastAsia="Calibri" w:cs="Times New Roman"/>
          <w:i/>
        </w:rPr>
        <w:t>Alerta de Infrequência e Baixo Rendimento</w:t>
      </w:r>
      <w:r>
        <w:rPr>
          <w:rFonts w:ascii="Times New Roman" w:hAnsi="Times New Roman" w:eastAsia="Calibri" w:cs="Times New Roman"/>
        </w:rPr>
        <w:t xml:space="preserve"> no menu </w:t>
      </w:r>
      <w:r>
        <w:rPr>
          <w:rFonts w:ascii="Times New Roman" w:hAnsi="Times New Roman" w:eastAsia="Calibri" w:cs="Times New Roman"/>
          <w:i/>
        </w:rPr>
        <w:t>Graduação</w:t>
      </w:r>
      <w:r>
        <w:rPr>
          <w:rFonts w:ascii="Times New Roman" w:hAnsi="Times New Roman" w:eastAsia="Calibri" w:cs="Times New Roman"/>
        </w:rPr>
        <w:t xml:space="preserve"> possibilita o contato com estudantes que apresentem quaisquer dificuldades no que tange à vida acadêmica</w:t>
      </w:r>
      <w:r>
        <w:rPr>
          <w:rFonts w:ascii="Times New Roman" w:hAnsi="Times New Roman" w:eastAsia="Calibri" w:cs="Times New Roman"/>
          <w:vertAlign w:val="superscript"/>
        </w:rPr>
        <w:footnoteReference w:id="41"/>
      </w:r>
      <w:r>
        <w:rPr>
          <w:rFonts w:ascii="Times New Roman" w:hAnsi="Times New Roman" w:eastAsia="Calibri" w:cs="Times New Roman"/>
        </w:rPr>
        <w:t>. O monitoramento da frequência estudantil, bem como os rendimentos aferidos pelas verificações de aprendizagem, associados a essa ferramenta, permitem ao corpo docente a percepção das dificuldades apresentadas pelo alunado.</w:t>
      </w:r>
    </w:p>
    <w:p>
      <w:pPr>
        <w:spacing w:line="360" w:lineRule="auto"/>
        <w:ind w:left="0" w:hanging="2"/>
        <w:rPr>
          <w:rFonts w:ascii="Times New Roman" w:hAnsi="Times New Roman" w:eastAsia="Calibri" w:cs="Times New Roman"/>
        </w:rPr>
      </w:pPr>
    </w:p>
    <w:p>
      <w:pPr>
        <w:spacing w:line="360" w:lineRule="auto"/>
        <w:ind w:left="0" w:hanging="2"/>
        <w:rPr>
          <w:rFonts w:ascii="Times New Roman" w:hAnsi="Times New Roman" w:cs="Times New Roman"/>
        </w:rPr>
      </w:pPr>
      <w:r>
        <w:rPr>
          <w:rFonts w:ascii="Times New Roman" w:hAnsi="Times New Roman" w:eastAsia="Calibri" w:cs="Times New Roman"/>
          <w:i/>
        </w:rPr>
        <w:t>Núcleo de Educação Inclusiva (NEI):</w:t>
      </w:r>
    </w:p>
    <w:p>
      <w:pPr>
        <w:spacing w:line="360" w:lineRule="auto"/>
        <w:ind w:left="0" w:hanging="2"/>
        <w:rPr>
          <w:rFonts w:ascii="Times New Roman" w:hAnsi="Times New Roman" w:eastAsia="Calibri" w:cs="Times New Roman"/>
        </w:rPr>
      </w:pPr>
    </w:p>
    <w:p>
      <w:pPr>
        <w:spacing w:line="360" w:lineRule="auto"/>
        <w:ind w:left="0" w:leftChars="0" w:firstLine="720" w:firstLineChars="0"/>
        <w:jc w:val="both"/>
        <w:rPr>
          <w:rFonts w:ascii="Times New Roman" w:hAnsi="Times New Roman" w:cs="Times New Roman"/>
        </w:rPr>
      </w:pPr>
      <w:r>
        <w:rPr>
          <w:rFonts w:ascii="Times New Roman" w:hAnsi="Times New Roman" w:eastAsia="Calibri" w:cs="Times New Roman"/>
        </w:rPr>
        <w:t>O Núcleo de Educação Inclusiva (NEI), criado pelo Conselho Universitário (Cuni) e pelo Conselho de Pesquisa, Ensino e Extensão (Cepe) está vinculado à Prace e tem como objetivo “realizar o apoio à inclusão e à acessibilidade de estudantes público-alvo da educação especial, ou seja, pessoas com deficiência, transtornos globais do desenvolvimento, altas habilidades e superdotação. Do mesmo modo, objetiva realizar ações específicas com servidores que apresentam demandas especiais</w:t>
      </w:r>
      <w:r>
        <w:rPr>
          <w:rFonts w:ascii="Times New Roman" w:hAnsi="Times New Roman" w:eastAsia="Calibri" w:cs="Times New Roman"/>
          <w:vertAlign w:val="superscript"/>
        </w:rPr>
        <w:footnoteReference w:id="42"/>
      </w:r>
      <w:r>
        <w:rPr>
          <w:rFonts w:ascii="Times New Roman" w:hAnsi="Times New Roman" w:eastAsia="Calibri" w:cs="Times New Roman"/>
        </w:rPr>
        <w:t>”. O auxílio do NEI tem sido notável para as iniciativas dos colegiados quanto ao atendimento das demandas e necessidades discentes.</w:t>
      </w:r>
    </w:p>
    <w:p>
      <w:pPr>
        <w:spacing w:line="360" w:lineRule="auto"/>
        <w:ind w:left="0" w:leftChars="0" w:firstLine="720" w:firstLineChars="0"/>
        <w:jc w:val="both"/>
        <w:rPr>
          <w:rFonts w:ascii="Times New Roman" w:hAnsi="Times New Roman" w:cs="Times New Roman"/>
        </w:rPr>
      </w:pPr>
      <w:r>
        <w:rPr>
          <w:rFonts w:ascii="Times New Roman" w:hAnsi="Times New Roman" w:eastAsia="Calibri" w:cs="Times New Roman"/>
        </w:rPr>
        <w:t>A parceria entre os colegiados dos cursos de História e o NEI materializa-se, dentre outros modos, através do auxílio a estudantes surdos e surdas. Este suporte vincula-se à disponibilização de intérpretes versados em Linguagem Brasileira de Sinais (Libras) em sala de aula e de orientações específicas ao corpo docente no que diz respeito a elaboração e adaptação de materiais didáticos às necessidades do alunado. Essas necessidades têm sido uma preocupação constante dos colegiados dos cursos de História. Acrescente-se que o NEI, assim como o Centro Acadêmico de História (Cahis), se mostram fundamentais na identificação das necessidades discentes e, portanto, a um desenvolvimento efetivo e saudável da vida acadêmica estudantil.</w:t>
      </w:r>
    </w:p>
    <w:p>
      <w:pPr>
        <w:spacing w:line="360" w:lineRule="auto"/>
        <w:ind w:left="0" w:hanging="2"/>
        <w:rPr>
          <w:rFonts w:ascii="Times New Roman" w:hAnsi="Times New Roman" w:eastAsia="Calibri" w:cs="Times New Roman"/>
        </w:rPr>
      </w:pPr>
    </w:p>
    <w:p>
      <w:pPr>
        <w:spacing w:line="360" w:lineRule="auto"/>
        <w:ind w:left="0" w:hanging="2"/>
        <w:rPr>
          <w:rFonts w:ascii="Times New Roman" w:hAnsi="Times New Roman" w:cs="Times New Roman"/>
        </w:rPr>
      </w:pPr>
      <w:r>
        <w:rPr>
          <w:rFonts w:ascii="Times New Roman" w:hAnsi="Times New Roman" w:eastAsia="Calibri" w:cs="Times New Roman"/>
          <w:b/>
        </w:rPr>
        <w:t xml:space="preserve"> Acompanhamento Acadêmico Institucional</w:t>
      </w:r>
    </w:p>
    <w:p>
      <w:pPr>
        <w:spacing w:line="360" w:lineRule="auto"/>
        <w:ind w:left="0" w:hanging="2"/>
        <w:rPr>
          <w:rFonts w:ascii="Times New Roman" w:hAnsi="Times New Roman" w:eastAsia="Calibri" w:cs="Times New Roman"/>
        </w:rPr>
      </w:pPr>
    </w:p>
    <w:p>
      <w:pPr>
        <w:spacing w:line="360" w:lineRule="auto"/>
        <w:ind w:left="0" w:leftChars="0" w:firstLine="720" w:firstLineChars="0"/>
        <w:jc w:val="both"/>
        <w:rPr>
          <w:rFonts w:ascii="Times New Roman" w:hAnsi="Times New Roman" w:eastAsia="Calibri" w:cs="Times New Roman"/>
          <w:color w:val="000000"/>
        </w:rPr>
      </w:pPr>
      <w:r>
        <w:rPr>
          <w:rFonts w:ascii="Times New Roman" w:hAnsi="Times New Roman" w:eastAsia="Calibri" w:cs="Times New Roman"/>
        </w:rPr>
        <w:t xml:space="preserve">O acompanhamento acadêmico institucional é realizado por programas vinculados à Prograd que se apresentam como oportunidades importantes para o desenvolvimento da vida acadêmica estudantil. Apresentamos a seguir esses programas: </w:t>
      </w:r>
    </w:p>
    <w:p>
      <w:pPr>
        <w:spacing w:line="360" w:lineRule="auto"/>
        <w:ind w:left="0" w:hanging="2"/>
        <w:rPr>
          <w:rFonts w:ascii="Times New Roman" w:hAnsi="Times New Roman" w:eastAsia="Calibri" w:cs="Times New Roman"/>
          <w:color w:val="000000"/>
        </w:rPr>
      </w:pPr>
    </w:p>
    <w:p>
      <w:pPr>
        <w:spacing w:line="360" w:lineRule="auto"/>
        <w:ind w:left="0" w:hanging="2"/>
        <w:rPr>
          <w:rFonts w:ascii="Times New Roman" w:hAnsi="Times New Roman" w:cs="Times New Roman"/>
        </w:rPr>
      </w:pPr>
      <w:r>
        <w:rPr>
          <w:rFonts w:ascii="Times New Roman" w:hAnsi="Times New Roman" w:eastAsia="Calibri" w:cs="Times New Roman"/>
          <w:i/>
          <w:color w:val="000000"/>
        </w:rPr>
        <w:t xml:space="preserve">Pró-Ativa </w:t>
      </w:r>
    </w:p>
    <w:p>
      <w:pPr>
        <w:spacing w:line="360" w:lineRule="auto"/>
        <w:ind w:left="0" w:hanging="2"/>
        <w:rPr>
          <w:rFonts w:ascii="Times New Roman" w:hAnsi="Times New Roman" w:eastAsia="Calibri" w:cs="Times New Roman"/>
          <w:color w:val="000000"/>
        </w:rPr>
      </w:pPr>
    </w:p>
    <w:p>
      <w:pPr>
        <w:spacing w:line="360" w:lineRule="auto"/>
        <w:ind w:left="0" w:leftChars="0" w:firstLine="720" w:firstLineChars="0"/>
        <w:jc w:val="both"/>
        <w:rPr>
          <w:rFonts w:ascii="Times New Roman" w:hAnsi="Times New Roman" w:cs="Times New Roman"/>
        </w:rPr>
      </w:pPr>
      <w:r>
        <w:rPr>
          <w:rFonts w:ascii="Times New Roman" w:hAnsi="Times New Roman" w:eastAsia="Calibri" w:cs="Times New Roman"/>
          <w:color w:val="000000"/>
        </w:rPr>
        <w:t>“O programa Pró-Ativa, criado em 1999, é uma ação inovadora da Prograd destinada a contribuir para a melhoria do ensino de graduação por meio do desenvolvimento de propostas de aperfeiçoamento das práticas pedagógicas; da elaboração e organização de materiais e coleções didáticas de auxílio às disciplinas; dentre outras experiências inovadoras de desenvolvimento do processo ensino-aprendizagem.”</w:t>
      </w:r>
      <w:r>
        <w:rPr>
          <w:rFonts w:ascii="Times New Roman" w:hAnsi="Times New Roman" w:eastAsia="Calibri" w:cs="Times New Roman"/>
          <w:color w:val="000000"/>
          <w:vertAlign w:val="superscript"/>
        </w:rPr>
        <w:footnoteReference w:id="43"/>
      </w:r>
      <w:r>
        <w:rPr>
          <w:rFonts w:ascii="Times New Roman" w:hAnsi="Times New Roman" w:eastAsia="Calibri" w:cs="Times New Roman"/>
          <w:color w:val="000000"/>
        </w:rPr>
        <w:t>.</w:t>
      </w:r>
    </w:p>
    <w:p>
      <w:pPr>
        <w:spacing w:line="360" w:lineRule="auto"/>
        <w:ind w:left="0" w:leftChars="0" w:firstLine="720" w:firstLineChars="0"/>
        <w:jc w:val="both"/>
        <w:rPr>
          <w:rFonts w:ascii="Times New Roman" w:hAnsi="Times New Roman" w:eastAsia="Calibri" w:cs="Times New Roman"/>
          <w:color w:val="000000"/>
        </w:rPr>
      </w:pPr>
      <w:r>
        <w:rPr>
          <w:rFonts w:ascii="Times New Roman" w:hAnsi="Times New Roman" w:eastAsia="Calibri" w:cs="Times New Roman"/>
          <w:color w:val="000000"/>
        </w:rPr>
        <w:t xml:space="preserve">Especificamente, os colegiados dos cursos de História desenvolveram uma proposta específica que vem concorrendo aos editais do Programa Pró-Ativa, intitulada: </w:t>
      </w:r>
      <w:r>
        <w:rPr>
          <w:rFonts w:ascii="Times New Roman" w:hAnsi="Times New Roman" w:eastAsia="Calibri" w:cs="Times New Roman"/>
          <w:i/>
          <w:color w:val="000000"/>
        </w:rPr>
        <w:t>Desenvolvendo a linguagem acadêmica: curso de redação para alunos do curso de Licenciatura em História da UFOP</w:t>
      </w:r>
      <w:r>
        <w:rPr>
          <w:rFonts w:ascii="Times New Roman" w:hAnsi="Times New Roman" w:eastAsia="Calibri" w:cs="Times New Roman"/>
          <w:color w:val="000000"/>
        </w:rPr>
        <w:t xml:space="preserve">. Este projeto conta com estudantes bolsistas, selecionados por edital da Prograd, ou voluntários do curso de Letras que, sob  orientação da coordenadoria do projeto, ministram o curso de redação e escrita acadêmica. </w:t>
      </w:r>
    </w:p>
    <w:p>
      <w:pPr>
        <w:spacing w:line="360" w:lineRule="auto"/>
        <w:ind w:left="0" w:hanging="2"/>
        <w:jc w:val="both"/>
        <w:rPr>
          <w:rFonts w:ascii="Times New Roman" w:hAnsi="Times New Roman" w:cs="Times New Roman"/>
        </w:rPr>
      </w:pPr>
      <w:r>
        <w:rPr>
          <w:rFonts w:ascii="Times New Roman" w:hAnsi="Times New Roman" w:eastAsia="Calibri" w:cs="Times New Roman"/>
          <w:color w:val="000000"/>
        </w:rPr>
        <w:t xml:space="preserve">Se, na Universidade, a linguagem escrita assume um caráter determinante, ela se erige como fator decisivo do sucesso profissional dos futuros licenciados. Evidencia-se, portanto, a importância de iniciativas que oportunizem o aprimoramento das habilidades de escrita dos graduandos. Estas não devem ter no horizonte apenas os estudos gramaticais, que amenizem questões relativas a uma formação escolar deficitária, mas conceber a premência de familiarizar e desenvolver o domínio das produções textuais inerentes ao meio acadêmico, como resenhas, resumos e artigos — assim constitui-se a proposta do curso de redação para alunos dos cursos de Licenciatura e Bacharelado em História. </w:t>
      </w:r>
    </w:p>
    <w:p>
      <w:pPr>
        <w:spacing w:line="360" w:lineRule="auto"/>
        <w:ind w:left="0" w:leftChars="0" w:firstLine="720" w:firstLineChars="0"/>
        <w:jc w:val="both"/>
        <w:rPr>
          <w:rFonts w:ascii="Times New Roman" w:hAnsi="Times New Roman" w:cs="Times New Roman"/>
        </w:rPr>
      </w:pPr>
      <w:r>
        <w:rPr>
          <w:rFonts w:ascii="Times New Roman" w:hAnsi="Times New Roman" w:eastAsia="Calibri" w:cs="Times New Roman"/>
          <w:color w:val="000000"/>
        </w:rPr>
        <w:t>Especificamente, este projeto de curso objetiva fomentar o aprimoramento da linguagem escrita dos graduandos a partir do desenvolvimento das habilidades gramaticais e do aprimoramento do domínio das modalidades textuais exigidas pela academia. Trata-se do prosseguimento de iniciativas anteriores que encontraram junto ao corpo discente uma ressonância notável. A manutenção do curso de redação, com apoio da Prograd, salienta, portanto, a responsabilidade que a UFOP tem em dispor os meios e as possibilidades para o empreendimento de uma jornada acadêmica estudantil exitosa, que possa contribuir para o aprimoramento das habilidades necessárias ao exercício da docência em seus diversos níveis.</w:t>
      </w:r>
    </w:p>
    <w:p>
      <w:pPr>
        <w:spacing w:line="360" w:lineRule="auto"/>
        <w:ind w:left="0" w:hanging="2"/>
        <w:jc w:val="both"/>
        <w:rPr>
          <w:rFonts w:ascii="Times New Roman" w:hAnsi="Times New Roman" w:eastAsia="Calibri" w:cs="Times New Roman"/>
          <w:color w:val="000000"/>
        </w:rPr>
      </w:pPr>
    </w:p>
    <w:p>
      <w:pPr>
        <w:spacing w:line="360" w:lineRule="auto"/>
        <w:ind w:left="0" w:hanging="2"/>
        <w:rPr>
          <w:rFonts w:ascii="Times New Roman" w:hAnsi="Times New Roman" w:cs="Times New Roman"/>
        </w:rPr>
      </w:pPr>
      <w:r>
        <w:rPr>
          <w:rFonts w:ascii="Times New Roman" w:hAnsi="Times New Roman" w:eastAsia="Calibri" w:cs="Times New Roman"/>
          <w:i/>
          <w:color w:val="000000"/>
        </w:rPr>
        <w:t>Programa de Iniciação à Docência (Pibid/PED):</w:t>
      </w:r>
    </w:p>
    <w:p>
      <w:pPr>
        <w:spacing w:line="360" w:lineRule="auto"/>
        <w:ind w:left="0" w:hanging="2"/>
        <w:rPr>
          <w:rFonts w:ascii="Times New Roman" w:hAnsi="Times New Roman" w:eastAsia="Calibri" w:cs="Times New Roman"/>
          <w:color w:val="000000"/>
        </w:rPr>
      </w:pPr>
    </w:p>
    <w:p>
      <w:pPr>
        <w:spacing w:line="360" w:lineRule="auto"/>
        <w:ind w:left="0" w:leftChars="0" w:firstLine="720" w:firstLineChars="0"/>
        <w:jc w:val="both"/>
        <w:rPr>
          <w:rFonts w:ascii="Times New Roman" w:hAnsi="Times New Roman" w:cs="Times New Roman"/>
        </w:rPr>
      </w:pPr>
      <w:r>
        <w:rPr>
          <w:rFonts w:ascii="Times New Roman" w:hAnsi="Times New Roman" w:eastAsia="Calibri" w:cs="Times New Roman"/>
          <w:color w:val="000000"/>
        </w:rPr>
        <w:t>“O Programa Institucional de Bolsas de Iniciação à Docência é um programa do governo federal gerenciado pela Capes (Coordenação de Aperfeiçoamento de Pessoal de Nível Superior) que tem como objetivo principal a concessão de bolsas de iniciação à docência para estudantes de cursos de licenciatura e para coordenadores e supervisores responsáveis institucionalmente pelo Pibid e demais despesas a ele vinculadas. Pibid-PED-UFOP é o nome que o Programa Institucional de Bolsa de Iniciação à Docência (Pibid) recebe no âmbito da UFOP. O programa funciona na UFOP desde 2009 e seu objetivo é propiciar a iniciação dos estudantes bolsistas dos cursos de licenciatura na profissão docente e estimulá-los a permanecerem nessa profissão após a conclusão de seus cursos superiores”</w:t>
      </w:r>
      <w:r>
        <w:rPr>
          <w:rFonts w:ascii="Times New Roman" w:hAnsi="Times New Roman" w:eastAsia="Calibri" w:cs="Times New Roman"/>
          <w:color w:val="000000"/>
          <w:vertAlign w:val="superscript"/>
        </w:rPr>
        <w:footnoteReference w:id="44"/>
      </w:r>
      <w:r>
        <w:rPr>
          <w:rFonts w:ascii="Times New Roman" w:hAnsi="Times New Roman" w:eastAsia="Calibri" w:cs="Times New Roman"/>
          <w:color w:val="000000"/>
        </w:rPr>
        <w:t>.</w:t>
      </w:r>
    </w:p>
    <w:p>
      <w:pPr>
        <w:spacing w:line="360" w:lineRule="auto"/>
        <w:ind w:left="0" w:leftChars="0" w:firstLine="720" w:firstLineChars="0"/>
        <w:jc w:val="both"/>
        <w:rPr>
          <w:rFonts w:ascii="Times New Roman" w:hAnsi="Times New Roman" w:cs="Times New Roman"/>
        </w:rPr>
      </w:pPr>
      <w:r>
        <w:rPr>
          <w:rFonts w:ascii="Times New Roman" w:hAnsi="Times New Roman" w:eastAsia="Calibri" w:cs="Times New Roman"/>
          <w:color w:val="000000"/>
        </w:rPr>
        <w:t>O curso de Licenciatura em História tem o seu próprio subprojeto Pibid. O projeto se propõe a investir em ações destinadas a iniciação à docência. Esse investimento é orientado por dois aspectos: o uso de diferentes linguagens e fontes no ensino de História e a proposição de atividades avaliativas na componente curricular História. Objetiva-se oferecer ao licenciando participante do projeto a ampliação das possibilidades concernentes à experiência de formação docente</w:t>
      </w:r>
      <w:r>
        <w:rPr>
          <w:rFonts w:ascii="Times New Roman" w:hAnsi="Times New Roman" w:eastAsia="Calibri" w:cs="Times New Roman"/>
          <w:color w:val="000000"/>
          <w:vertAlign w:val="superscript"/>
        </w:rPr>
        <w:footnoteReference w:id="45"/>
      </w:r>
      <w:r>
        <w:rPr>
          <w:rFonts w:ascii="Times New Roman" w:hAnsi="Times New Roman" w:eastAsia="Calibri" w:cs="Times New Roman"/>
          <w:color w:val="000000"/>
        </w:rPr>
        <w:t>. Ações como “Elaboração de Oficinas de leitura/interpretação de fontes históricas (textos e imagens) com a produção de registros escritos e orais acerca das mesmas” e a elaboração de material didático audiovisual demonstram as possibilidades de ampliação das experiências de formação docente impulsionadas pelo Pibid do curso de Licenciatura em História.</w:t>
      </w:r>
    </w:p>
    <w:p>
      <w:pPr>
        <w:spacing w:line="360" w:lineRule="auto"/>
        <w:ind w:left="0" w:leftChars="0" w:firstLine="0" w:firstLineChars="0"/>
        <w:rPr>
          <w:rFonts w:ascii="Times New Roman" w:hAnsi="Times New Roman" w:eastAsia="Calibri" w:cs="Times New Roman"/>
          <w:color w:val="000000"/>
        </w:rPr>
      </w:pPr>
    </w:p>
    <w:p>
      <w:pPr>
        <w:spacing w:line="360" w:lineRule="auto"/>
        <w:ind w:left="0" w:hanging="2"/>
        <w:rPr>
          <w:rFonts w:ascii="Times New Roman" w:hAnsi="Times New Roman" w:cs="Times New Roman"/>
        </w:rPr>
      </w:pPr>
      <w:r>
        <w:rPr>
          <w:rFonts w:ascii="Times New Roman" w:hAnsi="Times New Roman" w:eastAsia="Calibri" w:cs="Times New Roman"/>
          <w:i/>
          <w:color w:val="000000"/>
        </w:rPr>
        <w:t>Programa de Monitoria</w:t>
      </w:r>
    </w:p>
    <w:p>
      <w:pPr>
        <w:spacing w:line="360" w:lineRule="auto"/>
        <w:ind w:left="0" w:hanging="2"/>
        <w:rPr>
          <w:rFonts w:ascii="Times New Roman" w:hAnsi="Times New Roman" w:eastAsia="Calibri" w:cs="Times New Roman"/>
          <w:color w:val="000000"/>
        </w:rPr>
      </w:pPr>
    </w:p>
    <w:p>
      <w:pPr>
        <w:spacing w:line="360" w:lineRule="auto"/>
        <w:ind w:left="0" w:leftChars="0" w:firstLine="720" w:firstLineChars="0"/>
        <w:jc w:val="both"/>
        <w:rPr>
          <w:rFonts w:ascii="Times New Roman" w:hAnsi="Times New Roman" w:cs="Times New Roman"/>
        </w:rPr>
      </w:pPr>
      <w:r>
        <w:rPr>
          <w:rFonts w:ascii="Times New Roman" w:hAnsi="Times New Roman" w:eastAsia="Calibri" w:cs="Times New Roman"/>
          <w:color w:val="000000"/>
        </w:rPr>
        <w:t>“O Programa de Monitoria visa contribuir para a melhoria do ensino de graduação na UFOP, através da articulação teoria/prática, da integração curricular em seus diferentes aspectos e da cooperação acadêmica entre discentes e docentes, de modo a intensificar o relacionamento entre alunos e professores”</w:t>
      </w:r>
      <w:r>
        <w:rPr>
          <w:rFonts w:ascii="Times New Roman" w:hAnsi="Times New Roman" w:eastAsia="Calibri" w:cs="Times New Roman"/>
          <w:color w:val="000000"/>
          <w:vertAlign w:val="superscript"/>
        </w:rPr>
        <w:footnoteReference w:id="46"/>
      </w:r>
      <w:r>
        <w:rPr>
          <w:rFonts w:ascii="Times New Roman" w:hAnsi="Times New Roman" w:eastAsia="Calibri" w:cs="Times New Roman"/>
          <w:color w:val="000000"/>
        </w:rPr>
        <w:t>. No que concerne especificamente aos cursos de História, a monitoria tem servido para estabelecer um contato frutuoso entre estudantes de diferentes períodos. Além dessa aproximação acadêmica, o esboço de uma primeira experiência docente, por parte dos monitores e monitoras, mostra-se desejável nos cursos de Licenciatura. Os professores e professoras cujos projetos são aprovados têm o auxílio de um monitor ou de uma monitora, que contribuem para o desenvolvimento das disciplinas e fomentam, assim, o desempenho do corpo discente.</w:t>
      </w:r>
    </w:p>
    <w:p>
      <w:pPr>
        <w:spacing w:line="360" w:lineRule="auto"/>
        <w:ind w:left="0" w:hanging="2"/>
        <w:jc w:val="both"/>
        <w:rPr>
          <w:rFonts w:ascii="Times New Roman" w:hAnsi="Times New Roman" w:eastAsia="Calibri" w:cs="Times New Roman"/>
          <w:color w:val="000000"/>
        </w:rPr>
      </w:pPr>
    </w:p>
    <w:p>
      <w:pPr>
        <w:spacing w:line="360" w:lineRule="auto"/>
        <w:ind w:left="0" w:hanging="2"/>
        <w:rPr>
          <w:rFonts w:ascii="Times New Roman" w:hAnsi="Times New Roman" w:cs="Times New Roman"/>
        </w:rPr>
      </w:pPr>
      <w:r>
        <w:rPr>
          <w:rFonts w:ascii="Times New Roman" w:hAnsi="Times New Roman" w:eastAsia="Calibri" w:cs="Times New Roman"/>
          <w:i/>
          <w:color w:val="000000"/>
        </w:rPr>
        <w:t>Programa de Tutoria</w:t>
      </w:r>
    </w:p>
    <w:p>
      <w:pPr>
        <w:spacing w:line="360" w:lineRule="auto"/>
        <w:ind w:left="0" w:hanging="2"/>
        <w:rPr>
          <w:rFonts w:ascii="Times New Roman" w:hAnsi="Times New Roman" w:eastAsia="Calibri" w:cs="Times New Roman"/>
          <w:color w:val="000000"/>
        </w:rPr>
      </w:pPr>
    </w:p>
    <w:p>
      <w:pPr>
        <w:spacing w:line="360" w:lineRule="auto"/>
        <w:ind w:left="0" w:leftChars="0" w:firstLine="720" w:firstLineChars="0"/>
        <w:jc w:val="both"/>
        <w:rPr>
          <w:rFonts w:ascii="Times New Roman" w:hAnsi="Times New Roman" w:cs="Times New Roman"/>
        </w:rPr>
      </w:pPr>
      <w:r>
        <w:rPr>
          <w:rFonts w:ascii="Times New Roman" w:hAnsi="Times New Roman" w:eastAsia="Calibri" w:cs="Times New Roman"/>
          <w:color w:val="000000"/>
        </w:rPr>
        <w:t>Já implementada no curso de licenciatura em história, “a Tutoria consiste em atividades de apoio acadêmico-pedagógico com foco nos estudantes matriculados em disciplinas dos primeiros semestres dos cursos de graduação da UFOP, contribuindo para melhoria do desempenho acadêmico e para a redução das dificuldades de aprendizagem desses estudantes”</w:t>
      </w:r>
      <w:r>
        <w:rPr>
          <w:rFonts w:ascii="Times New Roman" w:hAnsi="Times New Roman" w:eastAsia="Calibri" w:cs="Times New Roman"/>
          <w:color w:val="000000"/>
          <w:vertAlign w:val="superscript"/>
        </w:rPr>
        <w:footnoteReference w:id="47"/>
      </w:r>
      <w:r>
        <w:rPr>
          <w:rFonts w:ascii="Times New Roman" w:hAnsi="Times New Roman" w:eastAsia="Calibri" w:cs="Times New Roman"/>
          <w:color w:val="000000"/>
        </w:rPr>
        <w:t xml:space="preserve">. Especificamente, o curso de Licenciatura em História concebeu a Tutoria, assim como a modalidade específica do Programa Pró-Ativa, a partir de um conjunto de práticas cujo objetivo é fomentar o aprimoramento das práticas de leitura e escrita do corpo discente. O projeto intitulado </w:t>
      </w:r>
      <w:r>
        <w:rPr>
          <w:rFonts w:ascii="Times New Roman" w:hAnsi="Times New Roman" w:eastAsia="Calibri" w:cs="Times New Roman"/>
          <w:i/>
          <w:color w:val="000000"/>
        </w:rPr>
        <w:t>Introdução à Leitura e à Produção de Textos Acadêmicos:  o ato de ler como prática interativa de construção de sentido</w:t>
      </w:r>
      <w:r>
        <w:rPr>
          <w:rFonts w:ascii="Times New Roman" w:hAnsi="Times New Roman" w:eastAsia="Calibri" w:cs="Times New Roman"/>
          <w:color w:val="000000"/>
        </w:rPr>
        <w:t>, conduzido por discentes bolsistas do curso de Letras, sob orientação docente, demonstra isso.</w:t>
      </w:r>
    </w:p>
    <w:p>
      <w:pPr>
        <w:spacing w:line="360" w:lineRule="auto"/>
        <w:ind w:left="0" w:leftChars="0" w:firstLine="720" w:firstLineChars="0"/>
        <w:jc w:val="both"/>
        <w:rPr>
          <w:rFonts w:ascii="Times New Roman" w:hAnsi="Times New Roman" w:cs="Times New Roman"/>
        </w:rPr>
      </w:pPr>
      <w:r>
        <w:rPr>
          <w:rFonts w:ascii="Times New Roman" w:hAnsi="Times New Roman" w:eastAsia="Calibri" w:cs="Times New Roman"/>
          <w:color w:val="000000"/>
        </w:rPr>
        <w:t>Nos anos anteriores, a iniciativa empreendida pela professora Luiza Rauter (Dehis/UFOP), em parceria com bolsistas do curso de Letras, contribuiu para ajudar  estudantes do ICHS e do Icsa a desenvolverem suas habilidades de leitura e escrita acadêmica. Essa oportunidade é importante, pois materializa a responsabilidade da Universidade em oferecer aos calouros e às calouras os meios necessários para o desenvolvimento de suas carreiras acadêmicas. Além disso, esta iniciativa visa atender às demandas propostas por estudantes em momentos anteriores. Nos anos de 2018 e 2019, a iniciativa ganhou continuidade com o apoio decisivo da Prograd.</w:t>
      </w:r>
    </w:p>
    <w:p>
      <w:pPr>
        <w:spacing w:line="360" w:lineRule="auto"/>
        <w:ind w:left="0" w:leftChars="0" w:firstLine="720" w:firstLineChars="0"/>
        <w:jc w:val="both"/>
        <w:rPr>
          <w:rFonts w:ascii="Times New Roman" w:hAnsi="Times New Roman" w:eastAsia="Calibri" w:cs="Times New Roman"/>
          <w:color w:val="000000"/>
        </w:rPr>
      </w:pPr>
      <w:r>
        <w:rPr>
          <w:rFonts w:ascii="Times New Roman" w:hAnsi="Times New Roman" w:eastAsia="Calibri" w:cs="Times New Roman"/>
          <w:color w:val="000000"/>
        </w:rPr>
        <w:t>Se, inicialmente, podemos considerar o conceito de leitura a partir de duas perspectivas: a compreensão das ideias do autor pelo leitor ou o domínio da estrutura do texto, é preciso concebê-la sob horizontes diversos. Estes não devem restringir a prática de leitura à mera decifração ou a uma técnica. Em suma, o ato de leitura se reduziria, sob um ponto de vista limitado, a uma atividade de simples decodificação de sinais gráficos ou da apropriação simples das ideias de alguém</w:t>
      </w:r>
      <w:r>
        <w:rPr>
          <w:rFonts w:ascii="Times New Roman" w:hAnsi="Times New Roman" w:eastAsia="Calibri" w:cs="Times New Roman"/>
          <w:color w:val="000000"/>
          <w:vertAlign w:val="superscript"/>
        </w:rPr>
        <w:footnoteReference w:id="48"/>
      </w:r>
      <w:r>
        <w:rPr>
          <w:rFonts w:ascii="Times New Roman" w:hAnsi="Times New Roman" w:eastAsia="Calibri" w:cs="Times New Roman"/>
          <w:color w:val="000000"/>
        </w:rPr>
        <w:t>. Entretanto, tomando como premissa a proposição de um leitor como sujeito, a leitura pode ser apontada como “uma atividade interativa altamente complexa de produção de sentido”</w:t>
      </w:r>
      <w:r>
        <w:rPr>
          <w:rFonts w:ascii="Times New Roman" w:hAnsi="Times New Roman" w:eastAsia="Calibri" w:cs="Times New Roman"/>
          <w:color w:val="000000"/>
          <w:vertAlign w:val="superscript"/>
        </w:rPr>
        <w:footnoteReference w:id="49"/>
      </w:r>
      <w:r>
        <w:rPr>
          <w:rFonts w:ascii="Times New Roman" w:hAnsi="Times New Roman" w:eastAsia="Calibri" w:cs="Times New Roman"/>
          <w:color w:val="000000"/>
        </w:rPr>
        <w:t xml:space="preserve">. </w:t>
      </w:r>
    </w:p>
    <w:p>
      <w:pPr>
        <w:spacing w:line="360" w:lineRule="auto"/>
        <w:ind w:left="0" w:leftChars="0" w:firstLine="720" w:firstLineChars="0"/>
        <w:jc w:val="both"/>
        <w:rPr>
          <w:rFonts w:ascii="Times New Roman" w:hAnsi="Times New Roman" w:cs="Times New Roman"/>
        </w:rPr>
      </w:pPr>
      <w:r>
        <w:rPr>
          <w:rFonts w:ascii="Times New Roman" w:hAnsi="Times New Roman" w:eastAsia="Calibri" w:cs="Times New Roman"/>
          <w:color w:val="000000"/>
        </w:rPr>
        <w:t>Considerando a necessidade de constituir uma prática de leitura interativa, através da qual o alunado esteja posicionado para construir sentido a partir do material lido, propomos essa modalidade de tutoria. Se, em um primeiro momento, propusemos definir as referidas estratégias a partir da leitura de obras e artigos historiográficos sobre História Medieval, na segunda edição, nos concentramos na leitura e escrita de artigos que discutiam temas relacionados, de forma mais direta, à experiência cotidiana do corpo discente. Conversar sobre temas como a ansiedade na universidade, as expectativas e incertezas para o futuro, bem como outros elementos, mostra-se essencial. Dividimos as atividades em dois módulos: leitura e produção escrita.</w:t>
      </w:r>
    </w:p>
    <w:p>
      <w:pPr>
        <w:spacing w:line="360" w:lineRule="auto"/>
        <w:ind w:left="0" w:hanging="2"/>
        <w:jc w:val="both"/>
        <w:rPr>
          <w:rFonts w:ascii="Times New Roman" w:hAnsi="Times New Roman" w:cs="Times New Roman"/>
        </w:rPr>
      </w:pPr>
      <w:r>
        <w:rPr>
          <w:rFonts w:ascii="Times New Roman" w:hAnsi="Times New Roman" w:eastAsia="Calibri" w:cs="Times New Roman"/>
          <w:color w:val="000000"/>
        </w:rPr>
        <w:t xml:space="preserve"> </w:t>
      </w:r>
      <w:r>
        <w:rPr>
          <w:rFonts w:ascii="Times New Roman" w:hAnsi="Times New Roman" w:eastAsia="Calibri" w:cs="Times New Roman"/>
          <w:color w:val="000000"/>
        </w:rPr>
        <w:tab/>
      </w:r>
      <w:r>
        <w:rPr>
          <w:rFonts w:ascii="Times New Roman" w:hAnsi="Times New Roman" w:eastAsia="Calibri" w:cs="Times New Roman"/>
          <w:color w:val="000000"/>
        </w:rPr>
        <w:t xml:space="preserve">A escolha dessas práticas se justifica por seu caráter didático e por atender às demandas dos participantes das edições anteriores. Além disso, visou-se fomentar, tal como dito anteriormente, a interatividade e a construção de sentido por meio da discussão de artigos que remetem de forma mais estreita às experiências dos alunos e das alunas. </w:t>
      </w:r>
    </w:p>
    <w:p>
      <w:pPr>
        <w:spacing w:line="360" w:lineRule="auto"/>
        <w:ind w:left="0" w:hanging="2"/>
        <w:jc w:val="both"/>
        <w:rPr>
          <w:rFonts w:ascii="Times New Roman" w:hAnsi="Times New Roman" w:cs="Times New Roman"/>
        </w:rPr>
      </w:pPr>
      <w:r>
        <w:rPr>
          <w:rFonts w:ascii="Times New Roman" w:hAnsi="Times New Roman" w:eastAsia="Calibri" w:cs="Times New Roman"/>
          <w:color w:val="000000"/>
        </w:rPr>
        <w:t>De modo geral, a introdução à leitura de artigos acadêmicos, a partir da presente orientação, se revela um esforço profícuo e um primeiro passo para a familiarização do alunado com a linguagem acadêmica.</w:t>
      </w:r>
    </w:p>
    <w:p>
      <w:pPr>
        <w:spacing w:line="360" w:lineRule="auto"/>
        <w:ind w:left="0" w:hanging="2"/>
        <w:jc w:val="both"/>
        <w:rPr>
          <w:rFonts w:ascii="Times New Roman" w:hAnsi="Times New Roman" w:eastAsia="Calibri" w:cs="Times New Roman"/>
          <w:color w:val="000000"/>
        </w:rPr>
      </w:pPr>
    </w:p>
    <w:p>
      <w:pPr>
        <w:spacing w:line="360" w:lineRule="auto"/>
        <w:ind w:left="0" w:hanging="2"/>
        <w:rPr>
          <w:rFonts w:ascii="Times New Roman" w:hAnsi="Times New Roman" w:cs="Times New Roman"/>
        </w:rPr>
      </w:pPr>
      <w:r>
        <w:rPr>
          <w:rFonts w:ascii="Times New Roman" w:hAnsi="Times New Roman" w:eastAsia="Calibri" w:cs="Times New Roman"/>
          <w:i/>
          <w:color w:val="000000"/>
        </w:rPr>
        <w:t>Programa Caminhar</w:t>
      </w:r>
    </w:p>
    <w:p>
      <w:pPr>
        <w:spacing w:line="360" w:lineRule="auto"/>
        <w:ind w:left="0" w:hanging="2"/>
        <w:rPr>
          <w:rFonts w:ascii="Times New Roman" w:hAnsi="Times New Roman" w:eastAsia="Calibri" w:cs="Times New Roman"/>
          <w:color w:val="000000"/>
        </w:rPr>
      </w:pPr>
    </w:p>
    <w:p>
      <w:pPr>
        <w:spacing w:line="360" w:lineRule="auto"/>
        <w:ind w:left="0" w:leftChars="0" w:firstLine="720" w:firstLineChars="0"/>
        <w:jc w:val="both"/>
        <w:rPr>
          <w:rFonts w:ascii="Times New Roman" w:hAnsi="Times New Roman" w:cs="Times New Roman"/>
        </w:rPr>
      </w:pPr>
      <w:r>
        <w:rPr>
          <w:rFonts w:ascii="Times New Roman" w:hAnsi="Times New Roman" w:eastAsia="Calibri" w:cs="Times New Roman"/>
          <w:color w:val="000000"/>
        </w:rPr>
        <w:t>“O Caminhar é o programa de acompanhamento acadêmico dos estudantes da UFOP. Ele oferece acompanhamento pedagógico, psicológico e social aos estudantes que vivenciam dificuldades acadêmicas”</w:t>
      </w:r>
      <w:r>
        <w:rPr>
          <w:rFonts w:ascii="Times New Roman" w:hAnsi="Times New Roman" w:eastAsia="Calibri" w:cs="Times New Roman"/>
          <w:color w:val="000000"/>
          <w:vertAlign w:val="superscript"/>
        </w:rPr>
        <w:footnoteReference w:id="50"/>
      </w:r>
      <w:r>
        <w:rPr>
          <w:rFonts w:ascii="Times New Roman" w:hAnsi="Times New Roman" w:eastAsia="Calibri" w:cs="Times New Roman"/>
          <w:color w:val="000000"/>
        </w:rPr>
        <w:t>. O acompanhamento psicológico é fundamental para o desenvolvimento da vida acadêmica. Lidar com as responsabilidades e demandas universitárias pode se constituir em uma pressão sobre as pessoas. Nesse sentido, a existência de programas e iniciativas que tenham como preocupação a saúde mental do quadro de estudantes é um ponto fundamental da parceria entre os colegiados dos cursos de História e a Prace.</w:t>
      </w:r>
    </w:p>
    <w:p>
      <w:pPr>
        <w:spacing w:line="360" w:lineRule="auto"/>
        <w:ind w:left="0" w:hanging="2"/>
        <w:jc w:val="both"/>
        <w:rPr>
          <w:rFonts w:ascii="Times New Roman" w:hAnsi="Times New Roman" w:eastAsia="Calibri" w:cs="Times New Roman"/>
          <w:color w:val="000000"/>
        </w:rPr>
      </w:pPr>
    </w:p>
    <w:p>
      <w:pPr>
        <w:spacing w:line="360" w:lineRule="auto"/>
        <w:ind w:left="0" w:hanging="2"/>
        <w:rPr>
          <w:rFonts w:ascii="Times New Roman" w:hAnsi="Times New Roman" w:cs="Times New Roman"/>
        </w:rPr>
      </w:pPr>
      <w:r>
        <w:rPr>
          <w:rFonts w:ascii="Times New Roman" w:hAnsi="Times New Roman" w:eastAsia="Calibri" w:cs="Times New Roman"/>
          <w:i/>
          <w:color w:val="000000"/>
        </w:rPr>
        <w:t>Programa Portas Abertas</w:t>
      </w:r>
    </w:p>
    <w:p>
      <w:pPr>
        <w:spacing w:line="360" w:lineRule="auto"/>
        <w:ind w:left="0" w:hanging="2"/>
        <w:rPr>
          <w:rFonts w:ascii="Times New Roman" w:hAnsi="Times New Roman" w:eastAsia="Calibri" w:cs="Times New Roman"/>
          <w:color w:val="000000"/>
        </w:rPr>
      </w:pPr>
    </w:p>
    <w:p>
      <w:pPr>
        <w:spacing w:line="360" w:lineRule="auto"/>
        <w:ind w:left="0" w:leftChars="0" w:firstLine="720" w:firstLineChars="0"/>
        <w:jc w:val="both"/>
        <w:rPr>
          <w:rFonts w:ascii="Times New Roman" w:hAnsi="Times New Roman" w:cs="Times New Roman"/>
        </w:rPr>
      </w:pPr>
      <w:r>
        <w:rPr>
          <w:rFonts w:ascii="Times New Roman" w:hAnsi="Times New Roman" w:eastAsia="Calibri" w:cs="Times New Roman"/>
          <w:color w:val="000000"/>
        </w:rPr>
        <w:t>Este programa se dispõe a “viabilizar a construção e efetivação de ações psicossociais que considerem o servidor e a instituição como mutuamente constituintes, e que tratem de questões relacionadas ao desenvolvimento profissional, à saúde e à qualidade de vida. O “Psicologia de Portas Abertas” - alunos é um dispositivo de atenção secundária em saúde mental que aborda questões individuais de cunho emocional, cognitivo ou relacional/interpessoal por meio do acolhimento, da avaliação, do acompanhamento e/ou do encaminhamentos externo de estudantes da UFOP. A demanda se dá sempre de forma espontânea pelos alunos, ainda que alguns casos sejam encaminhados por outras áreas da Instituição, tendo em vista a necessidade de engajamento dos sujeitos. Os atendimentos ocorrem na modalidade de consultas psicológicas, em que se dão o acolhimento, a avaliação das queixas e suas pluricausalidades e possíveis consequências, o aconselhamento e o encaminhamento aos recursos disponíveis, segundo a avaliação dos profissionais”</w:t>
      </w:r>
      <w:r>
        <w:rPr>
          <w:rFonts w:ascii="Times New Roman" w:hAnsi="Times New Roman" w:eastAsia="Calibri" w:cs="Times New Roman"/>
          <w:color w:val="000000"/>
          <w:vertAlign w:val="superscript"/>
        </w:rPr>
        <w:footnoteReference w:id="51"/>
      </w:r>
      <w:r>
        <w:rPr>
          <w:rFonts w:ascii="Times New Roman" w:hAnsi="Times New Roman" w:eastAsia="Calibri" w:cs="Times New Roman"/>
          <w:color w:val="000000"/>
        </w:rPr>
        <w:t>.</w:t>
      </w:r>
    </w:p>
    <w:p>
      <w:pPr>
        <w:spacing w:line="360" w:lineRule="auto"/>
        <w:ind w:left="0" w:leftChars="0" w:firstLine="720" w:firstLineChars="0"/>
        <w:jc w:val="both"/>
        <w:rPr>
          <w:rFonts w:ascii="Times New Roman" w:hAnsi="Times New Roman" w:cs="Times New Roman"/>
        </w:rPr>
      </w:pPr>
      <w:r>
        <w:rPr>
          <w:rFonts w:ascii="Times New Roman" w:hAnsi="Times New Roman" w:eastAsia="Calibri" w:cs="Times New Roman"/>
          <w:color w:val="000000"/>
        </w:rPr>
        <w:t>Do mesmo modo que o Programa Caminhar, o Portas Abertas se apresenta como uma iniciativa fundamental. A saúde mental do alunado é uma preocupação central no que concerne ao desenvolvimento de suas atividades acadêmicas. Ajudar-lhes a lidar com as ansiedades e apreensões da condução de uma vida acadêmica autônoma orienta as iniciativas associadas aos programas de ajuda psicológica oferecidos pela Prace.</w:t>
      </w:r>
    </w:p>
    <w:p>
      <w:pPr>
        <w:spacing w:line="360" w:lineRule="auto"/>
        <w:ind w:left="0" w:hanging="2"/>
        <w:rPr>
          <w:rFonts w:ascii="Times New Roman" w:hAnsi="Times New Roman" w:eastAsia="Calibri" w:cs="Times New Roman"/>
          <w:color w:val="000000"/>
        </w:rPr>
      </w:pPr>
    </w:p>
    <w:p>
      <w:pPr>
        <w:spacing w:line="360" w:lineRule="auto"/>
        <w:ind w:left="0" w:hanging="2"/>
        <w:rPr>
          <w:rFonts w:ascii="Times New Roman" w:hAnsi="Times New Roman" w:cs="Times New Roman"/>
        </w:rPr>
      </w:pPr>
      <w:r>
        <w:rPr>
          <w:rFonts w:ascii="Times New Roman" w:hAnsi="Times New Roman" w:eastAsia="Calibri" w:cs="Times New Roman"/>
          <w:b/>
        </w:rPr>
        <w:t>Assistência Estudantil</w:t>
      </w:r>
    </w:p>
    <w:p>
      <w:pPr>
        <w:spacing w:line="360" w:lineRule="auto"/>
        <w:ind w:left="0" w:hanging="2"/>
        <w:rPr>
          <w:rFonts w:ascii="Times New Roman" w:hAnsi="Times New Roman" w:eastAsia="Calibri" w:cs="Times New Roman"/>
        </w:rPr>
      </w:pPr>
    </w:p>
    <w:p>
      <w:pPr>
        <w:spacing w:line="360" w:lineRule="auto"/>
        <w:ind w:left="0" w:leftChars="0" w:firstLine="720" w:firstLineChars="0"/>
        <w:jc w:val="both"/>
        <w:rPr>
          <w:rFonts w:ascii="Times New Roman" w:hAnsi="Times New Roman" w:cs="Times New Roman"/>
        </w:rPr>
      </w:pPr>
      <w:r>
        <w:rPr>
          <w:rFonts w:ascii="Times New Roman" w:hAnsi="Times New Roman" w:eastAsia="Calibri" w:cs="Times New Roman"/>
          <w:color w:val="000000"/>
        </w:rPr>
        <w:t>Promover a permanência do alunado nos cursos de graduação requer iniciativas que considerem a constituição e o fomento de práticas relativas à alteridade. A partir do princípio da democratização do ensino superior no Brasil, toma-se como inquestionável que a universidade deve ser um espaço diverso e plural. Neste sentido, a sensibilidade quanto às necessidades, especificidades e fragilidades do corpo discente erige-se como um compromisso central assumido pela UFOP em prol da manutenção do espaço universitário em sua diversidade e pluralidade. No que diz respeito ao atendimento das necessidades imediatas do corpo discente, são oferecidos os seguintes programas:</w:t>
      </w:r>
    </w:p>
    <w:p>
      <w:pPr>
        <w:spacing w:line="360" w:lineRule="auto"/>
        <w:ind w:left="0" w:hanging="2"/>
        <w:jc w:val="both"/>
        <w:rPr>
          <w:rFonts w:ascii="Times New Roman" w:hAnsi="Times New Roman" w:eastAsia="Calibri" w:cs="Times New Roman"/>
          <w:color w:val="000000"/>
        </w:rPr>
      </w:pPr>
    </w:p>
    <w:p>
      <w:pPr>
        <w:spacing w:line="360" w:lineRule="auto"/>
        <w:ind w:left="0" w:hanging="2"/>
        <w:jc w:val="both"/>
        <w:rPr>
          <w:rFonts w:ascii="Times New Roman" w:hAnsi="Times New Roman" w:eastAsia="Calibri" w:cs="Times New Roman"/>
          <w:color w:val="000000"/>
        </w:rPr>
      </w:pPr>
    </w:p>
    <w:p>
      <w:pPr>
        <w:spacing w:line="360" w:lineRule="auto"/>
        <w:ind w:left="0" w:hanging="2"/>
        <w:jc w:val="both"/>
        <w:rPr>
          <w:rFonts w:ascii="Times New Roman" w:hAnsi="Times New Roman" w:eastAsia="Calibri" w:cs="Times New Roman"/>
          <w:color w:val="000000"/>
        </w:rPr>
      </w:pPr>
    </w:p>
    <w:p>
      <w:pPr>
        <w:spacing w:line="360" w:lineRule="auto"/>
        <w:ind w:left="0" w:hanging="2"/>
        <w:rPr>
          <w:rFonts w:ascii="Times New Roman" w:hAnsi="Times New Roman" w:cs="Times New Roman"/>
        </w:rPr>
      </w:pPr>
      <w:r>
        <w:rPr>
          <w:rFonts w:ascii="Times New Roman" w:hAnsi="Times New Roman" w:eastAsia="Calibri" w:cs="Times New Roman"/>
          <w:i/>
          <w:color w:val="000000"/>
        </w:rPr>
        <w:t xml:space="preserve"> Programa de Bolsas de Permanência (PBP) </w:t>
      </w:r>
    </w:p>
    <w:p>
      <w:pPr>
        <w:spacing w:line="360" w:lineRule="auto"/>
        <w:ind w:left="0" w:hanging="2"/>
        <w:rPr>
          <w:rFonts w:ascii="Times New Roman" w:hAnsi="Times New Roman" w:eastAsia="Calibri" w:cs="Times New Roman"/>
          <w:color w:val="000000"/>
        </w:rPr>
      </w:pPr>
    </w:p>
    <w:p>
      <w:pPr>
        <w:spacing w:line="360" w:lineRule="auto"/>
        <w:ind w:left="0" w:leftChars="0" w:firstLine="720" w:firstLineChars="0"/>
        <w:jc w:val="both"/>
        <w:rPr>
          <w:rFonts w:ascii="Times New Roman" w:hAnsi="Times New Roman" w:cs="Times New Roman"/>
        </w:rPr>
      </w:pPr>
      <w:r>
        <w:rPr>
          <w:rFonts w:ascii="Times New Roman" w:hAnsi="Times New Roman" w:eastAsia="Calibri" w:cs="Times New Roman"/>
          <w:color w:val="000000"/>
        </w:rPr>
        <w:t>Conforme o artigo 1º da Resolução Cuni nº 1380, as bolsas de permanência integram</w:t>
      </w:r>
      <w:r>
        <w:rPr>
          <w:rFonts w:ascii="Times New Roman" w:hAnsi="Times New Roman" w:eastAsia="Calibri" w:cs="Times New Roman"/>
        </w:rPr>
        <w:t xml:space="preserve"> “os Programas de Assistência </w:t>
      </w:r>
      <w:r>
        <w:rPr>
          <w:rFonts w:ascii="Times New Roman" w:hAnsi="Times New Roman" w:eastAsia="Calibri" w:cs="Times New Roman"/>
          <w:color w:val="000000"/>
        </w:rPr>
        <w:t>Estudantil</w:t>
      </w:r>
      <w:r>
        <w:rPr>
          <w:rFonts w:ascii="Times New Roman" w:hAnsi="Times New Roman" w:eastAsia="Calibri" w:cs="Times New Roman"/>
        </w:rPr>
        <w:t xml:space="preserve"> oferecidos pela Universidade Federal de Ouro Preto (UFOP), por meio da Pró-Reitoria Especial de Assuntos Comunitários e Estudantis (Prace), fundamentada em uma política de assistência estudantil que contempla alunos de graduação e alunos de pós-graduação stricto sensu (que não tenham bolsa de mestrado ou de doutorado), ambos na modalidade presencial, cujas condições socioeconômicas desfavoráveis apresentam-se como impedimento para a permanência na Instituição e a obtenção de desempenho acadêmico satisfatório”</w:t>
      </w:r>
      <w:r>
        <w:rPr>
          <w:rFonts w:ascii="Times New Roman" w:hAnsi="Times New Roman" w:eastAsia="Calibri" w:cs="Times New Roman"/>
          <w:vertAlign w:val="superscript"/>
        </w:rPr>
        <w:footnoteReference w:id="52"/>
      </w:r>
      <w:r>
        <w:rPr>
          <w:rFonts w:ascii="Times New Roman" w:hAnsi="Times New Roman" w:eastAsia="Calibri" w:cs="Times New Roman"/>
        </w:rPr>
        <w:t>.</w:t>
      </w:r>
    </w:p>
    <w:p>
      <w:pPr>
        <w:spacing w:line="360" w:lineRule="auto"/>
        <w:ind w:left="0" w:leftChars="0" w:firstLine="720" w:firstLineChars="0"/>
        <w:jc w:val="both"/>
        <w:rPr>
          <w:rFonts w:ascii="Times New Roman" w:hAnsi="Times New Roman" w:cs="Times New Roman"/>
        </w:rPr>
      </w:pPr>
      <w:r>
        <w:rPr>
          <w:rFonts w:ascii="Times New Roman" w:hAnsi="Times New Roman" w:eastAsia="Calibri" w:cs="Times New Roman"/>
        </w:rPr>
        <w:t>As modalidades de assistência estudantil, como a bolsa de permanência e bolsa de alimentação, cumprem, portanto, o objetivo de proporcionar ao corpo discente a possibilidade de realização e de conclusão de seus cursos de graduação. Desse modo, considerando o que foi dito sobre a democratização do Ensino Superior no país, esses programas apresentam-se como indispensáveis.</w:t>
      </w:r>
    </w:p>
    <w:p>
      <w:pPr>
        <w:spacing w:line="360" w:lineRule="auto"/>
        <w:ind w:left="0" w:hanging="2"/>
        <w:jc w:val="both"/>
        <w:rPr>
          <w:rFonts w:ascii="Times New Roman" w:hAnsi="Times New Roman" w:eastAsia="Calibri" w:cs="Times New Roman"/>
        </w:rPr>
      </w:pPr>
    </w:p>
    <w:p>
      <w:pPr>
        <w:spacing w:line="360" w:lineRule="auto"/>
        <w:ind w:left="0" w:hanging="2"/>
        <w:rPr>
          <w:rFonts w:ascii="Times New Roman" w:hAnsi="Times New Roman" w:cs="Times New Roman"/>
        </w:rPr>
      </w:pPr>
      <w:r>
        <w:rPr>
          <w:rFonts w:ascii="Times New Roman" w:hAnsi="Times New Roman" w:eastAsia="Calibri" w:cs="Times New Roman"/>
          <w:i/>
          <w:color w:val="000000"/>
        </w:rPr>
        <w:t>Programa de Incentivo à Diversidade e Convivência (Pidic) entre outros</w:t>
      </w:r>
    </w:p>
    <w:p>
      <w:pPr>
        <w:spacing w:line="360" w:lineRule="auto"/>
        <w:ind w:left="0" w:hanging="2"/>
        <w:rPr>
          <w:rFonts w:ascii="Times New Roman" w:hAnsi="Times New Roman" w:eastAsia="Calibri" w:cs="Times New Roman"/>
          <w:color w:val="000000"/>
        </w:rPr>
      </w:pPr>
    </w:p>
    <w:p>
      <w:pPr>
        <w:spacing w:line="360" w:lineRule="auto"/>
        <w:ind w:left="0" w:leftChars="0" w:firstLine="720" w:firstLineChars="0"/>
        <w:jc w:val="both"/>
        <w:rPr>
          <w:rFonts w:ascii="Times New Roman" w:hAnsi="Times New Roman" w:cs="Times New Roman"/>
        </w:rPr>
      </w:pPr>
      <w:r>
        <w:rPr>
          <w:rFonts w:ascii="Times New Roman" w:hAnsi="Times New Roman" w:eastAsia="Calibri" w:cs="Times New Roman"/>
        </w:rPr>
        <w:t>O “Programa de Incentivo à Diversidade e Convivência (Pidic) destina-se a implementar atividades de ações afirmativas no âmbito da UFOP de forma articulada ao ensino, à pesquisa e à extensão, visando o atendimento e ampliação das condições de permanência de estudantes regularmente matriculados em cursos de graduação presencial da Universidade Federal de Ouro Preto”</w:t>
      </w:r>
      <w:r>
        <w:rPr>
          <w:rFonts w:ascii="Times New Roman" w:hAnsi="Times New Roman" w:eastAsia="Calibri" w:cs="Times New Roman"/>
          <w:vertAlign w:val="superscript"/>
        </w:rPr>
        <w:footnoteReference w:id="53"/>
      </w:r>
      <w:r>
        <w:rPr>
          <w:rFonts w:ascii="Times New Roman" w:hAnsi="Times New Roman" w:eastAsia="Calibri" w:cs="Times New Roman"/>
        </w:rPr>
        <w:t xml:space="preserve">. Considerar políticas de ações afirmativas não se restringe à adoção de um discurso sobre a diversidade, mas de concebê-la como algo concreto, que deve ganhar espaço nas reflexões realizadas em comum. Nesse sentido, o fomento de reuniões e rodas de </w:t>
      </w:r>
      <w:r>
        <w:rPr>
          <w:rFonts w:ascii="Times New Roman" w:hAnsi="Times New Roman" w:eastAsia="Calibri" w:cs="Times New Roman"/>
          <w:color w:val="000000"/>
        </w:rPr>
        <w:t>conversa acerca de temas como a violência contra a mulher devem pautar o horizonte de discussão no interior da Universidade.</w:t>
      </w:r>
    </w:p>
    <w:p>
      <w:pPr>
        <w:spacing w:line="360" w:lineRule="auto"/>
        <w:ind w:left="0" w:hanging="2"/>
        <w:jc w:val="both"/>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b/>
          <w:color w:val="000000"/>
        </w:rPr>
        <w:t>Pesquisa de desenvolvimento de disciplinas da graduação</w:t>
      </w:r>
    </w:p>
    <w:p>
      <w:pPr>
        <w:spacing w:line="360" w:lineRule="auto"/>
        <w:ind w:left="0" w:hanging="2"/>
        <w:jc w:val="both"/>
        <w:rPr>
          <w:rFonts w:ascii="Times New Roman" w:hAnsi="Times New Roman" w:cs="Times New Roman"/>
        </w:rPr>
      </w:pPr>
      <w:r>
        <w:rPr>
          <w:rFonts w:ascii="Times New Roman" w:hAnsi="Times New Roman" w:eastAsia="Calibri" w:cs="Times New Roman"/>
        </w:rPr>
        <w:tab/>
      </w:r>
      <w:r>
        <w:rPr>
          <w:rFonts w:ascii="Times New Roman" w:hAnsi="Times New Roman" w:eastAsia="Calibri" w:cs="Times New Roman"/>
        </w:rPr>
        <w:tab/>
      </w:r>
      <w:r>
        <w:rPr>
          <w:rFonts w:ascii="Times New Roman" w:hAnsi="Times New Roman" w:eastAsia="Calibri" w:cs="Times New Roman"/>
        </w:rPr>
        <w:t xml:space="preserve">Para o desenvolvimento das disciplinas, desenvolvemos um processo avaliativo da qualidade e adequação das disciplinas ofertadas ao projeto político-pedagógico do curso. O processo se realiza da seguinte forma: os planos de ensino das disciplinas eletivas são entregues ao Colegiado de Curso para prévia avaliação da sua adequação aos Parâmetros Curriculares Nacionais e divulgados ao corpo discente sempre duas semanas antes do fim do semestre anterior àquele em que serão oferecidas. Já a avaliação do desempenho dos professores é feita de forma anônima a cada semestre. Os resultados destas avaliações são apresentados à Assembleia Departamental, ao Colegiado do Curso de História e ao Núcleo Docente Estruturante, que se reúnem periodicamente para propor melhorias para o curso e alternativas para a correção de eventuais problemas.  </w:t>
      </w:r>
    </w:p>
    <w:p>
      <w:pPr>
        <w:spacing w:line="360" w:lineRule="auto"/>
        <w:ind w:left="0" w:hanging="2"/>
        <w:jc w:val="both"/>
        <w:rPr>
          <w:rFonts w:ascii="Times New Roman" w:hAnsi="Times New Roman" w:cs="Times New Roman"/>
        </w:rPr>
      </w:pPr>
      <w:r>
        <w:rPr>
          <w:rFonts w:ascii="Times New Roman" w:hAnsi="Times New Roman" w:eastAsia="Calibri" w:cs="Times New Roman"/>
        </w:rPr>
        <w:tab/>
      </w:r>
      <w:r>
        <w:rPr>
          <w:rFonts w:ascii="Times New Roman" w:hAnsi="Times New Roman" w:eastAsia="Calibri" w:cs="Times New Roman"/>
        </w:rPr>
        <w:tab/>
      </w:r>
      <w:r>
        <w:rPr>
          <w:rFonts w:ascii="Times New Roman" w:hAnsi="Times New Roman" w:eastAsia="Calibri" w:cs="Times New Roman"/>
        </w:rPr>
        <w:t>A Pró-Reitoria de Graduação também disponibiliza um sistema de avaliação e acompanhamento semestral das disciplinas, a Pesquisa de Desenvolvimento de Disciplinas da Graduação da UFOP. Essa pesquisa é respondida por discentes e docentes e é um importante instrumento de análise da prática docente, por meio do qual o Núcleo de Apoio Pedagógico da UFOP oferece aos docentes, discentes e gestores um diagnóstico do ensino desenvolvido na UFOP. A participação dos discentes e docentes nas pesquisas vem aumentando progressivamente em virtude da valorização do processo avaliativo junto à comunidade universitária. Os relatórios dessas pesquisas são divulgados semestralmente e os resultados individuais são repassados aos professores antes do início do semestre seguinte.</w:t>
      </w:r>
    </w:p>
    <w:p>
      <w:pPr>
        <w:spacing w:line="360" w:lineRule="auto"/>
        <w:ind w:left="0" w:hanging="2"/>
        <w:jc w:val="both"/>
        <w:rPr>
          <w:rFonts w:ascii="Times New Roman" w:hAnsi="Times New Roman" w:eastAsia="Calibri" w:cs="Times New Roman"/>
        </w:rPr>
      </w:pPr>
      <w:r>
        <w:rPr>
          <w:rFonts w:ascii="Times New Roman" w:hAnsi="Times New Roman" w:eastAsia="Calibri" w:cs="Times New Roman"/>
        </w:rPr>
        <w:tab/>
      </w:r>
      <w:r>
        <w:rPr>
          <w:rFonts w:ascii="Times New Roman" w:hAnsi="Times New Roman" w:eastAsia="Calibri" w:cs="Times New Roman"/>
        </w:rPr>
        <w:tab/>
      </w:r>
      <w:r>
        <w:rPr>
          <w:rFonts w:ascii="Times New Roman" w:hAnsi="Times New Roman" w:eastAsia="Calibri" w:cs="Times New Roman"/>
        </w:rPr>
        <w:t xml:space="preserve">Outro instrumento avaliativo importante têm sido os formulários que a Pró-Reitoria de Administração disponibiliza para que os discentes, docentes e servidores técnico-administrativos avaliem os professores durante o estágio probatório, que é de três anos. Nesse período, ocorrem três avaliações do desempenho dos professores, no que diz respeito a sua assiduidade, seriedade no cumprimento dos programas de curso, capacidade de iniciativa e disponibilidade para o trabalho, capacidade intelectual para cumprir suas funções, entre outras. </w:t>
      </w:r>
    </w:p>
    <w:p>
      <w:pPr>
        <w:spacing w:line="360" w:lineRule="auto"/>
        <w:ind w:left="0" w:leftChars="0" w:firstLine="720" w:firstLineChars="0"/>
        <w:jc w:val="both"/>
        <w:rPr>
          <w:rFonts w:ascii="Times New Roman" w:hAnsi="Times New Roman" w:cs="Times New Roman"/>
        </w:rPr>
      </w:pPr>
      <w:r>
        <w:rPr>
          <w:rFonts w:ascii="Times New Roman" w:hAnsi="Times New Roman" w:eastAsia="Calibri" w:cs="Times New Roman"/>
        </w:rPr>
        <w:t xml:space="preserve">Tais processos avaliativos e de acompanhamentos das disciplinas contribuem para as reorientações didático-pedagógicas que visam o aprimoramento do curso como um todo, dentro de uma lógica dialógica entre os pares e entre discentes e docentes.  </w:t>
      </w:r>
    </w:p>
    <w:p>
      <w:pPr>
        <w:spacing w:line="360" w:lineRule="auto"/>
        <w:ind w:left="0" w:hanging="2"/>
        <w:jc w:val="both"/>
        <w:rPr>
          <w:rFonts w:ascii="Times New Roman" w:hAnsi="Times New Roman" w:eastAsia="Calibri" w:cs="Times New Roman"/>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b/>
          <w:color w:val="000000"/>
        </w:rPr>
        <w:t>Avaliação do PPC</w:t>
      </w:r>
    </w:p>
    <w:p>
      <w:pPr>
        <w:spacing w:line="360" w:lineRule="auto"/>
        <w:ind w:left="0" w:leftChars="0" w:firstLine="720" w:firstLineChars="0"/>
        <w:jc w:val="both"/>
        <w:rPr>
          <w:rFonts w:ascii="Times New Roman" w:hAnsi="Times New Roman" w:cs="Times New Roman"/>
        </w:rPr>
      </w:pPr>
      <w:r>
        <w:rPr>
          <w:rFonts w:ascii="Times New Roman" w:hAnsi="Times New Roman" w:eastAsia="Calibri" w:cs="Times New Roman"/>
        </w:rPr>
        <w:t xml:space="preserve">O presente PPC será analisado de forma contínua e sistemática pelo Colegiado de Curso e pelo NDE, com a participação de docentes, técnicos-administrativos, da Pró-Reitoria de Graduação e de gestores da UFOP. </w:t>
      </w:r>
    </w:p>
    <w:p>
      <w:pPr>
        <w:spacing w:line="360" w:lineRule="auto"/>
        <w:ind w:left="0" w:leftChars="0" w:firstLine="720" w:firstLineChars="0"/>
        <w:jc w:val="both"/>
        <w:rPr>
          <w:rFonts w:ascii="Times New Roman" w:hAnsi="Times New Roman" w:cs="Times New Roman"/>
        </w:rPr>
      </w:pPr>
      <w:r>
        <w:rPr>
          <w:rFonts w:ascii="Times New Roman" w:hAnsi="Times New Roman" w:eastAsia="Calibri" w:cs="Times New Roman"/>
        </w:rPr>
        <w:t xml:space="preserve">A avaliação do PPC visará ao aprimoramento do atual projeto, a cada três anos, a partir da sua aprovação, ou sempre que houver a necessidade de fazer alterações das diretrizes do curso, particularmente a partir da formação da primeira turma regida pela atual organização e matriz curricular. </w:t>
      </w:r>
    </w:p>
    <w:p>
      <w:pPr>
        <w:spacing w:line="360" w:lineRule="auto"/>
        <w:ind w:left="0" w:leftChars="0" w:firstLine="720" w:firstLineChars="0"/>
        <w:jc w:val="both"/>
        <w:rPr>
          <w:rFonts w:ascii="Times New Roman" w:hAnsi="Times New Roman" w:cs="Times New Roman"/>
        </w:rPr>
      </w:pPr>
      <w:r>
        <w:rPr>
          <w:rFonts w:ascii="Times New Roman" w:hAnsi="Times New Roman" w:eastAsia="Calibri" w:cs="Times New Roman"/>
        </w:rPr>
        <w:t>Cabe ressaltar que o Cohis e o NDE acompanharão de forma estreita a implementação e o desenvolvimento do PPC do curso, com o objetivo de orientar as pessoas envolvidas, bem como de aprimorar e atualizar o documento sempre que necessário, por meio de reuniões — inclusive no interior das assembleias departamentais  — encontros e oficinas.</w:t>
      </w:r>
    </w:p>
    <w:p>
      <w:pPr>
        <w:spacing w:line="360" w:lineRule="auto"/>
        <w:ind w:left="0" w:hanging="2"/>
        <w:jc w:val="both"/>
        <w:rPr>
          <w:rFonts w:ascii="Times New Roman" w:hAnsi="Times New Roman" w:eastAsia="Calibri" w:cs="Times New Roman"/>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b/>
          <w:color w:val="000000"/>
        </w:rPr>
        <w:t>Infraestrutura</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p>
      <w:pPr>
        <w:spacing w:line="360" w:lineRule="auto"/>
        <w:ind w:left="0" w:hanging="2"/>
        <w:jc w:val="both"/>
        <w:rPr>
          <w:rFonts w:ascii="Times New Roman" w:hAnsi="Times New Roman" w:cs="Times New Roman"/>
        </w:rPr>
      </w:pPr>
      <w:r>
        <w:rPr>
          <w:rFonts w:ascii="Times New Roman" w:hAnsi="Times New Roman" w:eastAsia="Calibri" w:cs="Times New Roman"/>
        </w:rPr>
        <w:tab/>
      </w:r>
      <w:r>
        <w:rPr>
          <w:rFonts w:ascii="Times New Roman" w:hAnsi="Times New Roman" w:eastAsia="Calibri" w:cs="Times New Roman"/>
        </w:rPr>
        <w:tab/>
      </w:r>
      <w:r>
        <w:rPr>
          <w:rFonts w:ascii="Times New Roman" w:hAnsi="Times New Roman" w:eastAsia="Calibri" w:cs="Times New Roman"/>
        </w:rPr>
        <w:t>O curso de Licenciatura em História desenvolve suas atividades de pesquisa, ensino e extensão no Instituto de Ciência Humanas e Sociais, da Universidade Federal de Ouro Preto, localizado na cidade de Mariana. O Instituto abriga atualmente quatro conjuntos, a saber, dois prédios de salas de aula; um prédio administrativo, onde estão as secretarias de departamento e dos programas de pós-graduação, gabinetes de professores, salas de reunião, a direção e o Centro de Extensão (Cemar); e um prédio anexo, que abriga a biblioteca, o auditório, o setor de pós-graduação e salas de grupos de pesquisa dos departamentos de História e Letras, além do Laboratório de Pesquisa e Extensão em História (LPH), que atualmente conserva o Arquivo Histórico da Câmara Municipal de Mariana.</w:t>
      </w:r>
    </w:p>
    <w:p>
      <w:pPr>
        <w:spacing w:line="360" w:lineRule="auto"/>
        <w:ind w:left="0" w:hanging="2"/>
        <w:jc w:val="both"/>
        <w:rPr>
          <w:rFonts w:ascii="Times New Roman" w:hAnsi="Times New Roman" w:cs="Times New Roman"/>
        </w:rPr>
      </w:pPr>
      <w:r>
        <w:rPr>
          <w:rFonts w:ascii="Times New Roman" w:hAnsi="Times New Roman" w:eastAsia="Calibri" w:cs="Times New Roman"/>
        </w:rPr>
        <w:tab/>
      </w:r>
      <w:r>
        <w:rPr>
          <w:rFonts w:ascii="Times New Roman" w:hAnsi="Times New Roman" w:eastAsia="Calibri" w:cs="Times New Roman"/>
        </w:rPr>
        <w:tab/>
      </w:r>
      <w:r>
        <w:rPr>
          <w:rFonts w:ascii="Times New Roman" w:hAnsi="Times New Roman" w:eastAsia="Calibri" w:cs="Times New Roman"/>
        </w:rPr>
        <w:t xml:space="preserve">No tocante às condições de acesso para pessoas com deficiência e/ou mobilidade reduzida, o Prédio Novo (Reuni), de salas de aula, possui elevador, assim como o prédio anexo. O Prédio Antigo de salas de aula não possui elevador, tendo apenas rampas para acesso às salas de aula localizadas no térreo. O prédio administrativo possui rampas de acesso ao pátio central. A dificuldade maior encontra-se no acesso entre este prédio e o prédio anexo, possível atualmente apenas por uma escadaria, ou pela entrada localizada ao lado do Museu da Música. Estão, portanto, parcialmente contempladas as exigências do Decreto n° 5296/2004, que estabelece normas gerais e critérios básicos para a promoção da acessibilidade das pessoas portadoras de deficiência ou com mobilidade reduzida. No que se refere aos “serviços de atendimento para pessoas com deficiência auditiva, prestado por intérpretes ou pessoas capacitadas em Língua Brasileira de Sinais (Libras) e no trato com aquelas que não se comuniquem em Libras, e para pessoas surdocegas, prestado por guias-intérpretes ou pessoas capacitadas neste tipo de atendimento” (Decreto n° 5296/2004, art. 6º, parágrafo 1, inciso 3), o curso é auxiliado pela Coordenadoria de Acessibilidade e Inclusão (CAIN) a que disponibiliza intérpretes de Libras para acompanhamento dos estudantes em sala de aula. </w:t>
      </w:r>
    </w:p>
    <w:p>
      <w:pPr>
        <w:spacing w:line="360" w:lineRule="auto"/>
        <w:ind w:left="0" w:hanging="2"/>
        <w:jc w:val="both"/>
        <w:rPr>
          <w:rFonts w:ascii="Times New Roman" w:hAnsi="Times New Roman" w:cs="Times New Roman"/>
        </w:rPr>
      </w:pPr>
      <w:r>
        <w:rPr>
          <w:rFonts w:ascii="Times New Roman" w:hAnsi="Times New Roman" w:eastAsia="Calibri" w:cs="Times New Roman"/>
        </w:rPr>
        <w:tab/>
      </w:r>
      <w:r>
        <w:rPr>
          <w:rFonts w:ascii="Times New Roman" w:hAnsi="Times New Roman" w:eastAsia="Calibri" w:cs="Times New Roman"/>
        </w:rPr>
        <w:tab/>
      </w:r>
      <w:r>
        <w:rPr>
          <w:rFonts w:ascii="Times New Roman" w:hAnsi="Times New Roman" w:eastAsia="Calibri" w:cs="Times New Roman"/>
        </w:rPr>
        <w:t>As atividades de ensino de graduação têm à disposição 15 salas de aula no Prédio Antigo, com um total de 443 lugares, e 12 salas de aula no Prédio Novo (Reuni), com um total de 480 lugares. As salas são equipadas com datashow, permitindo o uso de recursos audiovisuais para ensino e aprendizagem. A cada semestre, o curso de História utiliza cerca de dez salas de aula, com capacidade de 30 a 50 lugares, para as disciplinas obrigatórias e eletivas, nos turnos da manhã e noite.</w:t>
      </w:r>
    </w:p>
    <w:p>
      <w:pPr>
        <w:spacing w:line="360" w:lineRule="auto"/>
        <w:ind w:left="0" w:hanging="2"/>
        <w:jc w:val="both"/>
        <w:rPr>
          <w:rFonts w:ascii="Times New Roman" w:hAnsi="Times New Roman" w:eastAsia="Calibri" w:cs="Times New Roman"/>
        </w:rPr>
      </w:pPr>
    </w:p>
    <w:p>
      <w:pPr>
        <w:spacing w:line="360" w:lineRule="auto"/>
        <w:ind w:left="0" w:leftChars="0" w:firstLine="720" w:firstLineChars="0"/>
        <w:jc w:val="both"/>
        <w:rPr>
          <w:rFonts w:ascii="Times New Roman" w:hAnsi="Times New Roman" w:cs="Times New Roman"/>
        </w:rPr>
      </w:pPr>
      <w:r>
        <w:rPr>
          <w:rFonts w:ascii="Times New Roman" w:hAnsi="Times New Roman" w:eastAsia="Calibri" w:cs="Times New Roman"/>
        </w:rPr>
        <w:t>O Departamento de História conta com sete grupos de pesquisa e um laboratório de pesquisa, discriminados abaixo com suas localizações:</w:t>
      </w:r>
    </w:p>
    <w:p>
      <w:pPr>
        <w:spacing w:line="360" w:lineRule="auto"/>
        <w:ind w:left="0" w:hanging="2"/>
        <w:jc w:val="both"/>
        <w:rPr>
          <w:rFonts w:ascii="Times New Roman" w:hAnsi="Times New Roman" w:eastAsia="Calibri" w:cs="Times New Roman"/>
        </w:rPr>
      </w:pPr>
    </w:p>
    <w:tbl>
      <w:tblPr>
        <w:tblStyle w:val="479"/>
        <w:tblW w:w="8491" w:type="dxa"/>
        <w:jc w:val="center"/>
        <w:tblLayout w:type="fixed"/>
        <w:tblCellMar>
          <w:top w:w="0" w:type="dxa"/>
          <w:left w:w="108" w:type="dxa"/>
          <w:bottom w:w="0" w:type="dxa"/>
          <w:right w:w="108" w:type="dxa"/>
        </w:tblCellMar>
      </w:tblPr>
      <w:tblGrid>
        <w:gridCol w:w="5036"/>
        <w:gridCol w:w="3455"/>
      </w:tblGrid>
      <w:tr>
        <w:tblPrEx>
          <w:tblCellMar>
            <w:top w:w="0" w:type="dxa"/>
            <w:left w:w="108" w:type="dxa"/>
            <w:bottom w:w="0" w:type="dxa"/>
            <w:right w:w="108" w:type="dxa"/>
          </w:tblCellMar>
        </w:tblPrEx>
        <w:trPr>
          <w:jc w:val="center"/>
        </w:trPr>
        <w:tc>
          <w:tcPr>
            <w:tcW w:w="8491" w:type="dxa"/>
            <w:gridSpan w:val="2"/>
            <w:tcBorders>
              <w:top w:val="single" w:color="000000" w:sz="4" w:space="0"/>
              <w:left w:val="single" w:color="000000" w:sz="4" w:space="0"/>
              <w:bottom w:val="single" w:color="000000" w:sz="4" w:space="0"/>
              <w:right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Calibri" w:cs="Times New Roman"/>
                <w:b/>
              </w:rPr>
              <w:t>Tabela 11 - Grupos de Pesquisa e Laboratório de Estudos</w:t>
            </w:r>
          </w:p>
        </w:tc>
      </w:tr>
      <w:tr>
        <w:tblPrEx>
          <w:tblCellMar>
            <w:top w:w="0" w:type="dxa"/>
            <w:left w:w="108" w:type="dxa"/>
            <w:bottom w:w="0" w:type="dxa"/>
            <w:right w:w="108" w:type="dxa"/>
          </w:tblCellMar>
        </w:tblPrEx>
        <w:trPr>
          <w:jc w:val="center"/>
        </w:trPr>
        <w:tc>
          <w:tcPr>
            <w:tcW w:w="5036" w:type="dxa"/>
            <w:tcBorders>
              <w:top w:val="single" w:color="000000" w:sz="4" w:space="0"/>
              <w:left w:val="single" w:color="000000" w:sz="4" w:space="0"/>
              <w:bottom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Calibri" w:cs="Times New Roman"/>
                <w:b/>
              </w:rPr>
              <w:t>Nome</w:t>
            </w:r>
          </w:p>
        </w:tc>
        <w:tc>
          <w:tcPr>
            <w:tcW w:w="3455" w:type="dxa"/>
            <w:tcBorders>
              <w:top w:val="single" w:color="000000" w:sz="4" w:space="0"/>
              <w:left w:val="single" w:color="000000" w:sz="4" w:space="0"/>
              <w:bottom w:val="single" w:color="000000" w:sz="4" w:space="0"/>
              <w:right w:val="single" w:color="000000" w:sz="4" w:space="0"/>
            </w:tcBorders>
          </w:tcPr>
          <w:p>
            <w:pPr>
              <w:spacing w:line="360" w:lineRule="auto"/>
              <w:ind w:left="0" w:hanging="2"/>
              <w:jc w:val="both"/>
              <w:rPr>
                <w:rFonts w:ascii="Times New Roman" w:hAnsi="Times New Roman" w:cs="Times New Roman"/>
              </w:rPr>
            </w:pPr>
            <w:r>
              <w:rPr>
                <w:rFonts w:ascii="Times New Roman" w:hAnsi="Times New Roman" w:eastAsia="Calibri" w:cs="Times New Roman"/>
                <w:b/>
              </w:rPr>
              <w:t>Localização</w:t>
            </w:r>
          </w:p>
        </w:tc>
      </w:tr>
      <w:tr>
        <w:tblPrEx>
          <w:tblCellMar>
            <w:top w:w="0" w:type="dxa"/>
            <w:left w:w="108" w:type="dxa"/>
            <w:bottom w:w="0" w:type="dxa"/>
            <w:right w:w="108" w:type="dxa"/>
          </w:tblCellMar>
        </w:tblPrEx>
        <w:trPr>
          <w:jc w:val="center"/>
        </w:trPr>
        <w:tc>
          <w:tcPr>
            <w:tcW w:w="5036" w:type="dxa"/>
            <w:tcBorders>
              <w:top w:val="single" w:color="000000" w:sz="4" w:space="0"/>
              <w:left w:val="single" w:color="000000" w:sz="4"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Calibri" w:cs="Times New Roman"/>
              </w:rPr>
              <w:t>Laboratório de Ensino de História (Lehis)</w:t>
            </w:r>
          </w:p>
          <w:p>
            <w:pPr>
              <w:spacing w:line="360" w:lineRule="auto"/>
              <w:ind w:left="0" w:hanging="2"/>
              <w:rPr>
                <w:rFonts w:ascii="Times New Roman" w:hAnsi="Times New Roman" w:eastAsia="Calibri" w:cs="Times New Roman"/>
              </w:rPr>
            </w:pPr>
          </w:p>
        </w:tc>
        <w:tc>
          <w:tcPr>
            <w:tcW w:w="3455" w:type="dxa"/>
            <w:tcBorders>
              <w:top w:val="single" w:color="000000" w:sz="4" w:space="0"/>
              <w:left w:val="single" w:color="000000" w:sz="4" w:space="0"/>
              <w:bottom w:val="single" w:color="000000" w:sz="4" w:space="0"/>
              <w:right w:val="single" w:color="000000" w:sz="4" w:space="0"/>
            </w:tcBorders>
          </w:tcPr>
          <w:p>
            <w:pPr>
              <w:spacing w:line="360" w:lineRule="auto"/>
              <w:ind w:left="0" w:hanging="2"/>
              <w:rPr>
                <w:rFonts w:ascii="Times New Roman" w:hAnsi="Times New Roman" w:cs="Times New Roman"/>
              </w:rPr>
            </w:pPr>
            <w:r>
              <w:rPr>
                <w:rFonts w:ascii="Times New Roman" w:hAnsi="Times New Roman" w:eastAsia="Calibri" w:cs="Times New Roman"/>
              </w:rPr>
              <w:t>Uma sala no prédio velho</w:t>
            </w:r>
          </w:p>
        </w:tc>
      </w:tr>
      <w:tr>
        <w:tblPrEx>
          <w:tblCellMar>
            <w:top w:w="0" w:type="dxa"/>
            <w:left w:w="108" w:type="dxa"/>
            <w:bottom w:w="0" w:type="dxa"/>
            <w:right w:w="108" w:type="dxa"/>
          </w:tblCellMar>
        </w:tblPrEx>
        <w:trPr>
          <w:jc w:val="center"/>
        </w:trPr>
        <w:tc>
          <w:tcPr>
            <w:tcW w:w="5036" w:type="dxa"/>
            <w:tcBorders>
              <w:top w:val="single" w:color="000000" w:sz="4" w:space="0"/>
              <w:left w:val="single" w:color="000000" w:sz="4"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Calibri" w:cs="Times New Roman"/>
              </w:rPr>
              <w:t>Grupo de Pesquisa “Impérios e Lugares do Brasil” (ILB)</w:t>
            </w:r>
          </w:p>
        </w:tc>
        <w:tc>
          <w:tcPr>
            <w:tcW w:w="3455" w:type="dxa"/>
            <w:tcBorders>
              <w:top w:val="single" w:color="000000" w:sz="4" w:space="0"/>
              <w:left w:val="single" w:color="000000" w:sz="4" w:space="0"/>
              <w:bottom w:val="single" w:color="000000" w:sz="4" w:space="0"/>
              <w:right w:val="single" w:color="000000" w:sz="4" w:space="0"/>
            </w:tcBorders>
          </w:tcPr>
          <w:p>
            <w:pPr>
              <w:spacing w:line="360" w:lineRule="auto"/>
              <w:ind w:left="0" w:hanging="2"/>
              <w:rPr>
                <w:rFonts w:ascii="Times New Roman" w:hAnsi="Times New Roman" w:cs="Times New Roman"/>
              </w:rPr>
            </w:pPr>
            <w:r>
              <w:rPr>
                <w:rFonts w:ascii="Times New Roman" w:hAnsi="Times New Roman" w:eastAsia="Calibri" w:cs="Times New Roman"/>
              </w:rPr>
              <w:t>Uma sala (±10 m</w:t>
            </w:r>
            <w:r>
              <w:rPr>
                <w:rFonts w:ascii="Times New Roman" w:hAnsi="Times New Roman" w:eastAsia="Calibri" w:cs="Times New Roman"/>
                <w:vertAlign w:val="superscript"/>
              </w:rPr>
              <w:t>2</w:t>
            </w:r>
            <w:r>
              <w:rPr>
                <w:rFonts w:ascii="Times New Roman" w:hAnsi="Times New Roman" w:eastAsia="Calibri" w:cs="Times New Roman"/>
              </w:rPr>
              <w:t>) no prédio anexo à Biblioteca do ICHS</w:t>
            </w:r>
          </w:p>
        </w:tc>
      </w:tr>
      <w:tr>
        <w:tblPrEx>
          <w:tblCellMar>
            <w:top w:w="0" w:type="dxa"/>
            <w:left w:w="108" w:type="dxa"/>
            <w:bottom w:w="0" w:type="dxa"/>
            <w:right w:w="108" w:type="dxa"/>
          </w:tblCellMar>
        </w:tblPrEx>
        <w:trPr>
          <w:jc w:val="center"/>
        </w:trPr>
        <w:tc>
          <w:tcPr>
            <w:tcW w:w="5036" w:type="dxa"/>
            <w:tcBorders>
              <w:top w:val="single" w:color="000000" w:sz="4" w:space="0"/>
              <w:left w:val="single" w:color="000000" w:sz="4"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Calibri" w:cs="Times New Roman"/>
              </w:rPr>
              <w:t>Grupo de Pesquisa “Grupo de Estudos sobre História das Américas” (Geha)</w:t>
            </w:r>
          </w:p>
        </w:tc>
        <w:tc>
          <w:tcPr>
            <w:tcW w:w="3455" w:type="dxa"/>
            <w:tcBorders>
              <w:top w:val="single" w:color="000000" w:sz="4" w:space="0"/>
              <w:left w:val="single" w:color="000000" w:sz="4" w:space="0"/>
              <w:bottom w:val="single" w:color="000000" w:sz="4" w:space="0"/>
              <w:right w:val="single" w:color="000000" w:sz="4" w:space="0"/>
            </w:tcBorders>
          </w:tcPr>
          <w:p>
            <w:pPr>
              <w:spacing w:line="360" w:lineRule="auto"/>
              <w:ind w:left="0" w:hanging="2"/>
              <w:rPr>
                <w:rFonts w:ascii="Times New Roman" w:hAnsi="Times New Roman" w:cs="Times New Roman"/>
              </w:rPr>
            </w:pPr>
            <w:r>
              <w:rPr>
                <w:rFonts w:ascii="Times New Roman" w:hAnsi="Times New Roman" w:eastAsia="Calibri" w:cs="Times New Roman"/>
              </w:rPr>
              <w:t>Uma sala (±10 m</w:t>
            </w:r>
            <w:r>
              <w:rPr>
                <w:rFonts w:ascii="Times New Roman" w:hAnsi="Times New Roman" w:eastAsia="Calibri" w:cs="Times New Roman"/>
                <w:vertAlign w:val="superscript"/>
              </w:rPr>
              <w:t>2</w:t>
            </w:r>
            <w:r>
              <w:rPr>
                <w:rFonts w:ascii="Times New Roman" w:hAnsi="Times New Roman" w:eastAsia="Calibri" w:cs="Times New Roman"/>
              </w:rPr>
              <w:t>) no prédio anexo à Biblioteca do ICHS</w:t>
            </w:r>
          </w:p>
        </w:tc>
      </w:tr>
      <w:tr>
        <w:tblPrEx>
          <w:tblCellMar>
            <w:top w:w="0" w:type="dxa"/>
            <w:left w:w="108" w:type="dxa"/>
            <w:bottom w:w="0" w:type="dxa"/>
            <w:right w:w="108" w:type="dxa"/>
          </w:tblCellMar>
        </w:tblPrEx>
        <w:trPr>
          <w:jc w:val="center"/>
        </w:trPr>
        <w:tc>
          <w:tcPr>
            <w:tcW w:w="5036" w:type="dxa"/>
            <w:tcBorders>
              <w:top w:val="single" w:color="000000" w:sz="4" w:space="0"/>
              <w:left w:val="single" w:color="000000" w:sz="4"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Calibri" w:cs="Times New Roman"/>
              </w:rPr>
              <w:t>Grupo de Pesquisa “Justiça, Administração e Luta Social” (Jals)</w:t>
            </w:r>
          </w:p>
        </w:tc>
        <w:tc>
          <w:tcPr>
            <w:tcW w:w="3455" w:type="dxa"/>
            <w:tcBorders>
              <w:top w:val="single" w:color="000000" w:sz="4" w:space="0"/>
              <w:left w:val="single" w:color="000000" w:sz="4" w:space="0"/>
              <w:bottom w:val="single" w:color="000000" w:sz="4" w:space="0"/>
              <w:right w:val="single" w:color="000000" w:sz="4" w:space="0"/>
            </w:tcBorders>
          </w:tcPr>
          <w:p>
            <w:pPr>
              <w:spacing w:line="360" w:lineRule="auto"/>
              <w:ind w:left="0" w:hanging="2"/>
              <w:rPr>
                <w:rFonts w:ascii="Times New Roman" w:hAnsi="Times New Roman" w:cs="Times New Roman"/>
              </w:rPr>
            </w:pPr>
            <w:r>
              <w:rPr>
                <w:rFonts w:ascii="Times New Roman" w:hAnsi="Times New Roman" w:eastAsia="Calibri" w:cs="Times New Roman"/>
              </w:rPr>
              <w:t>Uma sala (±10 m</w:t>
            </w:r>
            <w:r>
              <w:rPr>
                <w:rFonts w:ascii="Times New Roman" w:hAnsi="Times New Roman" w:eastAsia="Calibri" w:cs="Times New Roman"/>
                <w:vertAlign w:val="superscript"/>
              </w:rPr>
              <w:t>2</w:t>
            </w:r>
            <w:r>
              <w:rPr>
                <w:rFonts w:ascii="Times New Roman" w:hAnsi="Times New Roman" w:eastAsia="Calibri" w:cs="Times New Roman"/>
              </w:rPr>
              <w:t>) no prédio anexo à Biblioteca do ICHS</w:t>
            </w:r>
          </w:p>
        </w:tc>
      </w:tr>
      <w:tr>
        <w:tblPrEx>
          <w:tblCellMar>
            <w:top w:w="0" w:type="dxa"/>
            <w:left w:w="108" w:type="dxa"/>
            <w:bottom w:w="0" w:type="dxa"/>
            <w:right w:w="108" w:type="dxa"/>
          </w:tblCellMar>
        </w:tblPrEx>
        <w:trPr>
          <w:jc w:val="center"/>
        </w:trPr>
        <w:tc>
          <w:tcPr>
            <w:tcW w:w="5036" w:type="dxa"/>
            <w:tcBorders>
              <w:top w:val="single" w:color="000000" w:sz="4" w:space="0"/>
              <w:left w:val="single" w:color="000000" w:sz="4"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Calibri" w:cs="Times New Roman"/>
              </w:rPr>
              <w:t>Grupo de Pesquisa “Laboratório de Estudos sobre o Império Romano” (Leir)</w:t>
            </w:r>
          </w:p>
        </w:tc>
        <w:tc>
          <w:tcPr>
            <w:tcW w:w="3455" w:type="dxa"/>
            <w:tcBorders>
              <w:top w:val="single" w:color="000000" w:sz="4" w:space="0"/>
              <w:left w:val="single" w:color="000000" w:sz="4" w:space="0"/>
              <w:bottom w:val="single" w:color="000000" w:sz="4" w:space="0"/>
              <w:right w:val="single" w:color="000000" w:sz="4" w:space="0"/>
            </w:tcBorders>
          </w:tcPr>
          <w:p>
            <w:pPr>
              <w:spacing w:line="360" w:lineRule="auto"/>
              <w:ind w:left="0" w:hanging="2"/>
              <w:rPr>
                <w:rFonts w:ascii="Times New Roman" w:hAnsi="Times New Roman" w:cs="Times New Roman"/>
              </w:rPr>
            </w:pPr>
            <w:r>
              <w:rPr>
                <w:rFonts w:ascii="Times New Roman" w:hAnsi="Times New Roman" w:eastAsia="Calibri" w:cs="Times New Roman"/>
              </w:rPr>
              <w:t>Uma sala (±10 m</w:t>
            </w:r>
            <w:r>
              <w:rPr>
                <w:rFonts w:ascii="Times New Roman" w:hAnsi="Times New Roman" w:eastAsia="Calibri" w:cs="Times New Roman"/>
                <w:vertAlign w:val="superscript"/>
              </w:rPr>
              <w:t>2</w:t>
            </w:r>
            <w:r>
              <w:rPr>
                <w:rFonts w:ascii="Times New Roman" w:hAnsi="Times New Roman" w:eastAsia="Calibri" w:cs="Times New Roman"/>
              </w:rPr>
              <w:t>) no prédio anexo à Biblioteca do ICHS</w:t>
            </w:r>
          </w:p>
        </w:tc>
      </w:tr>
      <w:tr>
        <w:tblPrEx>
          <w:tblCellMar>
            <w:top w:w="0" w:type="dxa"/>
            <w:left w:w="108" w:type="dxa"/>
            <w:bottom w:w="0" w:type="dxa"/>
            <w:right w:w="108" w:type="dxa"/>
          </w:tblCellMar>
        </w:tblPrEx>
        <w:trPr>
          <w:jc w:val="center"/>
        </w:trPr>
        <w:tc>
          <w:tcPr>
            <w:tcW w:w="5036" w:type="dxa"/>
            <w:tcBorders>
              <w:top w:val="single" w:color="000000" w:sz="4" w:space="0"/>
              <w:left w:val="single" w:color="000000" w:sz="4"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Calibri" w:cs="Times New Roman"/>
              </w:rPr>
              <w:t>Grupo de Pesquisa “Laboratório de Ensino de História” (Lehis)</w:t>
            </w:r>
          </w:p>
        </w:tc>
        <w:tc>
          <w:tcPr>
            <w:tcW w:w="3455" w:type="dxa"/>
            <w:tcBorders>
              <w:top w:val="single" w:color="000000" w:sz="4" w:space="0"/>
              <w:left w:val="single" w:color="000000" w:sz="4" w:space="0"/>
              <w:bottom w:val="single" w:color="000000" w:sz="4" w:space="0"/>
              <w:right w:val="single" w:color="000000" w:sz="4" w:space="0"/>
            </w:tcBorders>
          </w:tcPr>
          <w:p>
            <w:pPr>
              <w:spacing w:line="360" w:lineRule="auto"/>
              <w:ind w:left="0" w:hanging="2"/>
              <w:rPr>
                <w:rFonts w:ascii="Times New Roman" w:hAnsi="Times New Roman" w:cs="Times New Roman"/>
              </w:rPr>
            </w:pPr>
            <w:r>
              <w:rPr>
                <w:rFonts w:ascii="Times New Roman" w:hAnsi="Times New Roman" w:eastAsia="Calibri" w:cs="Times New Roman"/>
              </w:rPr>
              <w:t>Uma sala (±10 m</w:t>
            </w:r>
            <w:r>
              <w:rPr>
                <w:rFonts w:ascii="Times New Roman" w:hAnsi="Times New Roman" w:eastAsia="Calibri" w:cs="Times New Roman"/>
                <w:vertAlign w:val="superscript"/>
              </w:rPr>
              <w:t>2</w:t>
            </w:r>
            <w:r>
              <w:rPr>
                <w:rFonts w:ascii="Times New Roman" w:hAnsi="Times New Roman" w:eastAsia="Calibri" w:cs="Times New Roman"/>
              </w:rPr>
              <w:t>) no prédio anexo à Biblioteca do ICHS</w:t>
            </w:r>
          </w:p>
        </w:tc>
      </w:tr>
      <w:tr>
        <w:tblPrEx>
          <w:tblCellMar>
            <w:top w:w="0" w:type="dxa"/>
            <w:left w:w="108" w:type="dxa"/>
            <w:bottom w:w="0" w:type="dxa"/>
            <w:right w:w="108" w:type="dxa"/>
          </w:tblCellMar>
        </w:tblPrEx>
        <w:trPr>
          <w:jc w:val="center"/>
        </w:trPr>
        <w:tc>
          <w:tcPr>
            <w:tcW w:w="5036" w:type="dxa"/>
            <w:tcBorders>
              <w:top w:val="single" w:color="000000" w:sz="4" w:space="0"/>
              <w:left w:val="single" w:color="000000" w:sz="4"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Calibri" w:cs="Times New Roman"/>
              </w:rPr>
              <w:t>Grupo de Pesquisa “Laboratório de Estudos Medievais” (Leme)</w:t>
            </w:r>
          </w:p>
        </w:tc>
        <w:tc>
          <w:tcPr>
            <w:tcW w:w="3455" w:type="dxa"/>
            <w:tcBorders>
              <w:top w:val="single" w:color="000000" w:sz="4" w:space="0"/>
              <w:left w:val="single" w:color="000000" w:sz="4" w:space="0"/>
              <w:bottom w:val="single" w:color="000000" w:sz="4" w:space="0"/>
              <w:right w:val="single" w:color="000000" w:sz="4" w:space="0"/>
            </w:tcBorders>
          </w:tcPr>
          <w:p>
            <w:pPr>
              <w:spacing w:line="360" w:lineRule="auto"/>
              <w:ind w:left="0" w:hanging="2"/>
              <w:rPr>
                <w:rFonts w:ascii="Times New Roman" w:hAnsi="Times New Roman" w:cs="Times New Roman"/>
              </w:rPr>
            </w:pPr>
            <w:r>
              <w:rPr>
                <w:rFonts w:ascii="Times New Roman" w:hAnsi="Times New Roman" w:eastAsia="Calibri" w:cs="Times New Roman"/>
              </w:rPr>
              <w:t>Uma sala (±10 m</w:t>
            </w:r>
            <w:r>
              <w:rPr>
                <w:rFonts w:ascii="Times New Roman" w:hAnsi="Times New Roman" w:eastAsia="Calibri" w:cs="Times New Roman"/>
                <w:vertAlign w:val="superscript"/>
              </w:rPr>
              <w:t>2</w:t>
            </w:r>
            <w:r>
              <w:rPr>
                <w:rFonts w:ascii="Times New Roman" w:hAnsi="Times New Roman" w:eastAsia="Calibri" w:cs="Times New Roman"/>
              </w:rPr>
              <w:t>) no prédio administrativo</w:t>
            </w:r>
          </w:p>
        </w:tc>
      </w:tr>
      <w:tr>
        <w:tblPrEx>
          <w:tblCellMar>
            <w:top w:w="0" w:type="dxa"/>
            <w:left w:w="108" w:type="dxa"/>
            <w:bottom w:w="0" w:type="dxa"/>
            <w:right w:w="108" w:type="dxa"/>
          </w:tblCellMar>
        </w:tblPrEx>
        <w:trPr>
          <w:trHeight w:val="820" w:hRule="atLeast"/>
          <w:jc w:val="center"/>
        </w:trPr>
        <w:tc>
          <w:tcPr>
            <w:tcW w:w="5036" w:type="dxa"/>
            <w:tcBorders>
              <w:top w:val="single" w:color="000000" w:sz="4" w:space="0"/>
              <w:left w:val="single" w:color="000000" w:sz="4"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Calibri" w:cs="Times New Roman"/>
              </w:rPr>
              <w:t>Laboratório de Pesquisa, Ensino e Extensão em História (LPH)</w:t>
            </w:r>
          </w:p>
        </w:tc>
        <w:tc>
          <w:tcPr>
            <w:tcW w:w="3455" w:type="dxa"/>
            <w:tcBorders>
              <w:top w:val="single" w:color="000000" w:sz="4" w:space="0"/>
              <w:left w:val="single" w:color="000000" w:sz="4" w:space="0"/>
              <w:bottom w:val="single" w:color="000000" w:sz="4" w:space="0"/>
              <w:right w:val="single" w:color="000000" w:sz="4" w:space="0"/>
            </w:tcBorders>
          </w:tcPr>
          <w:p>
            <w:pPr>
              <w:spacing w:line="360" w:lineRule="auto"/>
              <w:ind w:left="0" w:hanging="2"/>
              <w:rPr>
                <w:rFonts w:ascii="Times New Roman" w:hAnsi="Times New Roman" w:cs="Times New Roman"/>
              </w:rPr>
            </w:pPr>
            <w:r>
              <w:rPr>
                <w:rFonts w:ascii="Times New Roman" w:hAnsi="Times New Roman" w:eastAsia="Calibri" w:cs="Times New Roman"/>
              </w:rPr>
              <w:t>Três salas (± 30 m</w:t>
            </w:r>
            <w:r>
              <w:rPr>
                <w:rFonts w:ascii="Times New Roman" w:hAnsi="Times New Roman" w:eastAsia="Calibri" w:cs="Times New Roman"/>
                <w:vertAlign w:val="superscript"/>
              </w:rPr>
              <w:t>2</w:t>
            </w:r>
            <w:r>
              <w:rPr>
                <w:rFonts w:ascii="Times New Roman" w:hAnsi="Times New Roman" w:eastAsia="Calibri" w:cs="Times New Roman"/>
              </w:rPr>
              <w:t>, no total) no prédio anexo à Biblioteca do ICHS</w:t>
            </w:r>
          </w:p>
        </w:tc>
      </w:tr>
      <w:tr>
        <w:tblPrEx>
          <w:tblCellMar>
            <w:top w:w="0" w:type="dxa"/>
            <w:left w:w="108" w:type="dxa"/>
            <w:bottom w:w="0" w:type="dxa"/>
            <w:right w:w="108" w:type="dxa"/>
          </w:tblCellMar>
        </w:tblPrEx>
        <w:trPr>
          <w:jc w:val="center"/>
        </w:trPr>
        <w:tc>
          <w:tcPr>
            <w:tcW w:w="5036" w:type="dxa"/>
            <w:tcBorders>
              <w:top w:val="single" w:color="000000" w:sz="4" w:space="0"/>
              <w:left w:val="single" w:color="000000" w:sz="4"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Calibri" w:cs="Times New Roman"/>
              </w:rPr>
              <w:t>Núcleo de Estudos em História da Historiografia e Modernidade (Nehm)</w:t>
            </w:r>
          </w:p>
        </w:tc>
        <w:tc>
          <w:tcPr>
            <w:tcW w:w="3455" w:type="dxa"/>
            <w:tcBorders>
              <w:top w:val="single" w:color="000000" w:sz="4" w:space="0"/>
              <w:left w:val="single" w:color="000000" w:sz="4" w:space="0"/>
              <w:bottom w:val="single" w:color="000000" w:sz="4" w:space="0"/>
              <w:right w:val="single" w:color="000000" w:sz="4" w:space="0"/>
            </w:tcBorders>
          </w:tcPr>
          <w:p>
            <w:pPr>
              <w:spacing w:line="360" w:lineRule="auto"/>
              <w:ind w:left="0" w:hanging="2"/>
              <w:rPr>
                <w:rFonts w:ascii="Times New Roman" w:hAnsi="Times New Roman" w:cs="Times New Roman"/>
              </w:rPr>
            </w:pPr>
            <w:r>
              <w:rPr>
                <w:rFonts w:ascii="Times New Roman" w:hAnsi="Times New Roman" w:eastAsia="Calibri" w:cs="Times New Roman"/>
              </w:rPr>
              <w:t>Uma sala (±10 m</w:t>
            </w:r>
            <w:r>
              <w:rPr>
                <w:rFonts w:ascii="Times New Roman" w:hAnsi="Times New Roman" w:eastAsia="Calibri" w:cs="Times New Roman"/>
                <w:vertAlign w:val="superscript"/>
              </w:rPr>
              <w:t>2</w:t>
            </w:r>
            <w:r>
              <w:rPr>
                <w:rFonts w:ascii="Times New Roman" w:hAnsi="Times New Roman" w:eastAsia="Calibri" w:cs="Times New Roman"/>
              </w:rPr>
              <w:t>) no prédio anexo à Biblioteca do ICHS</w:t>
            </w:r>
          </w:p>
        </w:tc>
      </w:tr>
    </w:tbl>
    <w:p>
      <w:pPr>
        <w:spacing w:line="360" w:lineRule="auto"/>
        <w:ind w:left="0" w:hanging="2"/>
        <w:jc w:val="both"/>
        <w:rPr>
          <w:rFonts w:ascii="Times New Roman" w:hAnsi="Times New Roman" w:eastAsia="Calibri" w:cs="Times New Roman"/>
        </w:rPr>
      </w:pPr>
    </w:p>
    <w:p>
      <w:pPr>
        <w:spacing w:line="360" w:lineRule="auto"/>
        <w:ind w:left="0" w:hanging="2"/>
        <w:jc w:val="both"/>
        <w:rPr>
          <w:rFonts w:ascii="Times New Roman" w:hAnsi="Times New Roman" w:cs="Times New Roman"/>
        </w:rPr>
      </w:pPr>
      <w:r>
        <w:rPr>
          <w:rFonts w:ascii="Times New Roman" w:hAnsi="Times New Roman" w:eastAsia="Calibri" w:cs="Times New Roman"/>
        </w:rPr>
        <w:tab/>
      </w:r>
      <w:r>
        <w:rPr>
          <w:rFonts w:ascii="Times New Roman" w:hAnsi="Times New Roman" w:eastAsia="Calibri" w:cs="Times New Roman"/>
        </w:rPr>
        <w:tab/>
      </w:r>
      <w:r>
        <w:rPr>
          <w:rFonts w:ascii="Times New Roman" w:hAnsi="Times New Roman" w:eastAsia="Calibri" w:cs="Times New Roman"/>
        </w:rPr>
        <w:t xml:space="preserve">Em suma, os alunos da Licenciatura têm à sua disposição vários núcleos e laboratórios, nos quais podem realizar atividades de pesquisa e redação acadêmica supervisionada por professores. Na área de História de Minas e História Colonial do Brasil, temos o Arquivo Histórico da Câmara Municipal de Mariana. O arquivo está sob a guarda do Instituto de Ciências Humanas e Sociais e é coordenado por professores do Departamento de História desde maio de 1994, quando foi assinado o convênio entre a Câmara Municipal de Mariana e a Universidade Federal de Ouro Preto. O arquivo constitui um laboratório de prática com documentação arquivística, em que são realizados trabalhos de catalogação, conservação e análise documental. Cabe destacar também o Laboratório de pesquisa Histórica (LPH), cujo objetivo é subsidiar a formação dos alunos de graduação, estimulando-os a manusear, organizar e analisar fontes primárias. </w:t>
      </w:r>
    </w:p>
    <w:p>
      <w:pPr>
        <w:spacing w:line="360" w:lineRule="auto"/>
        <w:ind w:left="0" w:hanging="2"/>
        <w:jc w:val="both"/>
        <w:rPr>
          <w:rFonts w:ascii="Times New Roman" w:hAnsi="Times New Roman" w:cs="Times New Roman"/>
        </w:rPr>
      </w:pPr>
      <w:r>
        <w:rPr>
          <w:rFonts w:ascii="Times New Roman" w:hAnsi="Times New Roman" w:eastAsia="Calibri" w:cs="Times New Roman"/>
        </w:rPr>
        <w:tab/>
      </w:r>
      <w:r>
        <w:rPr>
          <w:rFonts w:ascii="Times New Roman" w:hAnsi="Times New Roman" w:eastAsia="Calibri" w:cs="Times New Roman"/>
        </w:rPr>
        <w:t xml:space="preserve">Na área de História Antiga, o curso dispõe das atividades realizadas pelo Núcleo de Estudos Sobre o Império Romano (Leir), dedicado a estimular a pesquisa especializada sobre o Império Romano, compilando e disponibilizando a bibliografia publicada no Brasil sobre o Império Romano a partir de 2001 e fomentando a pesquisa documental na área com o acesso às fontes já publicadas na Internet, bem como a um conhecimento preliminar a respeito dos autores e obras para o qual o site oferece direcionamento externo. </w:t>
      </w:r>
    </w:p>
    <w:p>
      <w:pPr>
        <w:spacing w:line="360" w:lineRule="auto"/>
        <w:ind w:left="0" w:hanging="2"/>
        <w:jc w:val="both"/>
        <w:rPr>
          <w:rFonts w:ascii="Times New Roman" w:hAnsi="Times New Roman" w:cs="Times New Roman"/>
        </w:rPr>
      </w:pPr>
      <w:r>
        <w:rPr>
          <w:rFonts w:ascii="Times New Roman" w:hAnsi="Times New Roman" w:eastAsia="Calibri" w:cs="Times New Roman"/>
        </w:rPr>
        <w:tab/>
      </w:r>
      <w:r>
        <w:rPr>
          <w:rFonts w:ascii="Times New Roman" w:hAnsi="Times New Roman" w:eastAsia="Calibri" w:cs="Times New Roman"/>
        </w:rPr>
        <w:t xml:space="preserve">Na área de Teoria e Filosofia da História, temos o Núcleo de Estudos em História da Historiografia (Nehm) que se dedica a inserir os alunos de graduação na prática de reflexão teórica e na pesquisa sobre o discurso histórico na Modernidade. </w:t>
      </w:r>
    </w:p>
    <w:p>
      <w:pPr>
        <w:spacing w:line="360" w:lineRule="auto"/>
        <w:ind w:left="0" w:hanging="2"/>
        <w:jc w:val="both"/>
        <w:rPr>
          <w:rFonts w:ascii="Times New Roman" w:hAnsi="Times New Roman" w:cs="Times New Roman"/>
        </w:rPr>
      </w:pPr>
      <w:r>
        <w:rPr>
          <w:rFonts w:ascii="Times New Roman" w:hAnsi="Times New Roman" w:eastAsia="Calibri" w:cs="Times New Roman"/>
        </w:rPr>
        <w:tab/>
      </w:r>
      <w:r>
        <w:rPr>
          <w:rFonts w:ascii="Times New Roman" w:hAnsi="Times New Roman" w:eastAsia="Calibri" w:cs="Times New Roman"/>
        </w:rPr>
        <w:tab/>
      </w:r>
      <w:r>
        <w:rPr>
          <w:rFonts w:ascii="Times New Roman" w:hAnsi="Times New Roman" w:eastAsia="Calibri" w:cs="Times New Roman"/>
        </w:rPr>
        <w:t xml:space="preserve">O núcleo Impérios e Lugares no Brasil (ILB) promove atividades de pesquisa que aproximam os alunos da problemática das transformações ocorridas no processo de estratificação social no Brasil do século XVIII. Já o Grupo de Pesquisa Justiça, Administração e Luta Social (Jals) realiza atividades que familiarizam e principiam os alunos de graduação na prática de pesquisa histórica referente aos conflitos e às formas institucionais do Brasil nos séculos XVIII e XIX, especialmente na Capitania e Província de Minas Gerais. </w:t>
      </w:r>
    </w:p>
    <w:p>
      <w:pPr>
        <w:spacing w:line="360" w:lineRule="auto"/>
        <w:ind w:left="0" w:hanging="2"/>
        <w:jc w:val="both"/>
        <w:rPr>
          <w:rFonts w:ascii="Times New Roman" w:hAnsi="Times New Roman" w:cs="Times New Roman"/>
        </w:rPr>
      </w:pPr>
      <w:r>
        <w:rPr>
          <w:rFonts w:ascii="Times New Roman" w:hAnsi="Times New Roman" w:eastAsia="Calibri" w:cs="Times New Roman"/>
        </w:rPr>
        <w:tab/>
      </w:r>
      <w:r>
        <w:rPr>
          <w:rFonts w:ascii="Times New Roman" w:hAnsi="Times New Roman" w:eastAsia="Calibri" w:cs="Times New Roman"/>
        </w:rPr>
        <w:tab/>
      </w:r>
      <w:r>
        <w:rPr>
          <w:rFonts w:ascii="Times New Roman" w:hAnsi="Times New Roman" w:eastAsia="Calibri" w:cs="Times New Roman"/>
        </w:rPr>
        <w:t xml:space="preserve">No campo da História das Américas, dispomos do Grupo de Estudos em História das Américas (Geha), dedicado a estimular o alunado a pesquisar a história do continente, suas relações com a Europa, África e Ásia, bem como as inter-relações continentais. </w:t>
      </w:r>
    </w:p>
    <w:p>
      <w:pPr>
        <w:spacing w:line="360" w:lineRule="auto"/>
        <w:ind w:left="0" w:hanging="2"/>
        <w:jc w:val="both"/>
        <w:rPr>
          <w:rFonts w:ascii="Times New Roman" w:hAnsi="Times New Roman" w:cs="Times New Roman"/>
        </w:rPr>
      </w:pPr>
      <w:r>
        <w:rPr>
          <w:rFonts w:ascii="Times New Roman" w:hAnsi="Times New Roman" w:eastAsia="Calibri" w:cs="Times New Roman"/>
        </w:rPr>
        <w:tab/>
      </w:r>
      <w:r>
        <w:rPr>
          <w:rFonts w:ascii="Times New Roman" w:hAnsi="Times New Roman" w:eastAsia="Calibri" w:cs="Times New Roman"/>
        </w:rPr>
        <w:tab/>
      </w:r>
      <w:r>
        <w:rPr>
          <w:rFonts w:ascii="Times New Roman" w:hAnsi="Times New Roman" w:eastAsia="Calibri" w:cs="Times New Roman"/>
        </w:rPr>
        <w:t>Nos espaços dos grupos de pesquisa, cada qual equipado, em média, com três computadores de mesa e uma impressora laser, ocorrem reuniões dos docentes com os graduandos e pós-graduandos integrantes, assim como as atividades administrativas dos grupos. No LPH, são realizados trabalhos de catalogação e digitalização de acervos, além do desenvolvimento de projetos de pesquisa e extensão, envolvendo alunos de graduação e pós-graduação, como o projeto “Arquivo Aberto”, voltado aos alunos dos segmentos de Ensino Fundamental (anos iniciais e finais) e de Educação de Jovens e Adultos da Rede Pública Municipal de Mariana. O conjunto documental que compõe o Arquivo Histórico da Câmara Municipal de Mariana é o registro de parcela das atividades administrativas dos poderes públicos municipais e de seu termo desde a criação da Vila do Carmo, em 1711, até inícios da segunda metade do século XX. Divide-se em dois grandes conjuntos: aquele formado por mais de 800 volumes encadernados, códices e livros, também conhecido como acervo principal, além dos Avulsos, compostos por aproximadamente 200 caixas, que foram incorporados ao acervo principal em 1996 e, a partir de então, vêm sendo identificados e organizados. O conjunto dos documentos mede aproximadamente 50 metros lineares.</w:t>
      </w:r>
    </w:p>
    <w:p>
      <w:pPr>
        <w:spacing w:line="360" w:lineRule="auto"/>
        <w:ind w:left="0" w:hanging="2"/>
        <w:jc w:val="both"/>
        <w:rPr>
          <w:rFonts w:ascii="Times New Roman" w:hAnsi="Times New Roman" w:cs="Times New Roman"/>
        </w:rPr>
      </w:pPr>
      <w:r>
        <w:rPr>
          <w:rFonts w:ascii="Times New Roman" w:hAnsi="Times New Roman" w:eastAsia="Calibri" w:cs="Times New Roman"/>
        </w:rPr>
        <w:tab/>
      </w:r>
      <w:r>
        <w:rPr>
          <w:rFonts w:ascii="Times New Roman" w:hAnsi="Times New Roman" w:eastAsia="Calibri" w:cs="Times New Roman"/>
        </w:rPr>
        <w:tab/>
      </w:r>
      <w:r>
        <w:rPr>
          <w:rFonts w:ascii="Times New Roman" w:hAnsi="Times New Roman" w:eastAsia="Calibri" w:cs="Times New Roman"/>
        </w:rPr>
        <w:t>A biblioteca do ICHS — Biblioteca “Alphonsus de Guimaraens” —, localizada no prédio anexo, com 1182,84 metros quadrados, dá o suporte bibliográfico ao curso de História, permitindo a consulta e retirada de livros e material audiovisual. Sua estrutura atual compreende 59.912 exemplares de livros; 32.327 títulos de livros; 17.399 exemplares de periódicos; 1.110 títulos de periódicos; 9 computadores para o trabalho dos funcionários; 4 computadores de consulta ao acervo pelos usuários; 1 terminal de autoempréstimo para os usuários; 1 scanner Planetário Zeta; 4 expositores de periódicos; 1 expositor de livros novos; 1 expositor de filmes novos; 3 sofás no hall de entrada; 1 sala destinada à restauração e conservação de livros; 1 salão com o acervo de livros; 1 sala com o acervo de periódicos; 1 salão de estudos; 8 salas de estudos em grupo; e sala de multimeios (em fase de implementação). O salão de estudos e o salão do acervo contam com conexão wireless; o salão de estudos, o salão do acervo e a sala de periódicos contam com 21 mesas de estudo em grupo, 15 cabines de estudo individual e 84 cadeiras.</w:t>
      </w:r>
    </w:p>
    <w:p>
      <w:pPr>
        <w:spacing w:line="360" w:lineRule="auto"/>
        <w:ind w:left="0" w:hanging="2"/>
        <w:jc w:val="both"/>
        <w:rPr>
          <w:rFonts w:ascii="Times New Roman" w:hAnsi="Times New Roman" w:cs="Times New Roman"/>
        </w:rPr>
      </w:pPr>
      <w:r>
        <w:rPr>
          <w:rFonts w:ascii="Times New Roman" w:hAnsi="Times New Roman" w:eastAsia="Calibri" w:cs="Times New Roman"/>
        </w:rPr>
        <w:tab/>
      </w:r>
      <w:r>
        <w:rPr>
          <w:rFonts w:ascii="Times New Roman" w:hAnsi="Times New Roman" w:eastAsia="Calibri" w:cs="Times New Roman"/>
        </w:rPr>
        <w:tab/>
      </w:r>
      <w:r>
        <w:rPr>
          <w:rFonts w:ascii="Times New Roman" w:hAnsi="Times New Roman" w:eastAsia="Calibri" w:cs="Times New Roman"/>
        </w:rPr>
        <w:t>No que concerne aos gabinetes de professores, o curso conta com seis salas, usadas de forma compartilhada pelos 24 professores, com uma média de quatro professores por sala. Cinco salas estão localizadas no prédio administrativo e uma no Prédio Novo (Reuni). A infraestrutura de informática disponível está listada abaixo:</w:t>
      </w:r>
    </w:p>
    <w:p>
      <w:pPr>
        <w:spacing w:line="360" w:lineRule="auto"/>
        <w:ind w:left="0" w:hanging="2"/>
        <w:jc w:val="both"/>
        <w:rPr>
          <w:rFonts w:ascii="Times New Roman" w:hAnsi="Times New Roman" w:eastAsia="Calibri" w:cs="Times New Roman"/>
        </w:rPr>
      </w:pPr>
    </w:p>
    <w:tbl>
      <w:tblPr>
        <w:tblStyle w:val="480"/>
        <w:tblW w:w="8264" w:type="dxa"/>
        <w:tblInd w:w="347" w:type="dxa"/>
        <w:tblLayout w:type="fixed"/>
        <w:tblCellMar>
          <w:top w:w="0" w:type="dxa"/>
          <w:left w:w="108" w:type="dxa"/>
          <w:bottom w:w="0" w:type="dxa"/>
          <w:right w:w="108" w:type="dxa"/>
        </w:tblCellMar>
      </w:tblPr>
      <w:tblGrid>
        <w:gridCol w:w="2511"/>
        <w:gridCol w:w="1906"/>
        <w:gridCol w:w="1909"/>
        <w:gridCol w:w="1938"/>
      </w:tblGrid>
      <w:tr>
        <w:tblPrEx>
          <w:tblCellMar>
            <w:top w:w="0" w:type="dxa"/>
            <w:left w:w="108" w:type="dxa"/>
            <w:bottom w:w="0" w:type="dxa"/>
            <w:right w:w="108" w:type="dxa"/>
          </w:tblCellMar>
        </w:tblPrEx>
        <w:tc>
          <w:tcPr>
            <w:tcW w:w="8264" w:type="dxa"/>
            <w:gridSpan w:val="4"/>
            <w:tcBorders>
              <w:top w:val="single" w:color="000000" w:sz="4" w:space="0"/>
              <w:left w:val="single" w:color="000000" w:sz="4" w:space="0"/>
              <w:bottom w:val="single" w:color="000000" w:sz="4" w:space="0"/>
              <w:right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Calibri" w:cs="Times New Roman"/>
                <w:b/>
              </w:rPr>
              <w:t>Tabela 12 - Infraestrutura de Informática</w:t>
            </w:r>
          </w:p>
        </w:tc>
      </w:tr>
      <w:tr>
        <w:tblPrEx>
          <w:tblCellMar>
            <w:top w:w="0" w:type="dxa"/>
            <w:left w:w="108" w:type="dxa"/>
            <w:bottom w:w="0" w:type="dxa"/>
            <w:right w:w="108" w:type="dxa"/>
          </w:tblCellMar>
        </w:tblPrEx>
        <w:tc>
          <w:tcPr>
            <w:tcW w:w="2511" w:type="dxa"/>
            <w:tcBorders>
              <w:top w:val="single" w:color="000000" w:sz="4" w:space="0"/>
              <w:left w:val="single" w:color="000000" w:sz="4" w:space="0"/>
              <w:bottom w:val="single" w:color="000000" w:sz="4" w:space="0"/>
            </w:tcBorders>
          </w:tcPr>
          <w:p>
            <w:pPr>
              <w:ind w:left="0" w:hanging="2"/>
              <w:jc w:val="center"/>
              <w:rPr>
                <w:rFonts w:ascii="Times New Roman" w:hAnsi="Times New Roman" w:cs="Times New Roman"/>
              </w:rPr>
            </w:pPr>
            <w:r>
              <w:rPr>
                <w:rFonts w:ascii="Times New Roman" w:hAnsi="Times New Roman" w:eastAsia="Calibri" w:cs="Times New Roman"/>
              </w:rPr>
              <w:t>Equipamentos</w:t>
            </w:r>
          </w:p>
        </w:tc>
        <w:tc>
          <w:tcPr>
            <w:tcW w:w="3815" w:type="dxa"/>
            <w:gridSpan w:val="2"/>
            <w:tcBorders>
              <w:top w:val="single" w:color="000000" w:sz="4" w:space="0"/>
              <w:left w:val="single" w:color="000000" w:sz="4" w:space="0"/>
              <w:bottom w:val="single" w:color="000000" w:sz="4" w:space="0"/>
            </w:tcBorders>
          </w:tcPr>
          <w:p>
            <w:pPr>
              <w:ind w:left="0" w:hanging="2"/>
              <w:jc w:val="center"/>
              <w:rPr>
                <w:rFonts w:ascii="Times New Roman" w:hAnsi="Times New Roman" w:cs="Times New Roman"/>
              </w:rPr>
            </w:pPr>
            <w:r>
              <w:rPr>
                <w:rFonts w:ascii="Times New Roman" w:hAnsi="Times New Roman" w:eastAsia="Calibri" w:cs="Times New Roman"/>
              </w:rPr>
              <w:t>Uso</w:t>
            </w:r>
          </w:p>
        </w:tc>
        <w:tc>
          <w:tcPr>
            <w:tcW w:w="1938" w:type="dxa"/>
            <w:tcBorders>
              <w:top w:val="single" w:color="000000" w:sz="4" w:space="0"/>
              <w:left w:val="single" w:color="000000" w:sz="4" w:space="0"/>
              <w:bottom w:val="single" w:color="000000" w:sz="4" w:space="0"/>
              <w:right w:val="single" w:color="000000" w:sz="4" w:space="0"/>
            </w:tcBorders>
          </w:tcPr>
          <w:p>
            <w:pPr>
              <w:ind w:left="0" w:hanging="2"/>
              <w:jc w:val="center"/>
              <w:rPr>
                <w:rFonts w:ascii="Times New Roman" w:hAnsi="Times New Roman" w:cs="Times New Roman"/>
              </w:rPr>
            </w:pPr>
            <w:r>
              <w:rPr>
                <w:rFonts w:ascii="Times New Roman" w:hAnsi="Times New Roman" w:eastAsia="Calibri" w:cs="Times New Roman"/>
              </w:rPr>
              <w:t>Total</w:t>
            </w:r>
          </w:p>
        </w:tc>
      </w:tr>
      <w:tr>
        <w:tblPrEx>
          <w:tblCellMar>
            <w:top w:w="0" w:type="dxa"/>
            <w:left w:w="108" w:type="dxa"/>
            <w:bottom w:w="0" w:type="dxa"/>
            <w:right w:w="108" w:type="dxa"/>
          </w:tblCellMar>
        </w:tblPrEx>
        <w:tc>
          <w:tcPr>
            <w:tcW w:w="2511" w:type="dxa"/>
            <w:tcBorders>
              <w:top w:val="single" w:color="000000" w:sz="4" w:space="0"/>
              <w:left w:val="single" w:color="000000" w:sz="4" w:space="0"/>
              <w:bottom w:val="single" w:color="000000" w:sz="4" w:space="0"/>
            </w:tcBorders>
          </w:tcPr>
          <w:p>
            <w:pPr>
              <w:ind w:left="0" w:hanging="2"/>
              <w:jc w:val="both"/>
              <w:rPr>
                <w:rFonts w:ascii="Times New Roman" w:hAnsi="Times New Roman" w:cs="Times New Roman"/>
              </w:rPr>
            </w:pPr>
            <w:r>
              <w:rPr>
                <w:rFonts w:ascii="Times New Roman" w:hAnsi="Times New Roman" w:eastAsia="Calibri" w:cs="Times New Roman"/>
              </w:rPr>
              <w:t>Desktops</w:t>
            </w:r>
          </w:p>
        </w:tc>
        <w:tc>
          <w:tcPr>
            <w:tcW w:w="1906" w:type="dxa"/>
            <w:tcBorders>
              <w:top w:val="single" w:color="000000" w:sz="4" w:space="0"/>
              <w:left w:val="single" w:color="000000" w:sz="4" w:space="0"/>
              <w:bottom w:val="single" w:color="000000" w:sz="4" w:space="0"/>
            </w:tcBorders>
          </w:tcPr>
          <w:p>
            <w:pPr>
              <w:ind w:left="0" w:hanging="2"/>
              <w:jc w:val="center"/>
              <w:rPr>
                <w:rFonts w:ascii="Times New Roman" w:hAnsi="Times New Roman" w:cs="Times New Roman"/>
              </w:rPr>
            </w:pPr>
            <w:r>
              <w:rPr>
                <w:rFonts w:ascii="Times New Roman" w:hAnsi="Times New Roman" w:eastAsia="Calibri" w:cs="Times New Roman"/>
              </w:rPr>
              <w:t>11</w:t>
            </w:r>
          </w:p>
        </w:tc>
        <w:tc>
          <w:tcPr>
            <w:tcW w:w="1909" w:type="dxa"/>
            <w:tcBorders>
              <w:top w:val="single" w:color="000000" w:sz="4" w:space="0"/>
              <w:left w:val="single" w:color="000000" w:sz="4" w:space="0"/>
              <w:bottom w:val="single" w:color="000000" w:sz="4" w:space="0"/>
            </w:tcBorders>
          </w:tcPr>
          <w:p>
            <w:pPr>
              <w:ind w:left="0" w:hanging="2"/>
              <w:jc w:val="center"/>
              <w:rPr>
                <w:rFonts w:ascii="Times New Roman" w:hAnsi="Times New Roman" w:cs="Times New Roman"/>
              </w:rPr>
            </w:pPr>
            <w:r>
              <w:rPr>
                <w:rFonts w:ascii="Times New Roman" w:hAnsi="Times New Roman" w:eastAsia="Calibri" w:cs="Times New Roman"/>
              </w:rPr>
              <w:t>46</w:t>
            </w:r>
          </w:p>
        </w:tc>
        <w:tc>
          <w:tcPr>
            <w:tcW w:w="1938" w:type="dxa"/>
            <w:tcBorders>
              <w:top w:val="single" w:color="000000" w:sz="4" w:space="0"/>
              <w:left w:val="single" w:color="000000" w:sz="4" w:space="0"/>
              <w:bottom w:val="single" w:color="000000" w:sz="4" w:space="0"/>
              <w:right w:val="single" w:color="000000" w:sz="4" w:space="0"/>
            </w:tcBorders>
          </w:tcPr>
          <w:p>
            <w:pPr>
              <w:ind w:left="0" w:hanging="2"/>
              <w:jc w:val="center"/>
              <w:rPr>
                <w:rFonts w:ascii="Times New Roman" w:hAnsi="Times New Roman" w:cs="Times New Roman"/>
              </w:rPr>
            </w:pPr>
            <w:r>
              <w:rPr>
                <w:rFonts w:ascii="Times New Roman" w:hAnsi="Times New Roman" w:eastAsia="Calibri" w:cs="Times New Roman"/>
              </w:rPr>
              <w:t>57</w:t>
            </w:r>
          </w:p>
        </w:tc>
      </w:tr>
      <w:tr>
        <w:tblPrEx>
          <w:tblCellMar>
            <w:top w:w="0" w:type="dxa"/>
            <w:left w:w="108" w:type="dxa"/>
            <w:bottom w:w="0" w:type="dxa"/>
            <w:right w:w="108" w:type="dxa"/>
          </w:tblCellMar>
        </w:tblPrEx>
        <w:tc>
          <w:tcPr>
            <w:tcW w:w="2511" w:type="dxa"/>
            <w:tcBorders>
              <w:top w:val="single" w:color="000000" w:sz="4" w:space="0"/>
              <w:left w:val="single" w:color="000000" w:sz="4" w:space="0"/>
              <w:bottom w:val="single" w:color="000000" w:sz="4" w:space="0"/>
            </w:tcBorders>
          </w:tcPr>
          <w:p>
            <w:pPr>
              <w:ind w:left="0" w:hanging="2"/>
              <w:jc w:val="both"/>
              <w:rPr>
                <w:rFonts w:ascii="Times New Roman" w:hAnsi="Times New Roman" w:cs="Times New Roman"/>
              </w:rPr>
            </w:pPr>
            <w:r>
              <w:rPr>
                <w:rFonts w:ascii="Times New Roman" w:hAnsi="Times New Roman" w:eastAsia="Calibri" w:cs="Times New Roman"/>
              </w:rPr>
              <w:t>Notebooks</w:t>
            </w:r>
          </w:p>
        </w:tc>
        <w:tc>
          <w:tcPr>
            <w:tcW w:w="1906" w:type="dxa"/>
            <w:tcBorders>
              <w:top w:val="single" w:color="000000" w:sz="4" w:space="0"/>
              <w:left w:val="single" w:color="000000" w:sz="4" w:space="0"/>
              <w:bottom w:val="single" w:color="000000" w:sz="4" w:space="0"/>
            </w:tcBorders>
          </w:tcPr>
          <w:p>
            <w:pPr>
              <w:ind w:left="0" w:hanging="2"/>
              <w:jc w:val="center"/>
              <w:rPr>
                <w:rFonts w:ascii="Times New Roman" w:hAnsi="Times New Roman" w:cs="Times New Roman"/>
              </w:rPr>
            </w:pPr>
            <w:r>
              <w:rPr>
                <w:rFonts w:ascii="Times New Roman" w:hAnsi="Times New Roman" w:eastAsia="Calibri" w:cs="Times New Roman"/>
              </w:rPr>
              <w:t>08</w:t>
            </w:r>
          </w:p>
        </w:tc>
        <w:tc>
          <w:tcPr>
            <w:tcW w:w="1909" w:type="dxa"/>
            <w:tcBorders>
              <w:top w:val="single" w:color="000000" w:sz="4" w:space="0"/>
              <w:left w:val="single" w:color="000000" w:sz="4" w:space="0"/>
              <w:bottom w:val="single" w:color="000000" w:sz="4" w:space="0"/>
            </w:tcBorders>
          </w:tcPr>
          <w:p>
            <w:pPr>
              <w:ind w:left="0" w:hanging="2"/>
              <w:jc w:val="center"/>
              <w:rPr>
                <w:rFonts w:ascii="Times New Roman" w:hAnsi="Times New Roman" w:cs="Times New Roman"/>
              </w:rPr>
            </w:pPr>
            <w:r>
              <w:rPr>
                <w:rFonts w:ascii="Times New Roman" w:hAnsi="Times New Roman" w:eastAsia="Calibri" w:cs="Times New Roman"/>
              </w:rPr>
              <w:t>11</w:t>
            </w:r>
          </w:p>
        </w:tc>
        <w:tc>
          <w:tcPr>
            <w:tcW w:w="1938" w:type="dxa"/>
            <w:tcBorders>
              <w:top w:val="single" w:color="000000" w:sz="4" w:space="0"/>
              <w:left w:val="single" w:color="000000" w:sz="4" w:space="0"/>
              <w:bottom w:val="single" w:color="000000" w:sz="4" w:space="0"/>
              <w:right w:val="single" w:color="000000" w:sz="4" w:space="0"/>
            </w:tcBorders>
          </w:tcPr>
          <w:p>
            <w:pPr>
              <w:ind w:left="0" w:hanging="2"/>
              <w:jc w:val="center"/>
              <w:rPr>
                <w:rFonts w:ascii="Times New Roman" w:hAnsi="Times New Roman" w:cs="Times New Roman"/>
              </w:rPr>
            </w:pPr>
            <w:r>
              <w:rPr>
                <w:rFonts w:ascii="Times New Roman" w:hAnsi="Times New Roman" w:eastAsia="Calibri" w:cs="Times New Roman"/>
              </w:rPr>
              <w:t>19</w:t>
            </w:r>
          </w:p>
        </w:tc>
      </w:tr>
      <w:tr>
        <w:tblPrEx>
          <w:tblCellMar>
            <w:top w:w="0" w:type="dxa"/>
            <w:left w:w="108" w:type="dxa"/>
            <w:bottom w:w="0" w:type="dxa"/>
            <w:right w:w="108" w:type="dxa"/>
          </w:tblCellMar>
        </w:tblPrEx>
        <w:tc>
          <w:tcPr>
            <w:tcW w:w="2511" w:type="dxa"/>
            <w:tcBorders>
              <w:top w:val="single" w:color="000000" w:sz="4" w:space="0"/>
              <w:left w:val="single" w:color="000000" w:sz="4" w:space="0"/>
              <w:bottom w:val="single" w:color="000000" w:sz="4" w:space="0"/>
            </w:tcBorders>
          </w:tcPr>
          <w:p>
            <w:pPr>
              <w:ind w:left="0" w:hanging="2"/>
              <w:jc w:val="both"/>
              <w:rPr>
                <w:rFonts w:ascii="Times New Roman" w:hAnsi="Times New Roman" w:cs="Times New Roman"/>
              </w:rPr>
            </w:pPr>
            <w:r>
              <w:rPr>
                <w:rFonts w:ascii="Times New Roman" w:hAnsi="Times New Roman" w:eastAsia="Calibri" w:cs="Times New Roman"/>
              </w:rPr>
              <w:t>Impressoras</w:t>
            </w:r>
          </w:p>
        </w:tc>
        <w:tc>
          <w:tcPr>
            <w:tcW w:w="1906" w:type="dxa"/>
            <w:tcBorders>
              <w:top w:val="single" w:color="000000" w:sz="4" w:space="0"/>
              <w:left w:val="single" w:color="000000" w:sz="4" w:space="0"/>
              <w:bottom w:val="single" w:color="000000" w:sz="4" w:space="0"/>
            </w:tcBorders>
          </w:tcPr>
          <w:p>
            <w:pPr>
              <w:ind w:left="0" w:hanging="2"/>
              <w:jc w:val="center"/>
              <w:rPr>
                <w:rFonts w:ascii="Times New Roman" w:hAnsi="Times New Roman" w:cs="Times New Roman"/>
              </w:rPr>
            </w:pPr>
            <w:r>
              <w:rPr>
                <w:rFonts w:ascii="Times New Roman" w:hAnsi="Times New Roman" w:eastAsia="Calibri" w:cs="Times New Roman"/>
              </w:rPr>
              <w:t>01</w:t>
            </w:r>
          </w:p>
        </w:tc>
        <w:tc>
          <w:tcPr>
            <w:tcW w:w="1909" w:type="dxa"/>
            <w:tcBorders>
              <w:top w:val="single" w:color="000000" w:sz="4" w:space="0"/>
              <w:left w:val="single" w:color="000000" w:sz="4" w:space="0"/>
              <w:bottom w:val="single" w:color="000000" w:sz="4" w:space="0"/>
            </w:tcBorders>
          </w:tcPr>
          <w:p>
            <w:pPr>
              <w:ind w:left="0" w:hanging="2"/>
              <w:jc w:val="center"/>
              <w:rPr>
                <w:rFonts w:ascii="Times New Roman" w:hAnsi="Times New Roman" w:cs="Times New Roman"/>
              </w:rPr>
            </w:pPr>
            <w:r>
              <w:rPr>
                <w:rFonts w:ascii="Times New Roman" w:hAnsi="Times New Roman" w:eastAsia="Calibri" w:cs="Times New Roman"/>
              </w:rPr>
              <w:t>31</w:t>
            </w:r>
          </w:p>
        </w:tc>
        <w:tc>
          <w:tcPr>
            <w:tcW w:w="1938" w:type="dxa"/>
            <w:tcBorders>
              <w:top w:val="single" w:color="000000" w:sz="4" w:space="0"/>
              <w:left w:val="single" w:color="000000" w:sz="4" w:space="0"/>
              <w:bottom w:val="single" w:color="000000" w:sz="4" w:space="0"/>
              <w:right w:val="single" w:color="000000" w:sz="4" w:space="0"/>
            </w:tcBorders>
          </w:tcPr>
          <w:p>
            <w:pPr>
              <w:ind w:left="0" w:hanging="2"/>
              <w:jc w:val="center"/>
              <w:rPr>
                <w:rFonts w:ascii="Times New Roman" w:hAnsi="Times New Roman" w:cs="Times New Roman"/>
              </w:rPr>
            </w:pPr>
            <w:r>
              <w:rPr>
                <w:rFonts w:ascii="Times New Roman" w:hAnsi="Times New Roman" w:eastAsia="Calibri" w:cs="Times New Roman"/>
              </w:rPr>
              <w:t>32</w:t>
            </w:r>
          </w:p>
        </w:tc>
      </w:tr>
      <w:tr>
        <w:tblPrEx>
          <w:tblCellMar>
            <w:top w:w="0" w:type="dxa"/>
            <w:left w:w="108" w:type="dxa"/>
            <w:bottom w:w="0" w:type="dxa"/>
            <w:right w:w="108" w:type="dxa"/>
          </w:tblCellMar>
        </w:tblPrEx>
        <w:tc>
          <w:tcPr>
            <w:tcW w:w="2511" w:type="dxa"/>
            <w:tcBorders>
              <w:top w:val="single" w:color="000000" w:sz="4" w:space="0"/>
              <w:left w:val="single" w:color="000000" w:sz="4" w:space="0"/>
              <w:bottom w:val="single" w:color="000000" w:sz="4" w:space="0"/>
            </w:tcBorders>
          </w:tcPr>
          <w:p>
            <w:pPr>
              <w:ind w:left="0" w:hanging="2"/>
              <w:jc w:val="both"/>
              <w:rPr>
                <w:rFonts w:ascii="Times New Roman" w:hAnsi="Times New Roman" w:cs="Times New Roman"/>
              </w:rPr>
            </w:pPr>
            <w:r>
              <w:rPr>
                <w:rFonts w:ascii="Times New Roman" w:hAnsi="Times New Roman" w:eastAsia="Calibri" w:cs="Times New Roman"/>
              </w:rPr>
              <w:t>Datashows</w:t>
            </w:r>
          </w:p>
        </w:tc>
        <w:tc>
          <w:tcPr>
            <w:tcW w:w="1906" w:type="dxa"/>
            <w:tcBorders>
              <w:top w:val="single" w:color="000000" w:sz="4" w:space="0"/>
              <w:left w:val="single" w:color="000000" w:sz="4" w:space="0"/>
              <w:bottom w:val="single" w:color="000000" w:sz="4" w:space="0"/>
            </w:tcBorders>
          </w:tcPr>
          <w:p>
            <w:pPr>
              <w:ind w:left="0" w:hanging="2"/>
              <w:jc w:val="center"/>
              <w:rPr>
                <w:rFonts w:ascii="Times New Roman" w:hAnsi="Times New Roman" w:cs="Times New Roman"/>
              </w:rPr>
            </w:pPr>
            <w:r>
              <w:rPr>
                <w:rFonts w:ascii="Times New Roman" w:hAnsi="Times New Roman" w:eastAsia="Calibri" w:cs="Times New Roman"/>
              </w:rPr>
              <w:t>01</w:t>
            </w:r>
          </w:p>
        </w:tc>
        <w:tc>
          <w:tcPr>
            <w:tcW w:w="1909" w:type="dxa"/>
            <w:tcBorders>
              <w:top w:val="single" w:color="000000" w:sz="4" w:space="0"/>
              <w:left w:val="single" w:color="000000" w:sz="4" w:space="0"/>
              <w:bottom w:val="single" w:color="000000" w:sz="4" w:space="0"/>
            </w:tcBorders>
          </w:tcPr>
          <w:p>
            <w:pPr>
              <w:ind w:left="0" w:hanging="2"/>
              <w:jc w:val="center"/>
              <w:rPr>
                <w:rFonts w:ascii="Times New Roman" w:hAnsi="Times New Roman" w:cs="Times New Roman"/>
              </w:rPr>
            </w:pPr>
            <w:r>
              <w:rPr>
                <w:rFonts w:ascii="Times New Roman" w:hAnsi="Times New Roman" w:eastAsia="Calibri" w:cs="Times New Roman"/>
              </w:rPr>
              <w:t>03</w:t>
            </w:r>
          </w:p>
        </w:tc>
        <w:tc>
          <w:tcPr>
            <w:tcW w:w="1938" w:type="dxa"/>
            <w:tcBorders>
              <w:top w:val="single" w:color="000000" w:sz="4" w:space="0"/>
              <w:left w:val="single" w:color="000000" w:sz="4" w:space="0"/>
              <w:bottom w:val="single" w:color="000000" w:sz="4" w:space="0"/>
              <w:right w:val="single" w:color="000000" w:sz="4" w:space="0"/>
            </w:tcBorders>
          </w:tcPr>
          <w:p>
            <w:pPr>
              <w:ind w:left="0" w:hanging="2"/>
              <w:jc w:val="center"/>
              <w:rPr>
                <w:rFonts w:ascii="Times New Roman" w:hAnsi="Times New Roman" w:cs="Times New Roman"/>
              </w:rPr>
            </w:pPr>
            <w:r>
              <w:rPr>
                <w:rFonts w:ascii="Times New Roman" w:hAnsi="Times New Roman" w:eastAsia="Calibri" w:cs="Times New Roman"/>
              </w:rPr>
              <w:t>04</w:t>
            </w:r>
          </w:p>
        </w:tc>
      </w:tr>
      <w:tr>
        <w:tblPrEx>
          <w:tblCellMar>
            <w:top w:w="0" w:type="dxa"/>
            <w:left w:w="108" w:type="dxa"/>
            <w:bottom w:w="0" w:type="dxa"/>
            <w:right w:w="108" w:type="dxa"/>
          </w:tblCellMar>
        </w:tblPrEx>
        <w:tc>
          <w:tcPr>
            <w:tcW w:w="2511" w:type="dxa"/>
            <w:tcBorders>
              <w:top w:val="single" w:color="000000" w:sz="4" w:space="0"/>
              <w:left w:val="single" w:color="000000" w:sz="4" w:space="0"/>
              <w:bottom w:val="single" w:color="000000" w:sz="4" w:space="0"/>
            </w:tcBorders>
          </w:tcPr>
          <w:p>
            <w:pPr>
              <w:ind w:left="0" w:hanging="2"/>
              <w:jc w:val="both"/>
              <w:rPr>
                <w:rFonts w:ascii="Times New Roman" w:hAnsi="Times New Roman" w:cs="Times New Roman"/>
              </w:rPr>
            </w:pPr>
            <w:r>
              <w:rPr>
                <w:rFonts w:ascii="Times New Roman" w:hAnsi="Times New Roman" w:eastAsia="Calibri" w:cs="Times New Roman"/>
              </w:rPr>
              <w:t>Scanners</w:t>
            </w:r>
          </w:p>
        </w:tc>
        <w:tc>
          <w:tcPr>
            <w:tcW w:w="1906" w:type="dxa"/>
            <w:tcBorders>
              <w:top w:val="single" w:color="000000" w:sz="4" w:space="0"/>
              <w:left w:val="single" w:color="000000" w:sz="4" w:space="0"/>
              <w:bottom w:val="single" w:color="000000" w:sz="4" w:space="0"/>
            </w:tcBorders>
          </w:tcPr>
          <w:p>
            <w:pPr>
              <w:ind w:left="0" w:hanging="2"/>
              <w:jc w:val="center"/>
              <w:rPr>
                <w:rFonts w:ascii="Times New Roman" w:hAnsi="Times New Roman" w:cs="Times New Roman"/>
              </w:rPr>
            </w:pPr>
            <w:r>
              <w:rPr>
                <w:rFonts w:ascii="Times New Roman" w:hAnsi="Times New Roman" w:eastAsia="Calibri" w:cs="Times New Roman"/>
              </w:rPr>
              <w:t>01</w:t>
            </w:r>
          </w:p>
        </w:tc>
        <w:tc>
          <w:tcPr>
            <w:tcW w:w="1909" w:type="dxa"/>
            <w:tcBorders>
              <w:top w:val="single" w:color="000000" w:sz="4" w:space="0"/>
              <w:left w:val="single" w:color="000000" w:sz="4" w:space="0"/>
              <w:bottom w:val="single" w:color="000000" w:sz="4" w:space="0"/>
            </w:tcBorders>
          </w:tcPr>
          <w:p>
            <w:pPr>
              <w:ind w:left="0" w:hanging="2"/>
              <w:jc w:val="center"/>
              <w:rPr>
                <w:rFonts w:ascii="Times New Roman" w:hAnsi="Times New Roman" w:cs="Times New Roman"/>
              </w:rPr>
            </w:pPr>
            <w:r>
              <w:rPr>
                <w:rFonts w:ascii="Times New Roman" w:hAnsi="Times New Roman" w:eastAsia="Calibri" w:cs="Times New Roman"/>
              </w:rPr>
              <w:t>03</w:t>
            </w:r>
          </w:p>
        </w:tc>
        <w:tc>
          <w:tcPr>
            <w:tcW w:w="1938" w:type="dxa"/>
            <w:tcBorders>
              <w:top w:val="single" w:color="000000" w:sz="4" w:space="0"/>
              <w:left w:val="single" w:color="000000" w:sz="4" w:space="0"/>
              <w:bottom w:val="single" w:color="000000" w:sz="4" w:space="0"/>
              <w:right w:val="single" w:color="000000" w:sz="4" w:space="0"/>
            </w:tcBorders>
          </w:tcPr>
          <w:p>
            <w:pPr>
              <w:ind w:left="0" w:hanging="2"/>
              <w:jc w:val="center"/>
              <w:rPr>
                <w:rFonts w:ascii="Times New Roman" w:hAnsi="Times New Roman" w:cs="Times New Roman"/>
              </w:rPr>
            </w:pPr>
            <w:r>
              <w:rPr>
                <w:rFonts w:ascii="Times New Roman" w:hAnsi="Times New Roman" w:eastAsia="Calibri" w:cs="Times New Roman"/>
              </w:rPr>
              <w:t>04</w:t>
            </w:r>
          </w:p>
        </w:tc>
      </w:tr>
    </w:tbl>
    <w:p>
      <w:pPr>
        <w:ind w:left="0" w:hanging="2"/>
        <w:rPr>
          <w:rFonts w:ascii="Times New Roman" w:hAnsi="Times New Roman" w:eastAsia="Calibri" w:cs="Times New Roman"/>
        </w:rPr>
      </w:pPr>
    </w:p>
    <w:p>
      <w:pPr>
        <w:ind w:left="0" w:hanging="2"/>
        <w:rPr>
          <w:rFonts w:ascii="Times New Roman" w:hAnsi="Times New Roman" w:eastAsia="Calibri" w:cs="Times New Roman"/>
        </w:rPr>
      </w:pPr>
    </w:p>
    <w:p>
      <w:pPr>
        <w:ind w:left="0" w:hanging="2"/>
        <w:rPr>
          <w:rFonts w:ascii="Times New Roman" w:hAnsi="Times New Roman" w:cs="Times New Roman"/>
        </w:rPr>
      </w:pPr>
      <w:r>
        <w:rPr>
          <w:rFonts w:ascii="Times New Roman" w:hAnsi="Times New Roman" w:eastAsia="Calibri" w:cs="Times New Roman"/>
          <w:b/>
        </w:rPr>
        <w:t>Considerações Finais</w:t>
      </w:r>
    </w:p>
    <w:p>
      <w:pPr>
        <w:ind w:left="0" w:hanging="2"/>
        <w:rPr>
          <w:rFonts w:ascii="Times New Roman" w:hAnsi="Times New Roman" w:eastAsia="Calibri" w:cs="Times New Roman"/>
        </w:rPr>
      </w:pPr>
    </w:p>
    <w:p>
      <w:pPr>
        <w:spacing w:line="360" w:lineRule="auto"/>
        <w:ind w:left="0" w:leftChars="0" w:firstLine="720" w:firstLineChars="0"/>
        <w:jc w:val="both"/>
        <w:rPr>
          <w:rFonts w:ascii="Times New Roman" w:hAnsi="Times New Roman" w:cs="Times New Roman"/>
        </w:rPr>
      </w:pPr>
      <w:r>
        <w:rPr>
          <w:rFonts w:ascii="Times New Roman" w:hAnsi="Times New Roman" w:eastAsia="Calibri" w:cs="Times New Roman"/>
        </w:rPr>
        <w:t>O Presente Projeto Pedagógico do Curso de Licenciatura em História apresenta as diretrizes e bases para a formação de Professores em História da Universidade Federal de Ouro Preto. Este documento, elaborado de forma colaborativa pelos professores e pelas professoras do Departamento de História, mostra-se atento à legislação nacional e às orientações institucionais da UFOP vigentes quanto ao tema da formação docente. Nesse sentido, seus princípios residem na atenção à diversidade de trajetórias das alunas e alunos do curso e à pluralidade componente do processo de ensino e aprendizagem. Marca fundamental disso, que se expressa em diversos momentos do texto, é sua preocupação com a difusão do conhecimento histórico e a prática docente considerada a partir de diversas modalidades, não se reduzindo apenas à sala de aula tradicional.</w:t>
      </w:r>
    </w:p>
    <w:p>
      <w:pPr>
        <w:ind w:left="0" w:hanging="2"/>
        <w:rPr>
          <w:rFonts w:ascii="Times New Roman" w:hAnsi="Times New Roman" w:eastAsia="Calibri" w:cs="Times New Roman"/>
        </w:rPr>
      </w:pPr>
    </w:p>
    <w:p>
      <w:pPr>
        <w:ind w:left="0" w:leftChars="0" w:firstLine="0" w:firstLineChars="0"/>
        <w:rPr>
          <w:rFonts w:ascii="Times New Roman" w:hAnsi="Times New Roman" w:eastAsia="Calibri" w:cs="Times New Roman"/>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b/>
          <w:color w:val="000000"/>
        </w:rPr>
        <w:t>Referências bibliográficas</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 xml:space="preserve">ADICHIE, Chimamanda. O perigo da história única. </w:t>
      </w:r>
      <w:r>
        <w:fldChar w:fldCharType="begin"/>
      </w:r>
      <w:r>
        <w:instrText xml:space="preserve"> HYPERLINK "https://www.ted.com/talks/chimamanda_adichie_the_danger_of_a_single_story/transcript?language%20=pt" \h </w:instrText>
      </w:r>
      <w:r>
        <w:fldChar w:fldCharType="separate"/>
      </w:r>
      <w:r>
        <w:rPr>
          <w:rFonts w:ascii="Times New Roman" w:hAnsi="Times New Roman" w:eastAsia="Calibri" w:cs="Times New Roman"/>
          <w:color w:val="0000FF"/>
          <w:u w:val="single"/>
        </w:rPr>
        <w:t>https://www.ted.com/talks/chimamanda_adichie_the_danger_of_a_single_story/transcript?language =pt</w:t>
      </w:r>
      <w:r>
        <w:rPr>
          <w:rFonts w:ascii="Times New Roman" w:hAnsi="Times New Roman" w:eastAsia="Calibri" w:cs="Times New Roman"/>
          <w:color w:val="0000FF"/>
          <w:u w:val="single"/>
        </w:rPr>
        <w:fldChar w:fldCharType="end"/>
      </w:r>
      <w:r>
        <w:rPr>
          <w:rFonts w:ascii="Times New Roman" w:hAnsi="Times New Roman" w:eastAsia="Calibri" w:cs="Times New Roman"/>
          <w:color w:val="000000"/>
        </w:rPr>
        <w:t xml:space="preserve"> </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 xml:space="preserve">AGUIAR, Neuma (Org.). Gênero e ciências humanas: desafio às ciências desde a perspectiva das mulheres. Rio de Janeiro: Record: Rosa dos Tempos, 1997. </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ALMEIDA. Juniele Rabêlo; ROVAI, Marta Gouveia de Oliveira (Orgs.). Introdução à</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História Pública. São Paulo: Letra e Voz, 2011.</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ANASTASIOU, Léa das Graças Camargos. Propostas curriculares em questão: saberes e docentes e trajetórias da educação. In: CUNHA, Maria Isabel da (Org.). Reflexões e Práticas em Pedagogia Universitária. Campinas, SP: Papirus, 2007.</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APPIAH, Kuame Anthony. Na casa de meu pai: a África na filosofia da cultura. Rio de Janeiro: Contraponto, 1997.</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 xml:space="preserve">ARMITAGE, David. Três conceitos de História Atlântica. História Unisinos18(2):206-217, Maio/Agosto 2014. </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ATA da Reunião conjunta das Congregações da Escola Federal de Minas de Ouro Preto e Escola Federal de Farmácia e Bioquímica de Ouro Preto realizada aos vinte e um dias de dezembro de mil novecentos sessenta e oito. Disponível em &lt;</w:t>
      </w:r>
      <w:r>
        <w:fldChar w:fldCharType="begin"/>
      </w:r>
      <w:r>
        <w:instrText xml:space="preserve"> HYPERLINK "https://ufop.br/sites/default/files/anteprojeto_de_criacao_da_ufop.pdf" \h </w:instrText>
      </w:r>
      <w:r>
        <w:fldChar w:fldCharType="separate"/>
      </w:r>
      <w:r>
        <w:rPr>
          <w:rFonts w:ascii="Times New Roman" w:hAnsi="Times New Roman" w:eastAsia="Calibri" w:cs="Times New Roman"/>
          <w:color w:val="0000FF"/>
          <w:u w:val="single"/>
        </w:rPr>
        <w:t>https://ufop.br/sites/default/files/anteprojeto_de_criacao_da_ufop.pdf</w:t>
      </w:r>
      <w:r>
        <w:rPr>
          <w:rFonts w:ascii="Times New Roman" w:hAnsi="Times New Roman" w:eastAsia="Calibri" w:cs="Times New Roman"/>
          <w:color w:val="0000FF"/>
          <w:u w:val="single"/>
        </w:rPr>
        <w:fldChar w:fldCharType="end"/>
      </w:r>
      <w:r>
        <w:rPr>
          <w:rFonts w:ascii="Times New Roman" w:hAnsi="Times New Roman" w:eastAsia="Calibri" w:cs="Times New Roman"/>
          <w:color w:val="000000"/>
        </w:rPr>
        <w:t>&gt;. Acesso em 06/10/2019.</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BAENA ZAPATERO, Alberto. Unejemplo de mundialización: El movimiento de biombos desde el Pacífico hasta elAtlántico (s. XVII-XVIII). Anuario de Estudios Americanos, 69, 1, enero-junio, 31-62, Sevilla (España), p. 31-6,2 2012.BARBOSA, Muryatan Santana. A África por ela mesma: a perspectiva africana na História Geral da África. (UNESCO) São Paulo, 2012 (Tese de doutorado).</w:t>
      </w:r>
    </w:p>
    <w:p>
      <w:pPr>
        <w:ind w:left="0" w:hanging="2"/>
        <w:rPr>
          <w:rFonts w:ascii="Times New Roman" w:hAnsi="Times New Roman" w:cs="Times New Roman"/>
        </w:rPr>
      </w:pPr>
      <w:r>
        <w:rPr>
          <w:rFonts w:ascii="Times New Roman" w:hAnsi="Times New Roman" w:eastAsia="Calibri" w:cs="Times New Roman"/>
        </w:rPr>
        <w:t xml:space="preserve">BARNWELL, J. </w:t>
      </w:r>
      <w:r>
        <w:rPr>
          <w:rFonts w:ascii="Times New Roman" w:hAnsi="Times New Roman" w:eastAsia="Calibri" w:cs="Times New Roman"/>
          <w:i/>
        </w:rPr>
        <w:t>Fundamentos de produção cinematográfica</w:t>
      </w:r>
      <w:r>
        <w:rPr>
          <w:rFonts w:ascii="Times New Roman" w:hAnsi="Times New Roman" w:eastAsia="Calibri" w:cs="Times New Roman"/>
        </w:rPr>
        <w:t>. Porto Alegre: Bookman, 2013.</w:t>
      </w:r>
    </w:p>
    <w:p>
      <w:pPr>
        <w:ind w:left="0" w:hanging="2"/>
        <w:rPr>
          <w:rFonts w:ascii="Times New Roman" w:hAnsi="Times New Roman" w:eastAsia="Calibri" w:cs="Times New Roman"/>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BRASIL. Secretaria de Educação Fundamental. Parâmetros curriculares nacionais: apresentação dos temas transversais, ética / Secretaria de Educação Fundamental. Brasília: MEC/SEF, 1997.</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BRASIL. Ministério da Educação. Conselho Nacional de Educação. Parecer CNE/CES 492/2001. [Brasília], 3 de abril de 2001.</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BRASIL Ministério da Educação. Conselho Nacional de Educação. Câmara Superior de Ensino. Parecer CNE/CS 009/2001. [Brasília], 8 de maio de 2001.</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BRASIL. Ministério da Educação. Conselho Nacional de Educação. Resolução CNE/CP 1/2002. [Brasília], de 18 de fevereiro de 2002.</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BRASIL. Ministério da Educação. Conselho Nacional de Educação. Resolução CNE/CES no 13. [Brasília], 13 de março de 2002.</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BRASIL. Ministério da Educação. Conselho Nacional de Educação. Resolução CNE/CES no 17. [Brasília], 13 de março de 2002.BRASIL. Ministério da Educação. Conselho Nacional de Educação. Parecer CNE/CES no. 136. [Brasília], 4 de junho de 2003.</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BRASIL. Ministério da Educação. Conselho Nacional de Educação. Parecer no. 329/04.  [Brasília], 11 de novembro de 2004.</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BRASIL. Ministério da Educação. Conselho Nacional de Educação. Resolução / CNE/CES no. 2. [Brasília], 18 de junho de 2007.</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BRASIL. Lei no 13.005, de 25 de junho de 2014. Aprova o Plano Nacional de Educação- PNE e dá outras providências. Diário Oficial da União, Brasília, DF, 26 jun. 2014.</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BRASIL. Ministério da Educação. Secretaria de Educação Básica. Secretaria de Educação Continuada, Alfabetização, Diversidade e Inclusão. Secretaria de Educação Profissional e Tecnológica. Conselho Nacional da Educação. Câmara Nacional de Educação Básica. Diretrizes Curriculares Nacionais Gerais da Educação Básica /Ministério da Educação. Secretaria de Educação Básica. Diretoria de Currículos e Educação Integral. Brasília: MEC, SEB, DICEI, 2013.</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BRASIL. Ministério da Educação. Instituto Nacional de Estudos e Pesquisas Educacionais Anísio Teixeira – INEP. Instrumento de Avaliação de Cursos de Graduação – Bacharelados, Licenciaturas e Cursos Superiores de Tecnologia. Brasília, março, 2011.</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BRASIL. Ministério da Educação. Instituto Nacional de Estudos e Pesquisas Educacionais Anísio Teixeira – INEP. Instrumento de Avaliação de Cursos de Graduação presencial e a distância. Brasília, maio, 2012.</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BRASIL. Ministério da Educação. Secretaria de Educação Básica. Secretaria de Educação Continuada, Alfabetização, Diversidade e Inclusão. Secretaria de Educação Profissional e Tecnológica. Conselho Nacional da Educação. Câmara Nacional de Educação Básica. Diretrizes Curriculares Nacionais Gerais da Educação Básica / Ministério da Educação. Secretaria de Educação Básica. Diretoria de Currículos e Educação Integral. Brasília: MEC, SEB, DICEI, 2013.</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BRASIL. LDB: Lei de diretrizes e bases da educação nacional. Brasília: Senado Federal, Coordenação de Edições Técnicas, 2017.</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BUTLER, Judith. UndoingGender. New York, London: Routledge, 2004.</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CAÑIZARES-ESGUERRA, Jorge. Como escrever a história do Novo Mundo: Historiografias, epistemologias e identidades no mundo atlântico. São Paulo: Edusp, 2011.</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CAVALCANTE, Thiago L. V. Etno-história e história indígena: questões sobre conceitos, métodos e relevância da pesquisa. História (São Paulo), v. 30, n. 1, p. 349-371, jan./jun. 2011.</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Calibri" w:cs="Times New Roman"/>
          <w:color w:val="000000"/>
        </w:rPr>
      </w:pPr>
      <w:r>
        <w:rPr>
          <w:rFonts w:ascii="Times New Roman" w:hAnsi="Times New Roman" w:eastAsia="Calibri" w:cs="Times New Roman"/>
          <w:color w:val="000000"/>
        </w:rPr>
        <w:t xml:space="preserve">CHAKRABARTY, Dipesh. O clima da história: quatro teses. Sopro 91, julho de 2013. Disponível em: </w:t>
      </w:r>
      <w:r>
        <w:fldChar w:fldCharType="begin"/>
      </w:r>
      <w:r>
        <w:instrText xml:space="preserve"> HYPERLINK "http://www.culturaebarbarie.org/sopro/n91s.pdf." \h </w:instrText>
      </w:r>
      <w:r>
        <w:fldChar w:fldCharType="separate"/>
      </w:r>
      <w:r>
        <w:rPr>
          <w:rFonts w:ascii="Times New Roman" w:hAnsi="Times New Roman" w:eastAsia="Calibri" w:cs="Times New Roman"/>
          <w:color w:val="0000FF"/>
          <w:u w:val="single"/>
        </w:rPr>
        <w:t>http://www.culturaebarbarie.org/sopro/n91s.pdf.</w:t>
      </w:r>
      <w:r>
        <w:rPr>
          <w:rFonts w:ascii="Times New Roman" w:hAnsi="Times New Roman" w:eastAsia="Calibri" w:cs="Times New Roman"/>
          <w:color w:val="0000FF"/>
          <w:u w:val="single"/>
        </w:rPr>
        <w:fldChar w:fldCharType="end"/>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CORREA, M.E., SALDARRIAGA, D. El epistemicidio indígena latinoamericano. algunas reflexiones desde elpensamiento crítico decolonial. CES Derecho, 5(2), 154-164, 2014.</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COSTA, Antonio Carlos Figueiredo; ALMEIDA, Daniella Custódia de Almeida; SILVA, Tayane Alves da Silva. Os temas transversais e a lei 10.639/03: o desafio da sua aplicação nas séries iniciais de ensino. SABERES, Natal RN, v. 1, n. 18, Maio, 2018, 149-157.</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CUNHA, Manuela Carneiro da. História dos índios no Brasil. São Paulo: Companhia das Letras, 1992.</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 xml:space="preserve">CUSICANQUI, Silvia Rivera. Chhixinakaxutxiwa. Una reflexión sobre prácticas y discursos colonizadores. In: YUPI, Mario (Comp.). Modernidad y pensamiento descolonizador. Memoria del Seminario Internacional. La Paz: U-PIEB – IFEA. Acesso em 16/07/2017. Disponível em: </w:t>
      </w:r>
      <w:r>
        <w:fldChar w:fldCharType="begin"/>
      </w:r>
      <w:r>
        <w:instrText xml:space="preserve"> HYPERLINK "http://www.ram-wan.net/restrepo/decolonial/24-rivera-iscursos%20descolonizadores.pdf" \h </w:instrText>
      </w:r>
      <w:r>
        <w:fldChar w:fldCharType="separate"/>
      </w:r>
      <w:r>
        <w:rPr>
          <w:rFonts w:ascii="Times New Roman" w:hAnsi="Times New Roman" w:eastAsia="Calibri" w:cs="Times New Roman"/>
          <w:color w:val="0000FF"/>
          <w:u w:val="single"/>
        </w:rPr>
        <w:t>http://www.ram-wan.net/restrepo/decolonial/24-rivera-iscursos%20%20descolonizadores.pdf</w:t>
      </w:r>
      <w:r>
        <w:rPr>
          <w:rFonts w:ascii="Times New Roman" w:hAnsi="Times New Roman" w:eastAsia="Calibri" w:cs="Times New Roman"/>
          <w:color w:val="0000FF"/>
          <w:u w:val="single"/>
        </w:rPr>
        <w:fldChar w:fldCharType="end"/>
      </w:r>
      <w:r>
        <w:rPr>
          <w:rFonts w:ascii="Times New Roman" w:hAnsi="Times New Roman" w:eastAsia="Calibri" w:cs="Times New Roman"/>
          <w:color w:val="000000"/>
        </w:rPr>
        <w:t xml:space="preserve">. </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DUSSEL, Enrique. Una nueva edad en la historia de la filosofía: el diálogo mundial entre tradiciones filosóficas. Educación Superior (CIICH-UNAM), Vol. 7 No. 43-44, (enero-abril): 44-58, 2009.</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 xml:space="preserve">FARIA &amp; SILVA, Thiago de. Hegemonia Audiovisual e Escola. In: SILVA, Marcos (Org.). </w:t>
      </w:r>
      <w:r>
        <w:rPr>
          <w:rFonts w:ascii="Times New Roman" w:hAnsi="Times New Roman" w:eastAsia="Calibri" w:cs="Times New Roman"/>
          <w:i/>
          <w:color w:val="000000"/>
        </w:rPr>
        <w:t>História, que ensino é esse?</w:t>
      </w:r>
      <w:r>
        <w:rPr>
          <w:rFonts w:ascii="Times New Roman" w:hAnsi="Times New Roman" w:eastAsia="Calibri" w:cs="Times New Roman"/>
          <w:color w:val="000000"/>
        </w:rPr>
        <w:t xml:space="preserve"> Campinas: Papirus, 2013, p. 153-171.</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FÁVERO, Maria de Lourdes de Albuquerque. A Universidade no Brasil: das origens à Reforma Universitária de 1968. Educar, 28: 17-36, 2006.</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FERNANDES, Angela Viana Machado; PALUDETO, Melina Casari Paludeto. Educação e Direitos Humanos: desafios para a escola contemporânea. Cad. Cedes, Campinas, vol. 30, n. 81, p. 233-249, mai.-ago. 2010.</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 xml:space="preserve">FERNÁNDEZ, Blanca; SEPÚLVEDA, Bastien. Pueblos indígenas, saberes y descolonización: processos interculturales em América Latina. Polis revistalatinoamericana, n. 38, 2014. Disponível em: </w:t>
      </w:r>
      <w:r>
        <w:fldChar w:fldCharType="begin"/>
      </w:r>
      <w:r>
        <w:instrText xml:space="preserve"> HYPERLINK "https://polis.revues.org/10323" \h </w:instrText>
      </w:r>
      <w:r>
        <w:fldChar w:fldCharType="separate"/>
      </w:r>
      <w:r>
        <w:rPr>
          <w:rFonts w:ascii="Times New Roman" w:hAnsi="Times New Roman" w:eastAsia="Calibri" w:cs="Times New Roman"/>
          <w:color w:val="0000FF"/>
          <w:u w:val="single"/>
        </w:rPr>
        <w:t>https://polis.revues.org/10323</w:t>
      </w:r>
      <w:r>
        <w:rPr>
          <w:rFonts w:ascii="Times New Roman" w:hAnsi="Times New Roman" w:eastAsia="Calibri" w:cs="Times New Roman"/>
          <w:color w:val="0000FF"/>
          <w:u w:val="single"/>
        </w:rPr>
        <w:fldChar w:fldCharType="end"/>
      </w:r>
      <w:r>
        <w:rPr>
          <w:rFonts w:ascii="Times New Roman" w:hAnsi="Times New Roman" w:eastAsia="Calibri" w:cs="Times New Roman"/>
          <w:color w:val="000000"/>
        </w:rPr>
        <w:t xml:space="preserve"> Acesso em: 16/07/2017.</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 xml:space="preserve">FERRO, Marc. </w:t>
      </w:r>
      <w:r>
        <w:rPr>
          <w:rFonts w:ascii="Times New Roman" w:hAnsi="Times New Roman" w:eastAsia="Calibri" w:cs="Times New Roman"/>
          <w:i/>
          <w:color w:val="000000"/>
        </w:rPr>
        <w:t>Cinema e História</w:t>
      </w:r>
      <w:r>
        <w:rPr>
          <w:rFonts w:ascii="Times New Roman" w:hAnsi="Times New Roman" w:eastAsia="Calibri" w:cs="Times New Roman"/>
          <w:color w:val="000000"/>
        </w:rPr>
        <w:t>. São Paulo: Paz e Terra, 2010.</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FRISCH, Michael. A Shared Authority: Essays on the Craft and Meaning of Oral and Public History. Albany: State University of New York Press, 1990.</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FORPROEX - FÓRUM DE PRÓ-REITORES DE EXTENSÃO DAS UNIVERSIDADES PÚBLICAS BRASILEIRAS. Indissociabilidade ensino-pesquisa- extensão e a flexibilização curricular: uma visão da extensão. Porto Alegre: UFRGS; Brasília: MEC/SISu, 2006.</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FORPROEX - FÓRUM DE PRÓ-REITORES DE EXTENSÃO DAS UNIVERSIDADES PÚBLICAS BRASILEIRAS. Institucionalização da extensão nas universidades públicas brasileiras: estudo comparativo 1993/2004. 2a ed. João Pessoa: Editora Universitária da UFPB; Belo Horizonte: Coopmed, 2007.</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FORPROEX - FÓRUM DE PRÓ-REITORES DE EXTENSÃO DAS UNIVERSIDADES PÚBLICAS BRASILEIRAS. Extensão Universitária: organização e sistematização. Belo Horizonte: Coopmed, 2007.</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FORPROEX - FÓRUM DE PRÓ-REITORES DE EXTENSÃO DAS UNIVERSIDADES PÚBLICAS BRASILEIRAS. Avaliação da Extensão Universitária: práticas e discussões da Comissão Permanente de Avaliação da Extensão. Belo Horizonte: FORPROEX/CPAE; PROEX/UFMG, 2013.</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FORPROEX - FÓRUM DE PRÓ-REITORES DE EXTENSÃO DAS UNIVERSIDADES PÚBLICAS BRASILEIRAS. Política Nacional de Extensão Universitária. Florianópolis: Imprensa Universitária, 2015.</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GARDINER, Patrick (Org.). Teorias da história (trad.: Vítor Matos e Sá). Lisboa: Fundação Calouste Gulbenkian, 2004; HALL, Stuart. Da Diáspora. Belo Horizonte: Ed.UFMG, 2003.</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GILROY, Paul. O Atlântico Negro. Modernidade e dupla consciência, São Paulo, Rio de Janeiro, 34/Universidade Cândido Mendes – Centro de Estudos Afro-Asiáticos, 2001.</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GOMES, Nilma Lino. Relações étnico-raciais, educação e descolonização dos currículos. Currículo sem fronteiras, v. 12, n. 1, p. 98-109, abr2012.GONÇALVES, Clézio Roberto, MUNIZ, Kassandra da Silva (Orgs.). Educação como prática da igualdade racial na escola. Belo Horizonte: Mazza Edições, 2016.</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GRUZINSKI, Serge. Les mondes mêlés de lamonarchiecatholique et autres “connected histories”. Annales HSS, v. 56, n. 1, p. 85-117, jan.-fev. 2001.</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HAUPT, Heinz-Gerhard; KOCKA, Jürgen (Eds.). Comparative and Transnational History: Central European Approaches and new Perspectives. New York: Berghan Books, 2009.</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 xml:space="preserve">HOUNTONDJI, Paulin J. Conhecimento de África, conhecimento de Africanos: Duas perspectivas sobre os Estudos Africanos. </w:t>
      </w:r>
      <w:r>
        <w:fldChar w:fldCharType="begin"/>
      </w:r>
      <w:r>
        <w:instrText xml:space="preserve"> HYPERLINK "https://journals.openedition.org/rccs/699" \h </w:instrText>
      </w:r>
      <w:r>
        <w:fldChar w:fldCharType="separate"/>
      </w:r>
      <w:r>
        <w:rPr>
          <w:rFonts w:ascii="Times New Roman" w:hAnsi="Times New Roman" w:eastAsia="Calibri" w:cs="Times New Roman"/>
          <w:color w:val="0000FF"/>
          <w:u w:val="single"/>
        </w:rPr>
        <w:t>https://journals.openedition.org/rccs/699</w:t>
      </w:r>
      <w:r>
        <w:rPr>
          <w:rFonts w:ascii="Times New Roman" w:hAnsi="Times New Roman" w:eastAsia="Calibri" w:cs="Times New Roman"/>
          <w:color w:val="0000FF"/>
          <w:u w:val="single"/>
        </w:rPr>
        <w:fldChar w:fldCharType="end"/>
      </w:r>
      <w:r>
        <w:rPr>
          <w:rFonts w:ascii="Times New Roman" w:hAnsi="Times New Roman" w:eastAsia="Calibri" w:cs="Times New Roman"/>
          <w:color w:val="000000"/>
        </w:rPr>
        <w:t>.</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 xml:space="preserve">KOCH, Ingedore Villaça &amp; ELIAS, Vanda Maria. </w:t>
      </w:r>
      <w:r>
        <w:rPr>
          <w:rFonts w:ascii="Times New Roman" w:hAnsi="Times New Roman" w:eastAsia="Calibri" w:cs="Times New Roman"/>
          <w:i/>
          <w:color w:val="000000"/>
        </w:rPr>
        <w:t>Ler e Compreender</w:t>
      </w:r>
      <w:r>
        <w:rPr>
          <w:rFonts w:ascii="Times New Roman" w:hAnsi="Times New Roman" w:eastAsia="Calibri" w:cs="Times New Roman"/>
          <w:color w:val="000000"/>
        </w:rPr>
        <w:t>: os sentidos do texto. São Paulo: Contexto, 2017.</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KOPENAWA, Davi; ALBERT, Bruce. A queda do céu: palavras de um xamã yanomami. São Paulo: Companhia das Letras, 2015.</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 xml:space="preserve">KOSELLECK, Reinhart. Futuro Passado: contribuição à semântica dos tempos históricos. Rio de Janeiro: Contraponto; Puc-Rio, 2006. </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KRENAK, Ailton. O eterno retorno do encontro. In: NOVAES, Adauto. A outra margem do ocidente. São Paulo: Companhia das Letras, 1999.</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MAIA DO BOMFIM, Alexandre et. al. Parâmetros curriculares nacionais: uma revisita aos temas transversais meio ambiente e saúde. Trabalho, Educação e Saúde [enlinea]. 2013, 11(1), 27-52 [fecha de Consulta 18 de Noviembre de 2019]. ISSN: 1678-1007. Disponibleen: https://www.redalyc.org/articulo.oa?id=406756995003.</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 xml:space="preserve">MALERBA, Jurandir (org.) Historiografia contemporânea em perspectiva crítica. Bauru: EDUSC, 2007. </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MATTOS, Hebe; ABREU, Martha; GURAN, Milton. Por uma história pública dos africanos escravizados no Brasil. Revista Estudos Históricos, Rio de Janeiro, v. 27, n. 54, p. 255-273, jun. 2014.MBEMBE, Achille. Crítica da Razão Negra. Lisboa: N</w:t>
      </w:r>
      <w:r>
        <w:rPr>
          <w:rFonts w:ascii="Times New Roman" w:hAnsi="Times New Roman" w:eastAsia="Calibri" w:cs="Times New Roman"/>
          <w:color w:val="000000"/>
          <w:vertAlign w:val="superscript"/>
        </w:rPr>
        <w:t>o</w:t>
      </w:r>
      <w:r>
        <w:rPr>
          <w:rFonts w:ascii="Times New Roman" w:hAnsi="Times New Roman" w:eastAsia="Calibri" w:cs="Times New Roman"/>
          <w:color w:val="000000"/>
        </w:rPr>
        <w:t>.1 Edições, 2018.</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MOMIGLIANO, Arnaldo. As raízes clássicas da historiografia contemporânea. Bauru: Edusc, 2004.</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MONTEIRO, John M. Tupis, tapuias e historiadores: estudos de História Indígena e do Indigenismo. Campinas, Unicamp, 2001.</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PARGA, José-Sánchez. Qué significa ser indígena para el indígena. Más allá de lacomunidad y lalengua. Cuenca, Ecuador: Universidad Politécnica Salesiana, 2013.</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 xml:space="preserve">PEREIRA, Júnia Sales. Reconhecendo ou construindo uma polaridade étnico-identitária? Desafios do ensino de história no imediato contexto pós-Lei no 10.639. Estudos Históricos, Rio de Janeiro, v. 21, n. 41, jan.- jun. de 2008, p. 21-43. </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PRADO, Maria Ligia Coelho. Repensando a história comparada da América Latina. Revista de História, São Paulo, n.153, 2</w:t>
      </w:r>
      <w:r>
        <w:rPr>
          <w:rFonts w:ascii="Times New Roman" w:hAnsi="Times New Roman" w:eastAsia="Calibri" w:cs="Times New Roman"/>
          <w:color w:val="000000"/>
          <w:vertAlign w:val="superscript"/>
        </w:rPr>
        <w:t>o</w:t>
      </w:r>
      <w:r>
        <w:rPr>
          <w:rFonts w:ascii="Times New Roman" w:hAnsi="Times New Roman" w:eastAsia="Calibri" w:cs="Times New Roman"/>
          <w:color w:val="000000"/>
        </w:rPr>
        <w:t>. semestre de 2005, p. 11-33,.</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PROPLAD.  A UFOP em Números – Agosto de 2019. Disponível em &lt;</w:t>
      </w:r>
      <w:r>
        <w:fldChar w:fldCharType="begin"/>
      </w:r>
      <w:r>
        <w:instrText xml:space="preserve"> HYPERLINK "https://proplad.ufop.br/sites/default/files/a_ufop_em_numeros.pdf" \h </w:instrText>
      </w:r>
      <w:r>
        <w:fldChar w:fldCharType="separate"/>
      </w:r>
      <w:r>
        <w:rPr>
          <w:rFonts w:ascii="Times New Roman" w:hAnsi="Times New Roman" w:eastAsia="Calibri" w:cs="Times New Roman"/>
          <w:color w:val="0000FF"/>
          <w:u w:val="single"/>
        </w:rPr>
        <w:t>https://proplad.ufop.br/sites/default/files/a_ufop_em_numeros.pdf</w:t>
      </w:r>
      <w:r>
        <w:rPr>
          <w:rFonts w:ascii="Times New Roman" w:hAnsi="Times New Roman" w:eastAsia="Calibri" w:cs="Times New Roman"/>
          <w:color w:val="0000FF"/>
          <w:u w:val="single"/>
        </w:rPr>
        <w:fldChar w:fldCharType="end"/>
      </w:r>
      <w:r>
        <w:rPr>
          <w:rFonts w:ascii="Times New Roman" w:hAnsi="Times New Roman" w:eastAsia="Calibri" w:cs="Times New Roman"/>
          <w:color w:val="000000"/>
        </w:rPr>
        <w:t>.&gt; Acesso em 10/10/2019.</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QUIJANO, Aníbal. Coloniality of Power, Ethnocentrism, and Latin America. Nepantla1 (3), 2000, p. 533-580.</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RANKE, Leopoldvon. Pueblos y estados en la Historia Moderna. México: Fondo de Cultura Económica, 1986.</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 xml:space="preserve">ROSENSTONE, Robert A. </w:t>
      </w:r>
      <w:r>
        <w:rPr>
          <w:rFonts w:ascii="Times New Roman" w:hAnsi="Times New Roman" w:eastAsia="Calibri" w:cs="Times New Roman"/>
          <w:i/>
          <w:color w:val="000000"/>
        </w:rPr>
        <w:t>A História nos Filmes / Os Filmes na História</w:t>
      </w:r>
      <w:r>
        <w:rPr>
          <w:rFonts w:ascii="Times New Roman" w:hAnsi="Times New Roman" w:eastAsia="Calibri" w:cs="Times New Roman"/>
          <w:color w:val="000000"/>
        </w:rPr>
        <w:t>. 2ª. Edição. Rio de Janeiro: Paz e Terra, 2015.</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SORÁ, Gustavo. Traducirel Brasil: una antropología de lacirculación internacional de ideas. Buenos Aires: LibrosdelZorzal, 2003.</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SOUZA, Donaldo; MENEZES, Janaína. Elaboração e aprovação de planos de educação no Brasil: do nacional ao local. Ensaio: aval. pol.públ. Educ., Rio de Janeiro, v.23, n.89, p. 901-936, out./dez. 2015.</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SUBRAHMANYAM, Sanjay. Connected Histories: Notes towards a Reconfiguration of Early Modern Eurasia. Modern Asian Studies, v. 31, n. 3, p. 735-762, jul. 1997.</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Calibri" w:cs="Times New Roman"/>
          <w:color w:val="000000"/>
        </w:rPr>
        <w:t xml:space="preserve">TERRA, Ernani. </w:t>
      </w:r>
      <w:r>
        <w:rPr>
          <w:rFonts w:ascii="Times New Roman" w:hAnsi="Times New Roman" w:eastAsia="Calibri" w:cs="Times New Roman"/>
          <w:i/>
          <w:color w:val="000000"/>
        </w:rPr>
        <w:t>Leitura do Texto Literário</w:t>
      </w:r>
      <w:r>
        <w:rPr>
          <w:rFonts w:ascii="Times New Roman" w:hAnsi="Times New Roman" w:eastAsia="Calibri" w:cs="Times New Roman"/>
          <w:color w:val="000000"/>
        </w:rPr>
        <w:t>. São Paulo: Contexto, 2014.</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THAPAR, Romila. Tiempo cíclico y tiempo lineal enlaIndiaAntigua. Museum Internacional, n. 127, 2005, p. 16-28.</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 xml:space="preserve">TZUL TZUL, Gladys. Mujeres indígenas: Historias de lareproducción de la vida em Guatemala. Una reflexión a partir de la visita de Silvia Federici. Bajo elVolcán, v. 15, 22, marzo-agosto, 2015, pp. 91-99. Disponível em: </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https://www.redalyc.org/pdf/286/28642148007.pdf. Acesso em 20/12/2018.</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UNIVERSIDADE FEDERAL DE OURO PRETO. Estatuto da Universidade Federal deOuro Preto (1997)/2014. Disponível em:</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 xml:space="preserve"> &lt;</w:t>
      </w:r>
      <w:r>
        <w:fldChar w:fldCharType="begin"/>
      </w:r>
      <w:r>
        <w:instrText xml:space="preserve"> HYPERLINK "https://ufop.br/sites/default/files/estatuto.pdf" \h </w:instrText>
      </w:r>
      <w:r>
        <w:fldChar w:fldCharType="separate"/>
      </w:r>
      <w:r>
        <w:rPr>
          <w:rFonts w:ascii="Times New Roman" w:hAnsi="Times New Roman" w:eastAsia="Calibri" w:cs="Times New Roman"/>
          <w:color w:val="0000FF"/>
          <w:u w:val="single"/>
        </w:rPr>
        <w:t>https://ufop.br/sites/default/files/estatuto.pdf</w:t>
      </w:r>
      <w:r>
        <w:rPr>
          <w:rFonts w:ascii="Times New Roman" w:hAnsi="Times New Roman" w:eastAsia="Calibri" w:cs="Times New Roman"/>
          <w:color w:val="0000FF"/>
          <w:u w:val="single"/>
        </w:rPr>
        <w:fldChar w:fldCharType="end"/>
      </w:r>
      <w:r>
        <w:rPr>
          <w:rFonts w:ascii="Times New Roman" w:hAnsi="Times New Roman" w:eastAsia="Calibri" w:cs="Times New Roman"/>
          <w:color w:val="000000"/>
        </w:rPr>
        <w:t>&gt;. Acesso em 8/10/2018.</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UNIVERSIDADE FEDERAL DE OURO PRETO. Plano de Desenvolvimento Institucional - Universidade Federal de Ouro Preto/2010-2015 (PDI UFOP, 2010-2015). Disponível em:</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 xml:space="preserve"> &lt;</w:t>
      </w:r>
      <w:r>
        <w:fldChar w:fldCharType="begin"/>
      </w:r>
      <w:r>
        <w:instrText xml:space="preserve"> HYPERLINK "https://www.ufop.br/sites/default/files/pdi_ufop_2016_2025.pdf" \h </w:instrText>
      </w:r>
      <w:r>
        <w:fldChar w:fldCharType="separate"/>
      </w:r>
      <w:r>
        <w:rPr>
          <w:rFonts w:ascii="Times New Roman" w:hAnsi="Times New Roman" w:eastAsia="Calibri" w:cs="Times New Roman"/>
          <w:color w:val="0000FF"/>
          <w:u w:val="single"/>
        </w:rPr>
        <w:t>https://www.ufop.br/sites/default/files/pdi_ufop_2016_2025.pdf</w:t>
      </w:r>
      <w:r>
        <w:rPr>
          <w:rFonts w:ascii="Times New Roman" w:hAnsi="Times New Roman" w:eastAsia="Calibri" w:cs="Times New Roman"/>
          <w:color w:val="0000FF"/>
          <w:u w:val="single"/>
        </w:rPr>
        <w:fldChar w:fldCharType="end"/>
      </w:r>
      <w:r>
        <w:rPr>
          <w:rFonts w:ascii="Times New Roman" w:hAnsi="Times New Roman" w:eastAsia="Calibri" w:cs="Times New Roman"/>
          <w:color w:val="000000"/>
        </w:rPr>
        <w:t>&gt;. Acesso em: 08/10/2019.</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UNIVERSIDADE FEDERAL DE OURO PRETO. Pró-reitoria de Assuntos Comunitários e Estudantis. Perfil socioeconômico e cultural dos estudantes de graduação da UFOP [recurso eletrônico]: ingressantes na Graduação 2017-1. Ouro Preto, MG: Editora da UFOP, 2018.</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UNIVERSIDADE FEDERAL DE OURO PRETO. Resolução CEPE n° 7.609. Boletim administrativo 52, 30 de novembro de 2018.</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VEIGA, Laura. Os projetos educativos como projetos de classe: Estado e Universidade no Brasil (1954-1964). Revista Educação e Sociedade, 11: 25-71, 1982.</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WEINSTEIN, Barbara. Pensando a história fora da nação: a historiografia da América Latina e o viés transnacional. Revista Eletrônica da Anphlac, n</w:t>
      </w:r>
      <w:r>
        <w:rPr>
          <w:rFonts w:ascii="Times New Roman" w:hAnsi="Times New Roman" w:eastAsia="Calibri" w:cs="Times New Roman"/>
          <w:color w:val="000000"/>
          <w:vertAlign w:val="superscript"/>
        </w:rPr>
        <w:t>o</w:t>
      </w:r>
      <w:r>
        <w:rPr>
          <w:rFonts w:ascii="Times New Roman" w:hAnsi="Times New Roman" w:eastAsia="Calibri" w:cs="Times New Roman"/>
          <w:color w:val="000000"/>
        </w:rPr>
        <w:t xml:space="preserve">. 14, jan.-jun. 2013, p. 13-29, </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WERNER, Michaël; ZIMMERMANN, Bénédicte. Penser l’histoire croisée: entre empirieetréflexivité. Annales HSS, v. 58, n</w:t>
      </w:r>
      <w:r>
        <w:rPr>
          <w:rFonts w:ascii="Times New Roman" w:hAnsi="Times New Roman" w:eastAsia="Calibri" w:cs="Times New Roman"/>
          <w:color w:val="000000"/>
          <w:vertAlign w:val="superscript"/>
        </w:rPr>
        <w:t>o</w:t>
      </w:r>
      <w:r>
        <w:rPr>
          <w:rFonts w:ascii="Times New Roman" w:hAnsi="Times New Roman" w:eastAsia="Calibri" w:cs="Times New Roman"/>
          <w:color w:val="000000"/>
        </w:rPr>
        <w:t>. 1, jan.-fev. 2003, p. 7-36.</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Calibri" w:cs="Times New Roman"/>
          <w:color w:val="000000"/>
        </w:rPr>
        <w:t>ZAPATA, Claudia (Comp.). Intelectuales indígenas piensan América Latina. Quito: Universidad Andina Simón Bolívar, 2007.</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Calibri"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Calibri" w:cs="Times New Roman"/>
          <w:i/>
          <w:color w:val="000000"/>
        </w:rPr>
        <w:t xml:space="preserve">Páginas consultadas: </w:t>
      </w:r>
    </w:p>
    <w:p>
      <w:pPr>
        <w:pBdr>
          <w:top w:val="none" w:color="auto" w:sz="0" w:space="0"/>
          <w:left w:val="none" w:color="auto" w:sz="0" w:space="0"/>
          <w:bottom w:val="none" w:color="auto" w:sz="0" w:space="0"/>
          <w:right w:val="none" w:color="auto" w:sz="0" w:space="0"/>
          <w:between w:val="none" w:color="auto" w:sz="0" w:space="0"/>
        </w:pBdr>
        <w:spacing w:before="240" w:after="140" w:line="288" w:lineRule="auto"/>
        <w:ind w:left="0" w:hanging="2"/>
        <w:rPr>
          <w:rFonts w:ascii="Times New Roman" w:hAnsi="Times New Roman" w:eastAsia="Times New Roman" w:cs="Times New Roman"/>
          <w:color w:val="000000"/>
        </w:rPr>
      </w:pPr>
      <w:r>
        <w:fldChar w:fldCharType="begin"/>
      </w:r>
      <w:r>
        <w:instrText xml:space="preserve"> HYPERLINK "http://anphlac.fflch.usp.br/historico" \h </w:instrText>
      </w:r>
      <w:r>
        <w:fldChar w:fldCharType="separate"/>
      </w:r>
      <w:r>
        <w:rPr>
          <w:rFonts w:ascii="Times New Roman" w:hAnsi="Times New Roman" w:eastAsia="Calibri" w:cs="Times New Roman"/>
          <w:color w:val="0000FF"/>
          <w:u w:val="single"/>
        </w:rPr>
        <w:t>http://anphlac.fflch.usp.br/historico</w:t>
      </w:r>
      <w:r>
        <w:rPr>
          <w:rFonts w:ascii="Times New Roman" w:hAnsi="Times New Roman" w:eastAsia="Calibri" w:cs="Times New Roman"/>
          <w:color w:val="0000FF"/>
          <w:u w:val="single"/>
        </w:rPr>
        <w:fldChar w:fldCharType="end"/>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fldChar w:fldCharType="begin"/>
      </w:r>
      <w:r>
        <w:instrText xml:space="preserve"> HYPERLINK "http://www.sbthh.org.br/%20pb/seminario-brasileiro-de-historia-da-historiografia/" \h </w:instrText>
      </w:r>
      <w:r>
        <w:fldChar w:fldCharType="separate"/>
      </w:r>
      <w:r>
        <w:rPr>
          <w:rFonts w:ascii="Times New Roman" w:hAnsi="Times New Roman" w:eastAsia="Calibri" w:cs="Times New Roman"/>
          <w:color w:val="0000FF"/>
          <w:u w:val="single"/>
        </w:rPr>
        <w:t>http://www.sbthh.org.br/ pb/seminario-brasileiro-de-historia-da-historiografia/</w:t>
      </w:r>
      <w:r>
        <w:rPr>
          <w:rFonts w:ascii="Times New Roman" w:hAnsi="Times New Roman" w:eastAsia="Calibri" w:cs="Times New Roman"/>
          <w:color w:val="0000FF"/>
          <w:u w:val="single"/>
        </w:rPr>
        <w:fldChar w:fldCharType="end"/>
      </w:r>
    </w:p>
    <w:p>
      <w:pPr>
        <w:pBdr>
          <w:top w:val="none" w:color="auto" w:sz="0" w:space="0"/>
          <w:left w:val="none" w:color="auto" w:sz="0" w:space="0"/>
          <w:bottom w:val="none" w:color="auto" w:sz="0" w:space="0"/>
          <w:right w:val="none" w:color="auto" w:sz="0" w:space="0"/>
          <w:between w:val="none" w:color="auto" w:sz="0" w:space="0"/>
        </w:pBdr>
        <w:spacing w:after="120" w:line="240" w:lineRule="auto"/>
        <w:ind w:left="0" w:hanging="2"/>
        <w:rPr>
          <w:rFonts w:ascii="Times New Roman" w:hAnsi="Times New Roman" w:eastAsia="Times New Roman" w:cs="Times New Roman"/>
          <w:color w:val="000000"/>
        </w:rPr>
      </w:pPr>
      <w:r>
        <w:fldChar w:fldCharType="begin"/>
      </w:r>
      <w:r>
        <w:instrText xml:space="preserve"> HYPERLINK "https://zeppelin10.ufop.br/minhaUfop/desktop/login.xhtml" \h </w:instrText>
      </w:r>
      <w:r>
        <w:fldChar w:fldCharType="separate"/>
      </w:r>
      <w:r>
        <w:rPr>
          <w:rFonts w:ascii="Times New Roman" w:hAnsi="Times New Roman" w:eastAsia="Calibri" w:cs="Times New Roman"/>
          <w:color w:val="0000FF"/>
          <w:u w:val="single"/>
        </w:rPr>
        <w:t>https://zeppelin10.ufop.br/minhaUfop/desktop/login.xhtml</w:t>
      </w:r>
      <w:r>
        <w:rPr>
          <w:rFonts w:ascii="Times New Roman" w:hAnsi="Times New Roman" w:eastAsia="Calibri" w:cs="Times New Roman"/>
          <w:color w:val="0000FF"/>
          <w:u w:val="single"/>
        </w:rPr>
        <w:fldChar w:fldCharType="end"/>
      </w:r>
    </w:p>
    <w:p>
      <w:pPr>
        <w:pBdr>
          <w:top w:val="none" w:color="auto" w:sz="0" w:space="0"/>
          <w:left w:val="none" w:color="auto" w:sz="0" w:space="0"/>
          <w:bottom w:val="none" w:color="auto" w:sz="0" w:space="0"/>
          <w:right w:val="none" w:color="auto" w:sz="0" w:space="0"/>
          <w:between w:val="none" w:color="auto" w:sz="0" w:space="0"/>
        </w:pBdr>
        <w:spacing w:after="120" w:line="240" w:lineRule="auto"/>
        <w:ind w:left="0" w:hanging="2"/>
        <w:rPr>
          <w:rFonts w:ascii="Times New Roman" w:hAnsi="Times New Roman" w:eastAsia="Times New Roman" w:cs="Times New Roman"/>
          <w:color w:val="000000"/>
        </w:rPr>
      </w:pPr>
      <w:r>
        <w:fldChar w:fldCharType="begin"/>
      </w:r>
      <w:r>
        <w:instrText xml:space="preserve"> HYPERLINK "http://www.nei.ufop.br/" \h </w:instrText>
      </w:r>
      <w:r>
        <w:fldChar w:fldCharType="separate"/>
      </w:r>
      <w:r>
        <w:rPr>
          <w:rFonts w:ascii="Times New Roman" w:hAnsi="Times New Roman" w:eastAsia="Calibri" w:cs="Times New Roman"/>
          <w:color w:val="0000FF"/>
          <w:u w:val="single"/>
        </w:rPr>
        <w:t>http://www.nei.ufop.br/</w:t>
      </w:r>
      <w:r>
        <w:rPr>
          <w:rFonts w:ascii="Times New Roman" w:hAnsi="Times New Roman" w:eastAsia="Calibri" w:cs="Times New Roman"/>
          <w:color w:val="0000FF"/>
          <w:u w:val="single"/>
        </w:rPr>
        <w:fldChar w:fldCharType="end"/>
      </w:r>
    </w:p>
    <w:p>
      <w:pPr>
        <w:pBdr>
          <w:top w:val="none" w:color="auto" w:sz="0" w:space="0"/>
          <w:left w:val="none" w:color="auto" w:sz="0" w:space="0"/>
          <w:bottom w:val="none" w:color="auto" w:sz="0" w:space="0"/>
          <w:right w:val="none" w:color="auto" w:sz="0" w:space="0"/>
          <w:between w:val="none" w:color="auto" w:sz="0" w:space="0"/>
        </w:pBdr>
        <w:spacing w:after="120" w:line="240" w:lineRule="auto"/>
        <w:ind w:left="0" w:hanging="2"/>
        <w:rPr>
          <w:rFonts w:ascii="Times New Roman" w:hAnsi="Times New Roman" w:eastAsia="Times New Roman" w:cs="Times New Roman"/>
          <w:color w:val="000000"/>
        </w:rPr>
      </w:pPr>
      <w:r>
        <w:fldChar w:fldCharType="begin"/>
      </w:r>
      <w:r>
        <w:instrText xml:space="preserve"> HYPERLINK "http://www.prograd.ufop.br/nap/pro-ativa" \h </w:instrText>
      </w:r>
      <w:r>
        <w:fldChar w:fldCharType="separate"/>
      </w:r>
      <w:r>
        <w:rPr>
          <w:rFonts w:ascii="Times New Roman" w:hAnsi="Times New Roman" w:eastAsia="Calibri" w:cs="Times New Roman"/>
          <w:color w:val="0000FF"/>
          <w:u w:val="single"/>
        </w:rPr>
        <w:t>http://www.prograd.ufop.br/nap/pro-ativa</w:t>
      </w:r>
      <w:r>
        <w:rPr>
          <w:rFonts w:ascii="Times New Roman" w:hAnsi="Times New Roman" w:eastAsia="Calibri" w:cs="Times New Roman"/>
          <w:color w:val="0000FF"/>
          <w:u w:val="single"/>
        </w:rPr>
        <w:fldChar w:fldCharType="end"/>
      </w:r>
    </w:p>
    <w:p>
      <w:pPr>
        <w:pBdr>
          <w:top w:val="none" w:color="auto" w:sz="0" w:space="0"/>
          <w:left w:val="none" w:color="auto" w:sz="0" w:space="0"/>
          <w:bottom w:val="none" w:color="auto" w:sz="0" w:space="0"/>
          <w:right w:val="none" w:color="auto" w:sz="0" w:space="0"/>
          <w:between w:val="none" w:color="auto" w:sz="0" w:space="0"/>
        </w:pBdr>
        <w:spacing w:after="120" w:line="240" w:lineRule="auto"/>
        <w:ind w:left="0" w:hanging="2"/>
        <w:rPr>
          <w:rFonts w:ascii="Times New Roman" w:hAnsi="Times New Roman" w:eastAsia="Times New Roman" w:cs="Times New Roman"/>
          <w:color w:val="000000"/>
        </w:rPr>
      </w:pPr>
      <w:r>
        <w:fldChar w:fldCharType="begin"/>
      </w:r>
      <w:r>
        <w:instrText xml:space="preserve"> HYPERLINK "http://www.prograd.ufop.br/nap/ped" \h </w:instrText>
      </w:r>
      <w:r>
        <w:fldChar w:fldCharType="separate"/>
      </w:r>
      <w:r>
        <w:rPr>
          <w:rFonts w:ascii="Times New Roman" w:hAnsi="Times New Roman" w:eastAsia="Calibri" w:cs="Times New Roman"/>
          <w:color w:val="0000FF"/>
          <w:u w:val="single"/>
        </w:rPr>
        <w:t>http://www.prograd.ufop.br/nap/ped</w:t>
      </w:r>
      <w:r>
        <w:rPr>
          <w:rFonts w:ascii="Times New Roman" w:hAnsi="Times New Roman" w:eastAsia="Calibri" w:cs="Times New Roman"/>
          <w:color w:val="0000FF"/>
          <w:u w:val="single"/>
        </w:rPr>
        <w:fldChar w:fldCharType="end"/>
      </w:r>
    </w:p>
    <w:p>
      <w:pPr>
        <w:pBdr>
          <w:top w:val="none" w:color="auto" w:sz="0" w:space="0"/>
          <w:left w:val="none" w:color="auto" w:sz="0" w:space="0"/>
          <w:bottom w:val="none" w:color="auto" w:sz="0" w:space="0"/>
          <w:right w:val="none" w:color="auto" w:sz="0" w:space="0"/>
          <w:between w:val="none" w:color="auto" w:sz="0" w:space="0"/>
        </w:pBdr>
        <w:spacing w:after="120" w:line="240" w:lineRule="auto"/>
        <w:ind w:left="0" w:hanging="2"/>
        <w:rPr>
          <w:rFonts w:ascii="Times New Roman" w:hAnsi="Times New Roman" w:eastAsia="Times New Roman" w:cs="Times New Roman"/>
          <w:color w:val="000000"/>
        </w:rPr>
      </w:pPr>
      <w:r>
        <w:fldChar w:fldCharType="begin"/>
      </w:r>
      <w:r>
        <w:instrText xml:space="preserve"> HYPERLINK "http://www.prograd.ufop.br/nap/monitoria" \h </w:instrText>
      </w:r>
      <w:r>
        <w:fldChar w:fldCharType="separate"/>
      </w:r>
      <w:r>
        <w:rPr>
          <w:rFonts w:ascii="Times New Roman" w:hAnsi="Times New Roman" w:eastAsia="Calibri" w:cs="Times New Roman"/>
          <w:color w:val="0000FF"/>
          <w:u w:val="single"/>
        </w:rPr>
        <w:t>http://www.prograd.ufop.br/nap/monitoria</w:t>
      </w:r>
      <w:r>
        <w:rPr>
          <w:rFonts w:ascii="Times New Roman" w:hAnsi="Times New Roman" w:eastAsia="Calibri" w:cs="Times New Roman"/>
          <w:color w:val="0000FF"/>
          <w:u w:val="single"/>
        </w:rPr>
        <w:fldChar w:fldCharType="end"/>
      </w:r>
    </w:p>
    <w:p>
      <w:pPr>
        <w:pBdr>
          <w:top w:val="none" w:color="auto" w:sz="0" w:space="0"/>
          <w:left w:val="none" w:color="auto" w:sz="0" w:space="0"/>
          <w:bottom w:val="none" w:color="auto" w:sz="0" w:space="0"/>
          <w:right w:val="none" w:color="auto" w:sz="0" w:space="0"/>
          <w:between w:val="none" w:color="auto" w:sz="0" w:space="0"/>
        </w:pBdr>
        <w:spacing w:after="120" w:line="240" w:lineRule="auto"/>
        <w:ind w:left="0" w:hanging="2"/>
        <w:rPr>
          <w:rFonts w:ascii="Times New Roman" w:hAnsi="Times New Roman" w:eastAsia="Times New Roman" w:cs="Times New Roman"/>
          <w:color w:val="000000"/>
        </w:rPr>
      </w:pPr>
      <w:r>
        <w:fldChar w:fldCharType="begin"/>
      </w:r>
      <w:r>
        <w:instrText xml:space="preserve"> HYPERLINK "http://www.prograd.ufop.br/arqdown/EDITAL_PROGRAD_04.2019_Tutoria_2019.1.pdf" \h </w:instrText>
      </w:r>
      <w:r>
        <w:fldChar w:fldCharType="separate"/>
      </w:r>
      <w:r>
        <w:rPr>
          <w:rFonts w:ascii="Times New Roman" w:hAnsi="Times New Roman" w:eastAsia="Calibri" w:cs="Times New Roman"/>
          <w:color w:val="0000FF"/>
          <w:u w:val="single"/>
        </w:rPr>
        <w:t>http://www.prograd.ufop.br/arqdown/EDITAL_PROGRAD_04.2019_Tutoria_2019.1.pdf</w:t>
      </w:r>
      <w:r>
        <w:rPr>
          <w:rFonts w:ascii="Times New Roman" w:hAnsi="Times New Roman" w:eastAsia="Calibri" w:cs="Times New Roman"/>
          <w:color w:val="0000FF"/>
          <w:u w:val="single"/>
        </w:rPr>
        <w:fldChar w:fldCharType="end"/>
      </w:r>
    </w:p>
    <w:p>
      <w:pPr>
        <w:pBdr>
          <w:top w:val="none" w:color="auto" w:sz="0" w:space="0"/>
          <w:left w:val="none" w:color="auto" w:sz="0" w:space="0"/>
          <w:bottom w:val="none" w:color="auto" w:sz="0" w:space="0"/>
          <w:right w:val="none" w:color="auto" w:sz="0" w:space="0"/>
          <w:between w:val="none" w:color="auto" w:sz="0" w:space="0"/>
        </w:pBdr>
        <w:spacing w:after="120" w:line="240" w:lineRule="auto"/>
        <w:ind w:left="0" w:hanging="2"/>
        <w:rPr>
          <w:rFonts w:ascii="Times New Roman" w:hAnsi="Times New Roman" w:eastAsia="Times New Roman" w:cs="Times New Roman"/>
          <w:color w:val="000000"/>
        </w:rPr>
      </w:pPr>
      <w:r>
        <w:fldChar w:fldCharType="begin"/>
      </w:r>
      <w:r>
        <w:instrText xml:space="preserve"> HYPERLINK "http://www.prace.ufop.br/assistencia-estudantil/orientacao-estudantil/programa-caminhar" \h </w:instrText>
      </w:r>
      <w:r>
        <w:fldChar w:fldCharType="separate"/>
      </w:r>
      <w:r>
        <w:rPr>
          <w:rFonts w:ascii="Times New Roman" w:hAnsi="Times New Roman" w:eastAsia="Calibri" w:cs="Times New Roman"/>
          <w:color w:val="0000FF"/>
          <w:u w:val="single"/>
        </w:rPr>
        <w:t>http://www.prace.ufop.br/assistencia-estudantil/orientacao-estudantil/programa-caminhar</w:t>
      </w:r>
      <w:r>
        <w:rPr>
          <w:rFonts w:ascii="Times New Roman" w:hAnsi="Times New Roman" w:eastAsia="Calibri" w:cs="Times New Roman"/>
          <w:color w:val="0000FF"/>
          <w:u w:val="single"/>
        </w:rPr>
        <w:fldChar w:fldCharType="end"/>
      </w:r>
    </w:p>
    <w:p>
      <w:pPr>
        <w:pBdr>
          <w:top w:val="none" w:color="auto" w:sz="0" w:space="0"/>
          <w:left w:val="none" w:color="auto" w:sz="0" w:space="0"/>
          <w:bottom w:val="none" w:color="auto" w:sz="0" w:space="0"/>
          <w:right w:val="none" w:color="auto" w:sz="0" w:space="0"/>
          <w:between w:val="none" w:color="auto" w:sz="0" w:space="0"/>
        </w:pBdr>
        <w:spacing w:after="120" w:line="240" w:lineRule="auto"/>
        <w:ind w:left="0" w:hanging="2"/>
        <w:rPr>
          <w:rFonts w:ascii="Times New Roman" w:hAnsi="Times New Roman" w:eastAsia="Times New Roman" w:cs="Times New Roman"/>
          <w:color w:val="000000"/>
        </w:rPr>
      </w:pPr>
      <w:r>
        <w:fldChar w:fldCharType="begin"/>
      </w:r>
      <w:r>
        <w:instrText xml:space="preserve"> HYPERLINK "https://sites.ufop.br/centrodesaude/psicologia" \h </w:instrText>
      </w:r>
      <w:r>
        <w:fldChar w:fldCharType="separate"/>
      </w:r>
      <w:r>
        <w:rPr>
          <w:rFonts w:ascii="Times New Roman" w:hAnsi="Times New Roman" w:eastAsia="Calibri" w:cs="Times New Roman"/>
          <w:color w:val="0000FF"/>
          <w:u w:val="single"/>
        </w:rPr>
        <w:t>https://sites.ufop.br/centrodesaude/psicologia</w:t>
      </w:r>
      <w:r>
        <w:rPr>
          <w:rFonts w:ascii="Times New Roman" w:hAnsi="Times New Roman" w:eastAsia="Calibri" w:cs="Times New Roman"/>
          <w:color w:val="0000FF"/>
          <w:u w:val="single"/>
        </w:rPr>
        <w:fldChar w:fldCharType="end"/>
      </w:r>
    </w:p>
    <w:p>
      <w:pPr>
        <w:pBdr>
          <w:top w:val="none" w:color="auto" w:sz="0" w:space="0"/>
          <w:left w:val="none" w:color="auto" w:sz="0" w:space="0"/>
          <w:bottom w:val="none" w:color="auto" w:sz="0" w:space="0"/>
          <w:right w:val="none" w:color="auto" w:sz="0" w:space="0"/>
          <w:between w:val="none" w:color="auto" w:sz="0" w:space="0"/>
        </w:pBdr>
        <w:spacing w:after="120" w:line="240" w:lineRule="auto"/>
        <w:ind w:left="0" w:hanging="2"/>
        <w:rPr>
          <w:rFonts w:ascii="Times New Roman" w:hAnsi="Times New Roman" w:eastAsia="Times New Roman" w:cs="Times New Roman"/>
          <w:color w:val="000000"/>
        </w:rPr>
      </w:pPr>
      <w:r>
        <w:fldChar w:fldCharType="begin"/>
      </w:r>
      <w:r>
        <w:instrText xml:space="preserve"> HYPERLINK "https://prace.ufop.br/sites/default/files/cuni1380_anexo_-_alterado_pela_cuni2139-1.pdf" \h </w:instrText>
      </w:r>
      <w:r>
        <w:fldChar w:fldCharType="separate"/>
      </w:r>
      <w:r>
        <w:rPr>
          <w:rFonts w:ascii="Times New Roman" w:hAnsi="Times New Roman" w:eastAsia="Calibri" w:cs="Times New Roman"/>
          <w:color w:val="0000FF"/>
          <w:u w:val="single"/>
        </w:rPr>
        <w:t>https://prace.ufop.br/sites/default/files/cuni1380_anexo_-_alterado_pela_cuni2139-1.pdf</w:t>
      </w:r>
      <w:r>
        <w:rPr>
          <w:rFonts w:ascii="Times New Roman" w:hAnsi="Times New Roman" w:eastAsia="Calibri" w:cs="Times New Roman"/>
          <w:color w:val="0000FF"/>
          <w:u w:val="single"/>
        </w:rPr>
        <w:fldChar w:fldCharType="end"/>
      </w:r>
    </w:p>
    <w:p>
      <w:pPr>
        <w:pBdr>
          <w:top w:val="none" w:color="auto" w:sz="0" w:space="0"/>
          <w:left w:val="none" w:color="auto" w:sz="0" w:space="0"/>
          <w:bottom w:val="none" w:color="auto" w:sz="0" w:space="0"/>
          <w:right w:val="none" w:color="auto" w:sz="0" w:space="0"/>
          <w:between w:val="none" w:color="auto" w:sz="0" w:space="0"/>
        </w:pBdr>
        <w:spacing w:after="120" w:line="240" w:lineRule="auto"/>
        <w:ind w:left="0" w:hanging="2"/>
        <w:rPr>
          <w:rFonts w:ascii="Times New Roman" w:hAnsi="Times New Roman" w:eastAsia="Times New Roman" w:cs="Times New Roman"/>
          <w:color w:val="000000"/>
        </w:rPr>
      </w:pPr>
      <w:r>
        <w:fldChar w:fldCharType="begin"/>
      </w:r>
      <w:r>
        <w:instrText xml:space="preserve"> HYPERLINK "http://www.prace.ufop.br/assistencia-estudantil/orientacao-estudantil/incentivo-diversidade-e-convivencia-pidic" \h </w:instrText>
      </w:r>
      <w:r>
        <w:fldChar w:fldCharType="separate"/>
      </w:r>
      <w:r>
        <w:rPr>
          <w:rFonts w:ascii="Times New Roman" w:hAnsi="Times New Roman" w:eastAsia="Calibri" w:cs="Times New Roman"/>
          <w:color w:val="0000FF"/>
          <w:u w:val="single"/>
        </w:rPr>
        <w:t>http://www.prace.ufop.br/assistencia-estudantil/orientacao-estudantil/incentivo-diversidade-e-convivencia-pidic</w:t>
      </w:r>
      <w:r>
        <w:rPr>
          <w:rFonts w:ascii="Times New Roman" w:hAnsi="Times New Roman" w:eastAsia="Calibri" w:cs="Times New Roman"/>
          <w:color w:val="0000FF"/>
          <w:u w:val="single"/>
        </w:rPr>
        <w:fldChar w:fldCharType="end"/>
      </w:r>
    </w:p>
    <w:p>
      <w:pPr>
        <w:ind w:left="0" w:hanging="2"/>
        <w:rPr>
          <w:rFonts w:ascii="Times New Roman" w:hAnsi="Times New Roman" w:cs="Times New Roman"/>
        </w:rPr>
        <w:sectPr>
          <w:headerReference r:id="rId6" w:type="first"/>
          <w:headerReference r:id="rId5" w:type="default"/>
          <w:footerReference r:id="rId7" w:type="default"/>
          <w:pgSz w:w="11906" w:h="16838"/>
          <w:pgMar w:top="1418" w:right="1701" w:bottom="1418" w:left="1701" w:header="720" w:footer="0" w:gutter="0"/>
          <w:pgNumType w:start="1"/>
          <w:cols w:space="720" w:num="1"/>
          <w:titlePg/>
        </w:sectPr>
      </w:pPr>
      <w:r>
        <w:fldChar w:fldCharType="begin"/>
      </w:r>
      <w:r>
        <w:instrText xml:space="preserve"> HYPERLINK "https://www.youtube.com/channel/UCdX120Zct5os8MzjCPLqrRQ" \h </w:instrText>
      </w:r>
      <w:r>
        <w:fldChar w:fldCharType="separate"/>
      </w:r>
      <w:r>
        <w:rPr>
          <w:rFonts w:ascii="Times New Roman" w:hAnsi="Times New Roman" w:eastAsia="Calibri" w:cs="Times New Roman"/>
          <w:color w:val="0000FF"/>
          <w:u w:val="single"/>
        </w:rPr>
        <w:t>https://www.youtube.com/channel/UCdX120Zct5os8MzjCPLqrRQ</w:t>
      </w:r>
      <w:r>
        <w:rPr>
          <w:rFonts w:ascii="Times New Roman" w:hAnsi="Times New Roman" w:eastAsia="Calibri" w:cs="Times New Roman"/>
          <w:color w:val="0000FF"/>
          <w:u w:val="single"/>
        </w:rPr>
        <w:fldChar w:fldCharType="end"/>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right="1158" w:hanging="2"/>
        <w:jc w:val="center"/>
        <w:rPr>
          <w:rFonts w:ascii="Times New Roman" w:hAnsi="Times New Roman" w:eastAsia="Times New Roman" w:cs="Times New Roman"/>
          <w:color w:val="000000"/>
        </w:rPr>
      </w:pPr>
      <w:r>
        <w:rPr>
          <w:rFonts w:ascii="Times New Roman" w:hAnsi="Times New Roman" w:eastAsia="Times New Roman" w:cs="Times New Roman"/>
          <w:b/>
          <w:color w:val="000000"/>
        </w:rPr>
        <w:t>ANEXOS</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leftChars="0" w:firstLine="0" w:firstLineChars="0"/>
        <w:rPr>
          <w:rFonts w:ascii="Times New Roman" w:hAnsi="Times New Roman" w:eastAsia="Times New Roman" w:cs="Times New Roman"/>
          <w:color w:val="000000"/>
        </w:rPr>
      </w:pPr>
      <w:r>
        <w:rPr>
          <w:rFonts w:ascii="Times New Roman" w:hAnsi="Times New Roman" w:eastAsia="Times New Roman" w:cs="Times New Roman"/>
          <w:b/>
          <w:color w:val="000000"/>
        </w:rPr>
        <w:t>Anexo 1: Programas de Disciplinas do Curso de Licenciatura em História</w:t>
      </w:r>
    </w:p>
    <w:p>
      <w:pPr>
        <w:spacing w:line="360" w:lineRule="auto"/>
        <w:ind w:left="0" w:hanging="2"/>
        <w:rPr>
          <w:rFonts w:ascii="Times New Roman" w:hAnsi="Times New Roman" w:cs="Times New Roman"/>
        </w:rPr>
      </w:pPr>
      <w:r>
        <w:rPr>
          <w:rFonts w:ascii="Times New Roman" w:hAnsi="Times New Roman" w:eastAsia="Times New Roman" w:cs="Times New Roman"/>
          <w:i/>
        </w:rPr>
        <w:t>Programas das Disciplinas Obrigatórias</w:t>
      </w:r>
    </w:p>
    <w:p>
      <w:pPr>
        <w:spacing w:line="360" w:lineRule="auto"/>
        <w:ind w:left="0" w:hanging="2"/>
        <w:rPr>
          <w:rFonts w:ascii="Times New Roman" w:hAnsi="Times New Roman" w:cs="Times New Roman"/>
        </w:rPr>
      </w:pPr>
      <w:r>
        <w:rPr>
          <w:rFonts w:ascii="Times New Roman" w:hAnsi="Times New Roman" w:eastAsia="Times New Roman" w:cs="Times New Roman"/>
          <w:b/>
        </w:rPr>
        <w:t>1º período</w:t>
      </w:r>
    </w:p>
    <w:tbl>
      <w:tblPr>
        <w:tblStyle w:val="481"/>
        <w:tblW w:w="9021" w:type="dxa"/>
        <w:tblInd w:w="2" w:type="dxa"/>
        <w:tblLayout w:type="fixed"/>
        <w:tblCellMar>
          <w:top w:w="0" w:type="dxa"/>
          <w:left w:w="22" w:type="dxa"/>
          <w:bottom w:w="0" w:type="dxa"/>
          <w:right w:w="22" w:type="dxa"/>
        </w:tblCellMar>
      </w:tblPr>
      <w:tblGrid>
        <w:gridCol w:w="2907"/>
        <w:gridCol w:w="3450"/>
        <w:gridCol w:w="2664"/>
      </w:tblGrid>
      <w:tr>
        <w:tblPrEx>
          <w:tblCellMar>
            <w:top w:w="0" w:type="dxa"/>
            <w:left w:w="22" w:type="dxa"/>
            <w:bottom w:w="0" w:type="dxa"/>
            <w:right w:w="22" w:type="dxa"/>
          </w:tblCellMar>
        </w:tblPrEx>
        <w:trPr>
          <w:trHeight w:val="1011" w:hRule="atLeast"/>
        </w:trPr>
        <w:tc>
          <w:tcPr>
            <w:tcW w:w="6357"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46"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Filosofia Nome do Componente Curricular em inglês: Philosophy</w:t>
            </w:r>
          </w:p>
        </w:tc>
        <w:tc>
          <w:tcPr>
            <w:tcW w:w="2664"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FIL 126</w:t>
            </w:r>
          </w:p>
        </w:tc>
      </w:tr>
      <w:tr>
        <w:tblPrEx>
          <w:tblCellMar>
            <w:top w:w="0" w:type="dxa"/>
            <w:left w:w="22" w:type="dxa"/>
            <w:bottom w:w="0" w:type="dxa"/>
            <w:right w:w="22" w:type="dxa"/>
          </w:tblCellMar>
        </w:tblPrEx>
        <w:trPr>
          <w:trHeight w:val="825" w:hRule="atLeast"/>
        </w:trPr>
        <w:tc>
          <w:tcPr>
            <w:tcW w:w="6357"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 História –</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DEHIS</w:t>
            </w:r>
          </w:p>
        </w:tc>
        <w:tc>
          <w:tcPr>
            <w:tcW w:w="2664"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ICHS</w:t>
            </w:r>
          </w:p>
        </w:tc>
      </w:tr>
      <w:tr>
        <w:tblPrEx>
          <w:tblCellMar>
            <w:top w:w="0" w:type="dxa"/>
            <w:left w:w="22" w:type="dxa"/>
            <w:bottom w:w="0" w:type="dxa"/>
            <w:right w:w="22" w:type="dxa"/>
          </w:tblCellMar>
        </w:tblPrEx>
        <w:trPr>
          <w:trHeight w:val="829" w:hRule="atLeast"/>
        </w:trPr>
        <w:tc>
          <w:tcPr>
            <w:tcW w:w="2907"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267"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semestral 60 horas</w:t>
            </w:r>
          </w:p>
        </w:tc>
        <w:tc>
          <w:tcPr>
            <w:tcW w:w="3450"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2664"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213"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213"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00 horas/aula</w:t>
            </w:r>
          </w:p>
        </w:tc>
      </w:tr>
      <w:tr>
        <w:tblPrEx>
          <w:tblCellMar>
            <w:top w:w="0" w:type="dxa"/>
            <w:left w:w="22" w:type="dxa"/>
            <w:bottom w:w="0" w:type="dxa"/>
            <w:right w:w="22" w:type="dxa"/>
          </w:tblCellMar>
        </w:tblPrEx>
        <w:trPr>
          <w:trHeight w:val="1656"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37"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Ementa: O curso visa introduzir à reflexão filosófica, privilegiando três momentos: a formação do pensamento filosófico na Grécia antiga, a ruptura da modernidade e a formação das ciências humanas na passagem para a contemoraneidade.  Tematicamente, o curso privilegiará aspectos antropológicos e políticos. </w:t>
            </w:r>
          </w:p>
        </w:tc>
      </w:tr>
      <w:tr>
        <w:tblPrEx>
          <w:tblCellMar>
            <w:top w:w="0" w:type="dxa"/>
            <w:left w:w="22" w:type="dxa"/>
            <w:bottom w:w="0" w:type="dxa"/>
            <w:right w:w="22" w:type="dxa"/>
          </w:tblCellMar>
        </w:tblPrEx>
        <w:trPr>
          <w:trHeight w:val="1116"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tabs>
                <w:tab w:val="left" w:pos="1193"/>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1.   As Idades do Homem: o homem grego; classicismos; modernidades.</w:t>
            </w:r>
          </w:p>
          <w:p>
            <w:pPr>
              <w:widowControl w:val="0"/>
              <w:numPr>
                <w:ilvl w:val="1"/>
                <w:numId w:val="3"/>
              </w:numPr>
              <w:pBdr>
                <w:top w:val="none" w:color="auto" w:sz="0" w:space="0"/>
                <w:left w:val="none" w:color="auto" w:sz="0" w:space="0"/>
                <w:bottom w:val="none" w:color="auto" w:sz="0" w:space="0"/>
                <w:right w:val="none" w:color="auto" w:sz="0" w:space="0"/>
                <w:between w:val="none" w:color="auto" w:sz="0" w:space="0"/>
              </w:pBdr>
              <w:tabs>
                <w:tab w:val="left" w:pos="0"/>
                <w:tab w:val="left" w:pos="1615"/>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 Grécia: Logos e Política.</w:t>
            </w:r>
          </w:p>
          <w:p>
            <w:pPr>
              <w:widowControl w:val="0"/>
              <w:numPr>
                <w:ilvl w:val="1"/>
                <w:numId w:val="3"/>
              </w:numPr>
              <w:pBdr>
                <w:top w:val="none" w:color="auto" w:sz="0" w:space="0"/>
                <w:left w:val="none" w:color="auto" w:sz="0" w:space="0"/>
                <w:bottom w:val="none" w:color="auto" w:sz="0" w:space="0"/>
                <w:right w:val="none" w:color="auto" w:sz="0" w:space="0"/>
                <w:between w:val="none" w:color="auto" w:sz="0" w:space="0"/>
              </w:pBdr>
              <w:tabs>
                <w:tab w:val="left" w:pos="0"/>
                <w:tab w:val="left" w:pos="1615"/>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Preliminares semânticos: Kosmos, Physis, Logos,Arché.</w:t>
            </w:r>
          </w:p>
          <w:p>
            <w:pPr>
              <w:widowControl w:val="0"/>
              <w:numPr>
                <w:ilvl w:val="1"/>
                <w:numId w:val="4"/>
              </w:numPr>
              <w:pBdr>
                <w:top w:val="none" w:color="auto" w:sz="0" w:space="0"/>
                <w:left w:val="none" w:color="auto" w:sz="0" w:space="0"/>
                <w:bottom w:val="none" w:color="auto" w:sz="0" w:space="0"/>
                <w:right w:val="none" w:color="auto" w:sz="0" w:space="0"/>
                <w:between w:val="none" w:color="auto" w:sz="0" w:space="0"/>
              </w:pBdr>
              <w:tabs>
                <w:tab w:val="left" w:pos="0"/>
                <w:tab w:val="left" w:pos="1615"/>
              </w:tabs>
              <w:spacing w:line="240" w:lineRule="auto"/>
              <w:ind w:left="0" w:right="415" w:hanging="2"/>
              <w:rPr>
                <w:rFonts w:ascii="Times New Roman" w:hAnsi="Times New Roman" w:eastAsia="Times New Roman" w:cs="Times New Roman"/>
                <w:color w:val="000000"/>
              </w:rPr>
            </w:pPr>
            <w:r>
              <w:rPr>
                <w:rFonts w:ascii="Times New Roman" w:hAnsi="Times New Roman" w:eastAsia="Times New Roman" w:cs="Times New Roman"/>
                <w:color w:val="000000"/>
              </w:rPr>
              <w:t>O mobilismo universal segundo Heráclito. Os eleatas: o esquema dos caminhos segundo Parmênides.</w:t>
            </w:r>
          </w:p>
          <w:p>
            <w:pPr>
              <w:widowControl w:val="0"/>
              <w:numPr>
                <w:ilvl w:val="1"/>
                <w:numId w:val="4"/>
              </w:numPr>
              <w:pBdr>
                <w:top w:val="none" w:color="auto" w:sz="0" w:space="0"/>
                <w:left w:val="none" w:color="auto" w:sz="0" w:space="0"/>
                <w:bottom w:val="none" w:color="auto" w:sz="0" w:space="0"/>
                <w:right w:val="none" w:color="auto" w:sz="0" w:space="0"/>
                <w:between w:val="none" w:color="auto" w:sz="0" w:space="0"/>
              </w:pBdr>
              <w:tabs>
                <w:tab w:val="left" w:pos="0"/>
                <w:tab w:val="left" w:pos="1615"/>
              </w:tabs>
              <w:spacing w:line="240" w:lineRule="auto"/>
              <w:ind w:left="0" w:right="557" w:hanging="2"/>
              <w:rPr>
                <w:rFonts w:ascii="Times New Roman" w:hAnsi="Times New Roman" w:eastAsia="Times New Roman" w:cs="Times New Roman"/>
                <w:color w:val="000000"/>
              </w:rPr>
            </w:pPr>
            <w:r>
              <w:rPr>
                <w:rFonts w:ascii="Times New Roman" w:hAnsi="Times New Roman" w:eastAsia="Times New Roman" w:cs="Times New Roman"/>
                <w:color w:val="000000"/>
              </w:rPr>
              <w:t>Da física à política. Protágoras e o homem medida. O banimento do sofista pela filosofia tradicional.</w:t>
            </w:r>
          </w:p>
          <w:p>
            <w:pPr>
              <w:widowControl w:val="0"/>
              <w:numPr>
                <w:ilvl w:val="1"/>
                <w:numId w:val="4"/>
              </w:numPr>
              <w:pBdr>
                <w:top w:val="none" w:color="auto" w:sz="0" w:space="0"/>
                <w:left w:val="none" w:color="auto" w:sz="0" w:space="0"/>
                <w:bottom w:val="none" w:color="auto" w:sz="0" w:space="0"/>
                <w:right w:val="none" w:color="auto" w:sz="0" w:space="0"/>
                <w:between w:val="none" w:color="auto" w:sz="0" w:space="0"/>
              </w:pBdr>
              <w:tabs>
                <w:tab w:val="left" w:pos="0"/>
                <w:tab w:val="left" w:pos="1615"/>
              </w:tabs>
              <w:spacing w:line="240" w:lineRule="auto"/>
              <w:ind w:left="0" w:right="94" w:hanging="2"/>
              <w:rPr>
                <w:rFonts w:ascii="Times New Roman" w:hAnsi="Times New Roman" w:eastAsia="Times New Roman" w:cs="Times New Roman"/>
                <w:color w:val="000000"/>
              </w:rPr>
            </w:pPr>
            <w:r>
              <w:rPr>
                <w:rFonts w:ascii="Times New Roman" w:hAnsi="Times New Roman" w:eastAsia="Times New Roman" w:cs="Times New Roman"/>
                <w:color w:val="000000"/>
              </w:rPr>
              <w:t>Sócrates e Platão: da recusa do efeito sofístico à constituição da filosofia sistemática. Introdução à teoria das ideias. O bem.</w:t>
            </w:r>
          </w:p>
          <w:p>
            <w:pPr>
              <w:widowControl w:val="0"/>
              <w:numPr>
                <w:ilvl w:val="1"/>
                <w:numId w:val="4"/>
              </w:numPr>
              <w:pBdr>
                <w:top w:val="none" w:color="auto" w:sz="0" w:space="0"/>
                <w:left w:val="none" w:color="auto" w:sz="0" w:space="0"/>
                <w:bottom w:val="none" w:color="auto" w:sz="0" w:space="0"/>
                <w:right w:val="none" w:color="auto" w:sz="0" w:space="0"/>
                <w:between w:val="none" w:color="auto" w:sz="0" w:space="0"/>
              </w:pBdr>
              <w:tabs>
                <w:tab w:val="left" w:pos="0"/>
                <w:tab w:val="left" w:pos="1615"/>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Aristóteles: o homem como animal político. O logos.</w:t>
            </w:r>
          </w:p>
          <w:p>
            <w:pPr>
              <w:widowControl w:val="0"/>
              <w:numPr>
                <w:ilvl w:val="0"/>
                <w:numId w:val="5"/>
              </w:numPr>
              <w:pBdr>
                <w:top w:val="none" w:color="auto" w:sz="0" w:space="0"/>
                <w:left w:val="none" w:color="auto" w:sz="0" w:space="0"/>
                <w:bottom w:val="none" w:color="auto" w:sz="0" w:space="0"/>
                <w:right w:val="none" w:color="auto" w:sz="0" w:space="0"/>
                <w:between w:val="none" w:color="auto" w:sz="0" w:space="0"/>
              </w:pBdr>
              <w:tabs>
                <w:tab w:val="left" w:pos="0"/>
                <w:tab w:val="left" w:pos="1193"/>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Modernidade:</w:t>
            </w:r>
          </w:p>
          <w:p>
            <w:pPr>
              <w:widowControl w:val="0"/>
              <w:numPr>
                <w:ilvl w:val="1"/>
                <w:numId w:val="5"/>
              </w:numPr>
              <w:pBdr>
                <w:top w:val="none" w:color="auto" w:sz="0" w:space="0"/>
                <w:left w:val="none" w:color="auto" w:sz="0" w:space="0"/>
                <w:bottom w:val="none" w:color="auto" w:sz="0" w:space="0"/>
                <w:right w:val="none" w:color="auto" w:sz="0" w:space="0"/>
                <w:between w:val="none" w:color="auto" w:sz="0" w:space="0"/>
              </w:pBdr>
              <w:tabs>
                <w:tab w:val="left" w:pos="0"/>
                <w:tab w:val="left" w:pos="1615"/>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 revolução científica.</w:t>
            </w:r>
          </w:p>
          <w:p>
            <w:pPr>
              <w:widowControl w:val="0"/>
              <w:numPr>
                <w:ilvl w:val="1"/>
                <w:numId w:val="5"/>
              </w:numPr>
              <w:pBdr>
                <w:top w:val="none" w:color="auto" w:sz="0" w:space="0"/>
                <w:left w:val="none" w:color="auto" w:sz="0" w:space="0"/>
                <w:bottom w:val="none" w:color="auto" w:sz="0" w:space="0"/>
                <w:right w:val="none" w:color="auto" w:sz="0" w:space="0"/>
                <w:between w:val="none" w:color="auto" w:sz="0" w:space="0"/>
              </w:pBdr>
              <w:tabs>
                <w:tab w:val="left" w:pos="0"/>
                <w:tab w:val="left" w:pos="1615"/>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O advento da subjetividade moderna.</w:t>
            </w:r>
          </w:p>
          <w:p>
            <w:pPr>
              <w:widowControl w:val="0"/>
              <w:numPr>
                <w:ilvl w:val="1"/>
                <w:numId w:val="5"/>
              </w:numPr>
              <w:pBdr>
                <w:top w:val="none" w:color="auto" w:sz="0" w:space="0"/>
                <w:left w:val="none" w:color="auto" w:sz="0" w:space="0"/>
                <w:bottom w:val="none" w:color="auto" w:sz="0" w:space="0"/>
                <w:right w:val="none" w:color="auto" w:sz="0" w:space="0"/>
                <w:between w:val="none" w:color="auto" w:sz="0" w:space="0"/>
              </w:pBdr>
              <w:tabs>
                <w:tab w:val="left" w:pos="0"/>
                <w:tab w:val="left" w:pos="1615"/>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Descartes e o cogito.</w:t>
            </w:r>
          </w:p>
          <w:p>
            <w:pPr>
              <w:widowControl w:val="0"/>
              <w:numPr>
                <w:ilvl w:val="1"/>
                <w:numId w:val="5"/>
              </w:numPr>
              <w:pBdr>
                <w:top w:val="none" w:color="auto" w:sz="0" w:space="0"/>
                <w:left w:val="none" w:color="auto" w:sz="0" w:space="0"/>
                <w:bottom w:val="none" w:color="auto" w:sz="0" w:space="0"/>
                <w:right w:val="none" w:color="auto" w:sz="0" w:space="0"/>
                <w:between w:val="none" w:color="auto" w:sz="0" w:space="0"/>
              </w:pBdr>
              <w:tabs>
                <w:tab w:val="left" w:pos="0"/>
                <w:tab w:val="left" w:pos="1615"/>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História do homem entre história da razão e história da loucura</w:t>
            </w:r>
          </w:p>
          <w:p>
            <w:pPr>
              <w:widowControl w:val="0"/>
              <w:numPr>
                <w:ilvl w:val="0"/>
                <w:numId w:val="5"/>
              </w:numPr>
              <w:pBdr>
                <w:top w:val="none" w:color="auto" w:sz="0" w:space="0"/>
                <w:left w:val="none" w:color="auto" w:sz="0" w:space="0"/>
                <w:bottom w:val="none" w:color="auto" w:sz="0" w:space="0"/>
                <w:right w:val="none" w:color="auto" w:sz="0" w:space="0"/>
                <w:between w:val="none" w:color="auto" w:sz="0" w:space="0"/>
              </w:pBdr>
              <w:tabs>
                <w:tab w:val="left" w:pos="0"/>
                <w:tab w:val="left" w:pos="1193"/>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O surgimento das ciências humanas</w:t>
            </w:r>
          </w:p>
          <w:p>
            <w:pPr>
              <w:widowControl w:val="0"/>
              <w:numPr>
                <w:ilvl w:val="1"/>
                <w:numId w:val="5"/>
              </w:numPr>
              <w:pBdr>
                <w:top w:val="none" w:color="auto" w:sz="0" w:space="0"/>
                <w:left w:val="none" w:color="auto" w:sz="0" w:space="0"/>
                <w:bottom w:val="none" w:color="auto" w:sz="0" w:space="0"/>
                <w:right w:val="none" w:color="auto" w:sz="0" w:space="0"/>
                <w:between w:val="none" w:color="auto" w:sz="0" w:space="0"/>
              </w:pBdr>
              <w:tabs>
                <w:tab w:val="left" w:pos="0"/>
                <w:tab w:val="left" w:pos="1615"/>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Genealogia das ciências humanas; sociedades disciplinares; biopolítica.</w:t>
            </w:r>
          </w:p>
          <w:p>
            <w:pPr>
              <w:widowControl w:val="0"/>
              <w:numPr>
                <w:ilvl w:val="1"/>
                <w:numId w:val="3"/>
              </w:numPr>
              <w:pBdr>
                <w:top w:val="none" w:color="auto" w:sz="0" w:space="0"/>
                <w:left w:val="none" w:color="auto" w:sz="0" w:space="0"/>
                <w:bottom w:val="none" w:color="auto" w:sz="0" w:space="0"/>
                <w:right w:val="none" w:color="auto" w:sz="0" w:space="0"/>
                <w:between w:val="none" w:color="auto" w:sz="0" w:space="0"/>
              </w:pBdr>
              <w:tabs>
                <w:tab w:val="left" w:pos="0"/>
                <w:tab w:val="left" w:pos="1615"/>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Etnologia, lingüística e psicanálise: a morte do homem.</w:t>
            </w:r>
          </w:p>
        </w:tc>
      </w:tr>
      <w:tr>
        <w:tblPrEx>
          <w:tblCellMar>
            <w:top w:w="0" w:type="dxa"/>
            <w:left w:w="22" w:type="dxa"/>
            <w:bottom w:w="0" w:type="dxa"/>
            <w:right w:w="22" w:type="dxa"/>
          </w:tblCellMar>
        </w:tblPrEx>
        <w:trPr>
          <w:trHeight w:val="1656"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91" w:hanging="2"/>
              <w:rPr>
                <w:rFonts w:ascii="Times New Roman" w:hAnsi="Times New Roman" w:eastAsia="Times New Roman" w:cs="Times New Roman"/>
                <w:color w:val="000000"/>
              </w:rPr>
            </w:pPr>
            <w:r>
              <w:rPr>
                <w:rFonts w:ascii="Times New Roman" w:hAnsi="Times New Roman" w:eastAsia="Times New Roman" w:cs="Times New Roman"/>
                <w:color w:val="000000"/>
              </w:rPr>
              <w:t>MARCONDES, D. Textos básicos de filosofia. RJ: Jorge Zahar, 2000. 2ª ed. pp. 11-44. DOMINGUES, I., O grau zero do conhecimento - O problema da fundamentação das ciências humanas, São Paulo: Loyola, 1991. (pp. 15-44: Introdução geral,) FOUCAULT, M., As palavras e as coisas - uma arqueologia das ciências humanas. São Paulo: Martins Fontes, 1990. (capítulo X: As ciências humanas)</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A verdade e as formas jurídicas. RJ: Nau editora, 1999 (p. 29-52: conferência 2)</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Nietzsche, Marx, Freud. São Paulo, Princípio, 1987</w:t>
            </w:r>
          </w:p>
        </w:tc>
      </w:tr>
      <w:tr>
        <w:tblPrEx>
          <w:tblCellMar>
            <w:top w:w="0" w:type="dxa"/>
            <w:left w:w="22" w:type="dxa"/>
            <w:bottom w:w="0" w:type="dxa"/>
            <w:right w:w="22" w:type="dxa"/>
          </w:tblCellMar>
        </w:tblPrEx>
        <w:trPr>
          <w:trHeight w:val="1385"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tc>
      </w:tr>
    </w:tbl>
    <w:p>
      <w:pPr>
        <w:tabs>
          <w:tab w:val="left" w:pos="1001"/>
          <w:tab w:val="center" w:pos="1686"/>
        </w:tabs>
        <w:ind w:left="0" w:right="5131" w:hanging="2"/>
        <w:rPr>
          <w:rFonts w:ascii="Times New Roman" w:hAnsi="Times New Roman" w:eastAsia="Times New Roman" w:cs="Times New Roman"/>
        </w:rPr>
      </w:pPr>
    </w:p>
    <w:p>
      <w:pPr>
        <w:tabs>
          <w:tab w:val="left" w:pos="1001"/>
          <w:tab w:val="center" w:pos="1686"/>
        </w:tabs>
        <w:ind w:left="0" w:right="5131" w:hanging="2"/>
        <w:rPr>
          <w:rFonts w:ascii="Times New Roman" w:hAnsi="Times New Roman" w:eastAsia="Times New Roman" w:cs="Times New Roman"/>
        </w:rPr>
      </w:pPr>
    </w:p>
    <w:p>
      <w:pPr>
        <w:tabs>
          <w:tab w:val="left" w:pos="1001"/>
          <w:tab w:val="center" w:pos="1686"/>
        </w:tabs>
        <w:ind w:left="0" w:right="5131" w:hanging="2"/>
        <w:rPr>
          <w:rFonts w:ascii="Times New Roman" w:hAnsi="Times New Roman" w:eastAsia="Times New Roman" w:cs="Times New Roman"/>
        </w:rPr>
      </w:pPr>
    </w:p>
    <w:tbl>
      <w:tblPr>
        <w:tblStyle w:val="482"/>
        <w:tblW w:w="9021" w:type="dxa"/>
        <w:tblInd w:w="2" w:type="dxa"/>
        <w:tblLayout w:type="fixed"/>
        <w:tblCellMar>
          <w:top w:w="0" w:type="dxa"/>
          <w:left w:w="22" w:type="dxa"/>
          <w:bottom w:w="0" w:type="dxa"/>
          <w:right w:w="22" w:type="dxa"/>
        </w:tblCellMar>
      </w:tblPr>
      <w:tblGrid>
        <w:gridCol w:w="2865"/>
        <w:gridCol w:w="3492"/>
        <w:gridCol w:w="2664"/>
      </w:tblGrid>
      <w:tr>
        <w:tblPrEx>
          <w:tblCellMar>
            <w:top w:w="0" w:type="dxa"/>
            <w:left w:w="22" w:type="dxa"/>
            <w:bottom w:w="0" w:type="dxa"/>
            <w:right w:w="22" w:type="dxa"/>
          </w:tblCellMar>
        </w:tblPrEx>
        <w:trPr>
          <w:trHeight w:val="2257" w:hRule="atLeast"/>
        </w:trPr>
        <w:tc>
          <w:tcPr>
            <w:tcW w:w="6357"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Introdução ao Estudo de História</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hanging="2"/>
              <w:jc w:val="both"/>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Introduction to the History Study</w:t>
            </w:r>
          </w:p>
        </w:tc>
        <w:tc>
          <w:tcPr>
            <w:tcW w:w="2664"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HIS063</w:t>
            </w:r>
          </w:p>
        </w:tc>
      </w:tr>
      <w:tr>
        <w:tblPrEx>
          <w:tblCellMar>
            <w:top w:w="0" w:type="dxa"/>
            <w:left w:w="22" w:type="dxa"/>
            <w:bottom w:w="0" w:type="dxa"/>
            <w:right w:w="22" w:type="dxa"/>
          </w:tblCellMar>
        </w:tblPrEx>
        <w:trPr>
          <w:trHeight w:val="825" w:hRule="atLeast"/>
        </w:trPr>
        <w:tc>
          <w:tcPr>
            <w:tcW w:w="6357"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História – DEHIS</w:t>
            </w:r>
          </w:p>
        </w:tc>
        <w:tc>
          <w:tcPr>
            <w:tcW w:w="2664"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3" w:hRule="atLeast"/>
        </w:trPr>
        <w:tc>
          <w:tcPr>
            <w:tcW w:w="2865"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6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semestral 90 horas</w:t>
            </w:r>
          </w:p>
        </w:tc>
        <w:tc>
          <w:tcPr>
            <w:tcW w:w="3492"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Carga horária semanal teórica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04 horas/aula</w:t>
            </w:r>
          </w:p>
        </w:tc>
        <w:tc>
          <w:tcPr>
            <w:tcW w:w="2664"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 02 horas/aula</w:t>
            </w:r>
          </w:p>
        </w:tc>
      </w:tr>
      <w:tr>
        <w:tblPrEx>
          <w:tblCellMar>
            <w:top w:w="0" w:type="dxa"/>
            <w:left w:w="22" w:type="dxa"/>
            <w:bottom w:w="0" w:type="dxa"/>
            <w:right w:w="22" w:type="dxa"/>
          </w:tblCellMar>
        </w:tblPrEx>
        <w:trPr>
          <w:trHeight w:val="1655"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3"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Especificidade do conhecimento histórico e as singularidades da profissão de historiador. Produção historiográfica contemporânea: Europa, Estados Unidos da América, América Latina e Brasil. Cursos de História (graduação e pós-graduação) no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Brasil. Mercado de trabalho e história.</w:t>
            </w:r>
          </w:p>
        </w:tc>
      </w:tr>
      <w:tr>
        <w:tblPrEx>
          <w:tblCellMar>
            <w:top w:w="0" w:type="dxa"/>
            <w:left w:w="22" w:type="dxa"/>
            <w:bottom w:w="0" w:type="dxa"/>
            <w:right w:w="22" w:type="dxa"/>
          </w:tblCellMar>
        </w:tblPrEx>
        <w:trPr>
          <w:trHeight w:val="7869"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numPr>
                <w:ilvl w:val="0"/>
                <w:numId w:val="6"/>
              </w:numPr>
              <w:pBdr>
                <w:top w:val="none" w:color="auto" w:sz="0" w:space="0"/>
                <w:left w:val="none" w:color="auto" w:sz="0" w:space="0"/>
                <w:bottom w:val="none" w:color="auto" w:sz="0" w:space="0"/>
                <w:right w:val="none" w:color="auto" w:sz="0" w:space="0"/>
                <w:between w:val="none" w:color="auto" w:sz="0" w:space="0"/>
              </w:pBdr>
              <w:tabs>
                <w:tab w:val="left" w:pos="0"/>
                <w:tab w:val="left" w:pos="318"/>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CURSOS DE HISTÓRIA E A PROFISSÃO DOHISTORIADOR</w:t>
            </w:r>
          </w:p>
          <w:p>
            <w:pPr>
              <w:widowControl w:val="0"/>
              <w:numPr>
                <w:ilvl w:val="1"/>
                <w:numId w:val="6"/>
              </w:numPr>
              <w:pBdr>
                <w:top w:val="none" w:color="auto" w:sz="0" w:space="0"/>
                <w:left w:val="none" w:color="auto" w:sz="0" w:space="0"/>
                <w:bottom w:val="none" w:color="auto" w:sz="0" w:space="0"/>
                <w:right w:val="none" w:color="auto" w:sz="0" w:space="0"/>
                <w:between w:val="none" w:color="auto" w:sz="0" w:space="0"/>
              </w:pBdr>
              <w:tabs>
                <w:tab w:val="left" w:pos="0"/>
                <w:tab w:val="left" w:pos="357"/>
              </w:tabs>
              <w:spacing w:before="14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Estrutura do DEHIS (currículo)</w:t>
            </w:r>
          </w:p>
          <w:p>
            <w:pPr>
              <w:widowControl w:val="0"/>
              <w:numPr>
                <w:ilvl w:val="1"/>
                <w:numId w:val="6"/>
              </w:numPr>
              <w:pBdr>
                <w:top w:val="none" w:color="auto" w:sz="0" w:space="0"/>
                <w:left w:val="none" w:color="auto" w:sz="0" w:space="0"/>
                <w:bottom w:val="none" w:color="auto" w:sz="0" w:space="0"/>
                <w:right w:val="none" w:color="auto" w:sz="0" w:space="0"/>
                <w:between w:val="none" w:color="auto" w:sz="0" w:space="0"/>
              </w:pBdr>
              <w:tabs>
                <w:tab w:val="left" w:pos="0"/>
                <w:tab w:val="left" w:pos="357"/>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O trabalho do profissional da área de História</w:t>
            </w:r>
          </w:p>
          <w:p>
            <w:pPr>
              <w:widowControl w:val="0"/>
              <w:numPr>
                <w:ilvl w:val="1"/>
                <w:numId w:val="6"/>
              </w:numPr>
              <w:pBdr>
                <w:top w:val="none" w:color="auto" w:sz="0" w:space="0"/>
                <w:left w:val="none" w:color="auto" w:sz="0" w:space="0"/>
                <w:bottom w:val="none" w:color="auto" w:sz="0" w:space="0"/>
                <w:right w:val="none" w:color="auto" w:sz="0" w:space="0"/>
                <w:between w:val="none" w:color="auto" w:sz="0" w:space="0"/>
              </w:pBdr>
              <w:tabs>
                <w:tab w:val="left" w:pos="0"/>
                <w:tab w:val="left" w:pos="357"/>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Graduação e Pós-Graduação em História no Brasil</w:t>
            </w:r>
          </w:p>
          <w:p>
            <w:pPr>
              <w:widowControl w:val="0"/>
              <w:numPr>
                <w:ilvl w:val="0"/>
                <w:numId w:val="7"/>
              </w:numPr>
              <w:pBdr>
                <w:top w:val="none" w:color="auto" w:sz="0" w:space="0"/>
                <w:left w:val="none" w:color="auto" w:sz="0" w:space="0"/>
                <w:bottom w:val="none" w:color="auto" w:sz="0" w:space="0"/>
                <w:right w:val="none" w:color="auto" w:sz="0" w:space="0"/>
                <w:between w:val="none" w:color="auto" w:sz="0" w:space="0"/>
              </w:pBdr>
              <w:tabs>
                <w:tab w:val="left" w:pos="0"/>
                <w:tab w:val="left" w:pos="395"/>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ESPECIFICIDADES DO OBJETOHISTÓRICO</w:t>
            </w:r>
          </w:p>
          <w:p>
            <w:pPr>
              <w:widowControl w:val="0"/>
              <w:numPr>
                <w:ilvl w:val="1"/>
                <w:numId w:val="7"/>
              </w:numPr>
              <w:pBdr>
                <w:top w:val="none" w:color="auto" w:sz="0" w:space="0"/>
                <w:left w:val="none" w:color="auto" w:sz="0" w:space="0"/>
                <w:bottom w:val="none" w:color="auto" w:sz="0" w:space="0"/>
                <w:right w:val="none" w:color="auto" w:sz="0" w:space="0"/>
                <w:between w:val="none" w:color="auto" w:sz="0" w:space="0"/>
              </w:pBdr>
              <w:tabs>
                <w:tab w:val="left" w:pos="0"/>
                <w:tab w:val="left" w:pos="357"/>
              </w:tabs>
              <w:spacing w:before="142"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O conhecimento científico</w:t>
            </w:r>
          </w:p>
          <w:p>
            <w:pPr>
              <w:widowControl w:val="0"/>
              <w:numPr>
                <w:ilvl w:val="1"/>
                <w:numId w:val="7"/>
              </w:numPr>
              <w:pBdr>
                <w:top w:val="none" w:color="auto" w:sz="0" w:space="0"/>
                <w:left w:val="none" w:color="auto" w:sz="0" w:space="0"/>
                <w:bottom w:val="none" w:color="auto" w:sz="0" w:space="0"/>
                <w:right w:val="none" w:color="auto" w:sz="0" w:space="0"/>
                <w:between w:val="none" w:color="auto" w:sz="0" w:space="0"/>
              </w:pBdr>
              <w:tabs>
                <w:tab w:val="left" w:pos="0"/>
                <w:tab w:val="left" w:pos="357"/>
              </w:tabs>
              <w:spacing w:before="136"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Especificidades do conhecimento histórico: problemas e polêmicas</w:t>
            </w:r>
          </w:p>
          <w:p>
            <w:pPr>
              <w:widowControl w:val="0"/>
              <w:numPr>
                <w:ilvl w:val="1"/>
                <w:numId w:val="7"/>
              </w:numPr>
              <w:pBdr>
                <w:top w:val="none" w:color="auto" w:sz="0" w:space="0"/>
                <w:left w:val="none" w:color="auto" w:sz="0" w:space="0"/>
                <w:bottom w:val="none" w:color="auto" w:sz="0" w:space="0"/>
                <w:right w:val="none" w:color="auto" w:sz="0" w:space="0"/>
                <w:between w:val="none" w:color="auto" w:sz="0" w:space="0"/>
              </w:pBdr>
              <w:tabs>
                <w:tab w:val="left" w:pos="0"/>
                <w:tab w:val="left" w:pos="357"/>
              </w:tabs>
              <w:spacing w:before="138"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Questões de método</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III. PRODUÇÃO HISTORIOGRÁFICA CONTEMPORÂNEA</w:t>
            </w:r>
          </w:p>
          <w:p>
            <w:pPr>
              <w:widowControl w:val="0"/>
              <w:numPr>
                <w:ilvl w:val="0"/>
                <w:numId w:val="8"/>
              </w:numPr>
              <w:pBdr>
                <w:top w:val="none" w:color="auto" w:sz="0" w:space="0"/>
                <w:left w:val="none" w:color="auto" w:sz="0" w:space="0"/>
                <w:bottom w:val="none" w:color="auto" w:sz="0" w:space="0"/>
                <w:right w:val="none" w:color="auto" w:sz="0" w:space="0"/>
                <w:between w:val="none" w:color="auto" w:sz="0" w:space="0"/>
              </w:pBdr>
              <w:tabs>
                <w:tab w:val="left" w:pos="0"/>
                <w:tab w:val="left" w:pos="357"/>
              </w:tabs>
              <w:spacing w:before="14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Historiografia francesa</w:t>
            </w:r>
          </w:p>
          <w:p>
            <w:pPr>
              <w:widowControl w:val="0"/>
              <w:numPr>
                <w:ilvl w:val="0"/>
                <w:numId w:val="8"/>
              </w:numPr>
              <w:pBdr>
                <w:top w:val="none" w:color="auto" w:sz="0" w:space="0"/>
                <w:left w:val="none" w:color="auto" w:sz="0" w:space="0"/>
                <w:bottom w:val="none" w:color="auto" w:sz="0" w:space="0"/>
                <w:right w:val="none" w:color="auto" w:sz="0" w:space="0"/>
                <w:between w:val="none" w:color="auto" w:sz="0" w:space="0"/>
              </w:pBdr>
              <w:tabs>
                <w:tab w:val="left" w:pos="0"/>
                <w:tab w:val="left" w:pos="357"/>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Historiografia brasileira</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IV. SOBRE LEITURA, REDAÇÃO E APRESENTAÇÃO DE TRABALHOS ACADÊMICOS</w:t>
            </w:r>
          </w:p>
          <w:p>
            <w:pPr>
              <w:widowControl w:val="0"/>
              <w:numPr>
                <w:ilvl w:val="0"/>
                <w:numId w:val="9"/>
              </w:numPr>
              <w:pBdr>
                <w:top w:val="none" w:color="auto" w:sz="0" w:space="0"/>
                <w:left w:val="none" w:color="auto" w:sz="0" w:space="0"/>
                <w:bottom w:val="none" w:color="auto" w:sz="0" w:space="0"/>
                <w:right w:val="none" w:color="auto" w:sz="0" w:space="0"/>
                <w:between w:val="none" w:color="auto" w:sz="0" w:space="0"/>
              </w:pBdr>
              <w:tabs>
                <w:tab w:val="left" w:pos="0"/>
                <w:tab w:val="left" w:pos="357"/>
              </w:tabs>
              <w:spacing w:before="3"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Uso de bibliotecas, arquivos e bases de dados</w:t>
            </w:r>
          </w:p>
          <w:p>
            <w:pPr>
              <w:widowControl w:val="0"/>
              <w:numPr>
                <w:ilvl w:val="0"/>
                <w:numId w:val="9"/>
              </w:numPr>
              <w:pBdr>
                <w:top w:val="none" w:color="auto" w:sz="0" w:space="0"/>
                <w:left w:val="none" w:color="auto" w:sz="0" w:space="0"/>
                <w:bottom w:val="none" w:color="auto" w:sz="0" w:space="0"/>
                <w:right w:val="none" w:color="auto" w:sz="0" w:space="0"/>
                <w:between w:val="none" w:color="auto" w:sz="0" w:space="0"/>
              </w:pBdr>
              <w:tabs>
                <w:tab w:val="left" w:pos="0"/>
                <w:tab w:val="left" w:pos="357"/>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Referência bibliográfica</w:t>
            </w:r>
          </w:p>
          <w:p>
            <w:pPr>
              <w:widowControl w:val="0"/>
              <w:numPr>
                <w:ilvl w:val="0"/>
                <w:numId w:val="9"/>
              </w:numPr>
              <w:pBdr>
                <w:top w:val="none" w:color="auto" w:sz="0" w:space="0"/>
                <w:left w:val="none" w:color="auto" w:sz="0" w:space="0"/>
                <w:bottom w:val="none" w:color="auto" w:sz="0" w:space="0"/>
                <w:right w:val="none" w:color="auto" w:sz="0" w:space="0"/>
                <w:between w:val="none" w:color="auto" w:sz="0" w:space="0"/>
              </w:pBdr>
              <w:tabs>
                <w:tab w:val="left" w:pos="0"/>
                <w:tab w:val="left" w:pos="357"/>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Leitura de textos</w:t>
            </w:r>
          </w:p>
          <w:p>
            <w:pPr>
              <w:widowControl w:val="0"/>
              <w:numPr>
                <w:ilvl w:val="0"/>
                <w:numId w:val="9"/>
              </w:numPr>
              <w:pBdr>
                <w:top w:val="none" w:color="auto" w:sz="0" w:space="0"/>
                <w:left w:val="none" w:color="auto" w:sz="0" w:space="0"/>
                <w:bottom w:val="none" w:color="auto" w:sz="0" w:space="0"/>
                <w:right w:val="none" w:color="auto" w:sz="0" w:space="0"/>
                <w:between w:val="none" w:color="auto" w:sz="0" w:space="0"/>
              </w:pBdr>
              <w:tabs>
                <w:tab w:val="left" w:pos="0"/>
                <w:tab w:val="left" w:pos="357"/>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Fichamento de textos</w:t>
            </w:r>
          </w:p>
          <w:p>
            <w:pPr>
              <w:widowControl w:val="0"/>
              <w:numPr>
                <w:ilvl w:val="0"/>
                <w:numId w:val="9"/>
              </w:numPr>
              <w:pBdr>
                <w:top w:val="none" w:color="auto" w:sz="0" w:space="0"/>
                <w:left w:val="none" w:color="auto" w:sz="0" w:space="0"/>
                <w:bottom w:val="none" w:color="auto" w:sz="0" w:space="0"/>
                <w:right w:val="none" w:color="auto" w:sz="0" w:space="0"/>
                <w:between w:val="none" w:color="auto" w:sz="0" w:space="0"/>
              </w:pBdr>
              <w:tabs>
                <w:tab w:val="left" w:pos="0"/>
                <w:tab w:val="left" w:pos="357"/>
              </w:tabs>
              <w:spacing w:before="14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Redação técnica de trabalhos acadêmicos</w:t>
            </w:r>
          </w:p>
        </w:tc>
      </w:tr>
      <w:tr>
        <w:tblPrEx>
          <w:tblCellMar>
            <w:top w:w="0" w:type="dxa"/>
            <w:left w:w="22" w:type="dxa"/>
            <w:bottom w:w="0" w:type="dxa"/>
            <w:right w:w="22" w:type="dxa"/>
          </w:tblCellMar>
        </w:tblPrEx>
        <w:trPr>
          <w:trHeight w:val="1115"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BURKE, Peter. </w:t>
            </w:r>
            <w:r>
              <w:rPr>
                <w:rFonts w:ascii="Times New Roman" w:hAnsi="Times New Roman" w:eastAsia="Times New Roman" w:cs="Times New Roman"/>
                <w:i/>
                <w:color w:val="000000"/>
              </w:rPr>
              <w:t xml:space="preserve">A revolução francesa da historiografia: </w:t>
            </w:r>
            <w:r>
              <w:rPr>
                <w:rFonts w:ascii="Times New Roman" w:hAnsi="Times New Roman" w:eastAsia="Times New Roman" w:cs="Times New Roman"/>
                <w:color w:val="000000"/>
              </w:rPr>
              <w:t>a Escola dos Annales, 1929- 1989. Tradução de Nilo Odália. São Paulo: Ed. Universidade Estadual Paulista, 1991.</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7"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154 p. CARDOSO, Ciro Flamarion Santana. História e paradigmas rivais. In: CARDOSO, C. F., VAINFAS, Ronaldo. </w:t>
            </w:r>
            <w:r>
              <w:rPr>
                <w:rFonts w:ascii="Times New Roman" w:hAnsi="Times New Roman" w:eastAsia="Times New Roman" w:cs="Times New Roman"/>
                <w:i/>
                <w:color w:val="000000"/>
              </w:rPr>
              <w:t>Domínios da história</w:t>
            </w:r>
            <w:r>
              <w:rPr>
                <w:rFonts w:ascii="Times New Roman" w:hAnsi="Times New Roman" w:eastAsia="Times New Roman" w:cs="Times New Roman"/>
                <w:color w:val="000000"/>
              </w:rPr>
              <w:t>: ensaios de teoria e metodologia. Rio de Janeiro: Campus, 1997. p. 1-23.</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VAINFAS, Ronaldo. Conclusão: caminhos e descaminhos da história. In: CARDOSO,</w:t>
            </w:r>
          </w:p>
          <w:p>
            <w:pPr>
              <w:widowControl w:val="0"/>
              <w:pBdr>
                <w:top w:val="none" w:color="auto" w:sz="0" w:space="0"/>
                <w:left w:val="none" w:color="auto" w:sz="0" w:space="0"/>
                <w:bottom w:val="none" w:color="auto" w:sz="0" w:space="0"/>
                <w:right w:val="none" w:color="auto" w:sz="0" w:space="0"/>
                <w:between w:val="none" w:color="auto" w:sz="0" w:space="0"/>
              </w:pBdr>
              <w:spacing w:before="133" w:line="360" w:lineRule="auto"/>
              <w:ind w:left="0" w:right="67"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 F., VAINFAS, Ronaldo. </w:t>
            </w:r>
            <w:r>
              <w:rPr>
                <w:rFonts w:ascii="Times New Roman" w:hAnsi="Times New Roman" w:eastAsia="Times New Roman" w:cs="Times New Roman"/>
                <w:i/>
                <w:color w:val="000000"/>
              </w:rPr>
              <w:t>Domínios da história</w:t>
            </w:r>
            <w:r>
              <w:rPr>
                <w:rFonts w:ascii="Times New Roman" w:hAnsi="Times New Roman" w:eastAsia="Times New Roman" w:cs="Times New Roman"/>
                <w:color w:val="000000"/>
              </w:rPr>
              <w:t>: ensaios de teoria e metodologia. Rio de Janeiro: Campus, 1997. p. 441-449.</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3"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VEYNE, Paul. </w:t>
            </w:r>
            <w:r>
              <w:rPr>
                <w:rFonts w:ascii="Times New Roman" w:hAnsi="Times New Roman" w:eastAsia="Times New Roman" w:cs="Times New Roman"/>
                <w:i/>
                <w:color w:val="000000"/>
              </w:rPr>
              <w:t xml:space="preserve">Como se escreve a história: </w:t>
            </w:r>
            <w:r>
              <w:rPr>
                <w:rFonts w:ascii="Times New Roman" w:hAnsi="Times New Roman" w:eastAsia="Times New Roman" w:cs="Times New Roman"/>
                <w:color w:val="000000"/>
              </w:rPr>
              <w:t>Foucault revoluciona a história. Tradução de Alda Baltar e Maria Auxiliadora Kneipp. Brasília: Ed. da Universidade de Brasília,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1982. 198 p.</w:t>
            </w:r>
          </w:p>
        </w:tc>
      </w:tr>
      <w:tr>
        <w:tblPrEx>
          <w:tblCellMar>
            <w:top w:w="0" w:type="dxa"/>
            <w:left w:w="22" w:type="dxa"/>
            <w:bottom w:w="0" w:type="dxa"/>
            <w:right w:w="22" w:type="dxa"/>
          </w:tblCellMar>
        </w:tblPrEx>
        <w:trPr>
          <w:trHeight w:val="1656"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9"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D’ALESSIO, Marcia Mansor. </w:t>
            </w:r>
            <w:r>
              <w:rPr>
                <w:rFonts w:ascii="Times New Roman" w:hAnsi="Times New Roman" w:eastAsia="Times New Roman" w:cs="Times New Roman"/>
                <w:i/>
                <w:color w:val="000000"/>
              </w:rPr>
              <w:t>Reflexões sobre o saber histórico</w:t>
            </w:r>
            <w:r>
              <w:rPr>
                <w:rFonts w:ascii="Times New Roman" w:hAnsi="Times New Roman" w:eastAsia="Times New Roman" w:cs="Times New Roman"/>
                <w:color w:val="000000"/>
              </w:rPr>
              <w:t>. Entrevistas com Pierre Vilar, Mivhel Vovelle, Madeleine Rebérioux. São Paulo: Unesp, 1998. (Prismas).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4"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DOSSE, François. </w:t>
            </w:r>
            <w:r>
              <w:rPr>
                <w:rFonts w:ascii="Times New Roman" w:hAnsi="Times New Roman" w:eastAsia="Times New Roman" w:cs="Times New Roman"/>
                <w:i/>
                <w:color w:val="000000"/>
              </w:rPr>
              <w:t>História e nova história</w:t>
            </w:r>
            <w:r>
              <w:rPr>
                <w:rFonts w:ascii="Times New Roman" w:hAnsi="Times New Roman" w:eastAsia="Times New Roman" w:cs="Times New Roman"/>
                <w:color w:val="000000"/>
              </w:rPr>
              <w:t>. Tradução de Carlos da V. Ferreira. Lisboa: Teorema, 1986. 99p.</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DOSSE, François. </w:t>
            </w:r>
            <w:r>
              <w:rPr>
                <w:rFonts w:ascii="Times New Roman" w:hAnsi="Times New Roman" w:eastAsia="Times New Roman" w:cs="Times New Roman"/>
                <w:i/>
                <w:color w:val="000000"/>
              </w:rPr>
              <w:t xml:space="preserve">A história em migalhas: </w:t>
            </w:r>
            <w:r>
              <w:rPr>
                <w:rFonts w:ascii="Times New Roman" w:hAnsi="Times New Roman" w:eastAsia="Times New Roman" w:cs="Times New Roman"/>
                <w:color w:val="000000"/>
              </w:rPr>
              <w:t>dos Annales à nova história. Tradução de</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Dulce A. Silva Ramos. São Paulo: Ensaio, 1992. 267 p.</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483"/>
        <w:tblW w:w="8999" w:type="dxa"/>
        <w:tblInd w:w="2" w:type="dxa"/>
        <w:tblLayout w:type="fixed"/>
        <w:tblCellMar>
          <w:top w:w="0" w:type="dxa"/>
          <w:left w:w="22" w:type="dxa"/>
          <w:bottom w:w="0" w:type="dxa"/>
          <w:right w:w="22" w:type="dxa"/>
        </w:tblCellMar>
      </w:tblPr>
      <w:tblGrid>
        <w:gridCol w:w="3290"/>
        <w:gridCol w:w="3350"/>
        <w:gridCol w:w="2359"/>
      </w:tblGrid>
      <w:tr>
        <w:tblPrEx>
          <w:tblCellMar>
            <w:top w:w="0" w:type="dxa"/>
            <w:left w:w="22" w:type="dxa"/>
            <w:bottom w:w="0" w:type="dxa"/>
            <w:right w:w="22" w:type="dxa"/>
          </w:tblCellMar>
        </w:tblPrEx>
        <w:trPr>
          <w:trHeight w:val="1615" w:hRule="atLeast"/>
        </w:trPr>
        <w:tc>
          <w:tcPr>
            <w:tcW w:w="6640"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17"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Históriado Brasil I</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557"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History of Brazil I</w:t>
            </w:r>
          </w:p>
        </w:tc>
        <w:tc>
          <w:tcPr>
            <w:tcW w:w="2359"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HIS064</w:t>
            </w:r>
          </w:p>
        </w:tc>
      </w:tr>
      <w:tr>
        <w:tblPrEx>
          <w:tblCellMar>
            <w:top w:w="0" w:type="dxa"/>
            <w:left w:w="22" w:type="dxa"/>
            <w:bottom w:w="0" w:type="dxa"/>
            <w:right w:w="22" w:type="dxa"/>
          </w:tblCellMar>
        </w:tblPrEx>
        <w:trPr>
          <w:trHeight w:val="829" w:hRule="atLeast"/>
        </w:trPr>
        <w:tc>
          <w:tcPr>
            <w:tcW w:w="6640"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 História -</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DEHIS</w:t>
            </w:r>
          </w:p>
        </w:tc>
        <w:tc>
          <w:tcPr>
            <w:tcW w:w="2359"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74" w:hRule="atLeast"/>
        </w:trPr>
        <w:tc>
          <w:tcPr>
            <w:tcW w:w="3290"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122"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right="121"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3350"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77"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right="77"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04 horas/aula</w:t>
            </w:r>
          </w:p>
        </w:tc>
        <w:tc>
          <w:tcPr>
            <w:tcW w:w="2359"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61"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right="58"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02 horas/aula</w:t>
            </w:r>
          </w:p>
        </w:tc>
      </w:tr>
      <w:tr>
        <w:tblPrEx>
          <w:tblCellMar>
            <w:top w:w="0" w:type="dxa"/>
            <w:left w:w="22" w:type="dxa"/>
            <w:bottom w:w="0" w:type="dxa"/>
            <w:right w:w="22" w:type="dxa"/>
          </w:tblCellMar>
        </w:tblPrEx>
        <w:trPr>
          <w:trHeight w:val="623" w:hRule="atLeast"/>
        </w:trPr>
        <w:tc>
          <w:tcPr>
            <w:tcW w:w="8999"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Ementa: O estatuto teórico do antigo sistema colonial. A economia colonial política</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colonizadora e administração colonial. A sociedade do Brasil colonial. Movimentos de contestação e crise do sistema.</w:t>
            </w:r>
          </w:p>
        </w:tc>
      </w:tr>
      <w:tr>
        <w:tblPrEx>
          <w:tblCellMar>
            <w:top w:w="0" w:type="dxa"/>
            <w:left w:w="22" w:type="dxa"/>
            <w:bottom w:w="0" w:type="dxa"/>
            <w:right w:w="22" w:type="dxa"/>
          </w:tblCellMar>
        </w:tblPrEx>
        <w:trPr>
          <w:trHeight w:val="622" w:hRule="atLeast"/>
        </w:trPr>
        <w:tc>
          <w:tcPr>
            <w:tcW w:w="8999"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75"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 A disciplina visa analisar o processo de formação da sociedade colonial portuguesa por meio das contribuições historiográficas acerca da expansão ultramarina, escravidão indígena e africana, administração, justiça, economia e hierarquia social.</w:t>
            </w:r>
          </w:p>
          <w:p>
            <w:pPr>
              <w:widowControl w:val="0"/>
              <w:numPr>
                <w:ilvl w:val="0"/>
                <w:numId w:val="10"/>
              </w:numPr>
              <w:pBdr>
                <w:top w:val="none" w:color="auto" w:sz="0" w:space="0"/>
                <w:left w:val="none" w:color="auto" w:sz="0" w:space="0"/>
                <w:bottom w:val="none" w:color="auto" w:sz="0" w:space="0"/>
                <w:right w:val="none" w:color="auto" w:sz="0" w:space="0"/>
                <w:between w:val="none" w:color="auto" w:sz="0" w:space="0"/>
              </w:pBdr>
              <w:tabs>
                <w:tab w:val="left" w:pos="0"/>
                <w:tab w:val="left" w:pos="472"/>
              </w:tabs>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Movimentos e precedentes da colonização.</w:t>
            </w:r>
          </w:p>
          <w:p>
            <w:pPr>
              <w:widowControl w:val="0"/>
              <w:numPr>
                <w:ilvl w:val="0"/>
                <w:numId w:val="10"/>
              </w:numPr>
              <w:pBdr>
                <w:top w:val="none" w:color="auto" w:sz="0" w:space="0"/>
                <w:left w:val="none" w:color="auto" w:sz="0" w:space="0"/>
                <w:bottom w:val="none" w:color="auto" w:sz="0" w:space="0"/>
                <w:right w:val="none" w:color="auto" w:sz="0" w:space="0"/>
                <w:between w:val="none" w:color="auto" w:sz="0" w:space="0"/>
              </w:pBdr>
              <w:tabs>
                <w:tab w:val="left" w:pos="0"/>
                <w:tab w:val="left" w:pos="472"/>
              </w:tabs>
              <w:spacing w:before="129"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Economia Colonial: dos embates e interpretações.</w:t>
            </w:r>
          </w:p>
          <w:p>
            <w:pPr>
              <w:widowControl w:val="0"/>
              <w:numPr>
                <w:ilvl w:val="0"/>
                <w:numId w:val="10"/>
              </w:numPr>
              <w:pBdr>
                <w:top w:val="none" w:color="auto" w:sz="0" w:space="0"/>
                <w:left w:val="none" w:color="auto" w:sz="0" w:space="0"/>
                <w:bottom w:val="none" w:color="auto" w:sz="0" w:space="0"/>
                <w:right w:val="none" w:color="auto" w:sz="0" w:space="0"/>
                <w:between w:val="none" w:color="auto" w:sz="0" w:space="0"/>
              </w:pBdr>
              <w:tabs>
                <w:tab w:val="left" w:pos="0"/>
                <w:tab w:val="left" w:pos="472"/>
              </w:tabs>
              <w:spacing w:before="142"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Escravos, Escravidão.</w:t>
            </w:r>
          </w:p>
          <w:p>
            <w:pPr>
              <w:widowControl w:val="0"/>
              <w:numPr>
                <w:ilvl w:val="0"/>
                <w:numId w:val="10"/>
              </w:numPr>
              <w:pBdr>
                <w:top w:val="none" w:color="auto" w:sz="0" w:space="0"/>
                <w:left w:val="none" w:color="auto" w:sz="0" w:space="0"/>
                <w:bottom w:val="none" w:color="auto" w:sz="0" w:space="0"/>
                <w:right w:val="none" w:color="auto" w:sz="0" w:space="0"/>
                <w:between w:val="none" w:color="auto" w:sz="0" w:space="0"/>
              </w:pBdr>
              <w:tabs>
                <w:tab w:val="left" w:pos="0"/>
                <w:tab w:val="left" w:pos="472"/>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Política e Administração</w:t>
            </w:r>
          </w:p>
          <w:p>
            <w:pPr>
              <w:widowControl w:val="0"/>
              <w:numPr>
                <w:ilvl w:val="0"/>
                <w:numId w:val="10"/>
              </w:numPr>
              <w:pBdr>
                <w:top w:val="none" w:color="auto" w:sz="0" w:space="0"/>
                <w:left w:val="none" w:color="auto" w:sz="0" w:space="0"/>
                <w:bottom w:val="none" w:color="auto" w:sz="0" w:space="0"/>
                <w:right w:val="none" w:color="auto" w:sz="0" w:space="0"/>
                <w:between w:val="none" w:color="auto" w:sz="0" w:space="0"/>
              </w:pBdr>
              <w:tabs>
                <w:tab w:val="left" w:pos="0"/>
                <w:tab w:val="left" w:pos="472"/>
              </w:tabs>
              <w:spacing w:before="136"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Sociedade Colonial</w:t>
            </w:r>
          </w:p>
          <w:p>
            <w:pPr>
              <w:widowControl w:val="0"/>
              <w:numPr>
                <w:ilvl w:val="0"/>
                <w:numId w:val="10"/>
              </w:numPr>
              <w:pBdr>
                <w:top w:val="none" w:color="auto" w:sz="0" w:space="0"/>
                <w:left w:val="none" w:color="auto" w:sz="0" w:space="0"/>
                <w:bottom w:val="none" w:color="auto" w:sz="0" w:space="0"/>
                <w:right w:val="none" w:color="auto" w:sz="0" w:space="0"/>
                <w:between w:val="none" w:color="auto" w:sz="0" w:space="0"/>
              </w:pBdr>
              <w:tabs>
                <w:tab w:val="left" w:pos="0"/>
                <w:tab w:val="left" w:pos="472"/>
              </w:tabs>
              <w:spacing w:before="138"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Relações de Cultura</w:t>
            </w:r>
          </w:p>
          <w:p>
            <w:pPr>
              <w:widowControl w:val="0"/>
              <w:numPr>
                <w:ilvl w:val="0"/>
                <w:numId w:val="10"/>
              </w:numPr>
              <w:pBdr>
                <w:top w:val="none" w:color="auto" w:sz="0" w:space="0"/>
                <w:left w:val="none" w:color="auto" w:sz="0" w:space="0"/>
                <w:bottom w:val="none" w:color="auto" w:sz="0" w:space="0"/>
                <w:right w:val="none" w:color="auto" w:sz="0" w:space="0"/>
                <w:between w:val="none" w:color="auto" w:sz="0" w:space="0"/>
              </w:pBdr>
              <w:tabs>
                <w:tab w:val="left" w:pos="0"/>
                <w:tab w:val="left" w:pos="472"/>
              </w:tabs>
              <w:spacing w:before="138"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Interiorização e Prenúncio da Independência</w:t>
            </w:r>
          </w:p>
        </w:tc>
      </w:tr>
      <w:tr>
        <w:tblPrEx>
          <w:tblCellMar>
            <w:top w:w="0" w:type="dxa"/>
            <w:left w:w="22" w:type="dxa"/>
            <w:bottom w:w="0" w:type="dxa"/>
            <w:right w:w="22" w:type="dxa"/>
          </w:tblCellMar>
        </w:tblPrEx>
        <w:trPr>
          <w:trHeight w:val="2693" w:hRule="atLeast"/>
        </w:trPr>
        <w:tc>
          <w:tcPr>
            <w:tcW w:w="8999"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2"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ALVIM, Maria Carvalho de Mello. “Populações Pré-históricas do Brasil e seus remanecentes”, in Ivan Alves Filho, História Pré-colonial do Brasil.</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1" w:hanging="2"/>
              <w:rPr>
                <w:rFonts w:ascii="Times New Roman" w:hAnsi="Times New Roman" w:eastAsia="Times New Roman" w:cs="Times New Roman"/>
                <w:color w:val="000000"/>
              </w:rPr>
            </w:pPr>
            <w:r>
              <w:rPr>
                <w:rFonts w:ascii="Times New Roman" w:hAnsi="Times New Roman" w:eastAsia="Times New Roman" w:cs="Times New Roman"/>
                <w:color w:val="000000"/>
              </w:rPr>
              <w:t>BOXER, Charles. O Império Colonial Português (1415-1825). Lisboa: Ed. 70, 1969, p. 263-282.</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MATOSO, Kátia de Queirós. Ser Escravo no Brasil. SP: Ed. Brasiliense, 1982. cp.. I “Ser</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Vendido como Escravo”, p./ 16-94.</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56" w:hanging="2"/>
              <w:rPr>
                <w:rFonts w:ascii="Times New Roman" w:hAnsi="Times New Roman" w:eastAsia="Times New Roman" w:cs="Times New Roman"/>
                <w:color w:val="000000"/>
              </w:rPr>
            </w:pPr>
            <w:r>
              <w:rPr>
                <w:rFonts w:ascii="Times New Roman" w:hAnsi="Times New Roman" w:eastAsia="Times New Roman" w:cs="Times New Roman"/>
                <w:color w:val="000000"/>
              </w:rPr>
              <w:t>PRADO, Jr. Caio. Administração. In: Formação do Brasil Contemporâneo (xerox, Brasil Colonial ou Minas Colonial).</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56" w:hanging="2"/>
              <w:rPr>
                <w:rFonts w:ascii="Times New Roman" w:hAnsi="Times New Roman" w:eastAsia="Times New Roman" w:cs="Times New Roman"/>
                <w:color w:val="000000"/>
              </w:rPr>
            </w:pPr>
            <w:r>
              <w:rPr>
                <w:rFonts w:ascii="Times New Roman" w:hAnsi="Times New Roman" w:eastAsia="Times New Roman" w:cs="Times New Roman"/>
                <w:color w:val="000000"/>
              </w:rPr>
              <w:t>VAINFAS, Ronaldo. Tráfico dos Pecados: Moral, Sexualidade e Inquisição no Brasil.  Rio de Janeiro: Campos, 1989, p.7-45.</w:t>
            </w:r>
          </w:p>
        </w:tc>
      </w:tr>
      <w:tr>
        <w:tblPrEx>
          <w:tblCellMar>
            <w:top w:w="0" w:type="dxa"/>
            <w:left w:w="22" w:type="dxa"/>
            <w:bottom w:w="0" w:type="dxa"/>
            <w:right w:w="22" w:type="dxa"/>
          </w:tblCellMar>
        </w:tblPrEx>
        <w:trPr>
          <w:trHeight w:val="1506" w:hRule="atLeast"/>
        </w:trPr>
        <w:tc>
          <w:tcPr>
            <w:tcW w:w="8999" w:type="dxa"/>
            <w:gridSpan w:val="3"/>
            <w:tcBorders>
              <w:top w:val="single" w:color="000000" w:sz="4"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before="2"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77" w:hanging="2"/>
              <w:rPr>
                <w:rFonts w:ascii="Times New Roman" w:hAnsi="Times New Roman" w:eastAsia="Times New Roman" w:cs="Times New Roman"/>
                <w:color w:val="000000"/>
              </w:rPr>
            </w:pPr>
            <w:r>
              <w:rPr>
                <w:rFonts w:ascii="Times New Roman" w:hAnsi="Times New Roman" w:eastAsia="Times New Roman" w:cs="Times New Roman"/>
                <w:color w:val="000000"/>
              </w:rPr>
              <w:t>GODINHO, Vitorino de Magalhães. “Portugal, as Frotas do Açúcar e as Frotas do Ouro(1670-1770)” In: Estudos Econômicos. IPE/USP, 1983, vol. 13 p. 119-732.</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56" w:hanging="2"/>
              <w:rPr>
                <w:rFonts w:ascii="Times New Roman" w:hAnsi="Times New Roman" w:eastAsia="Times New Roman" w:cs="Times New Roman"/>
                <w:color w:val="000000"/>
              </w:rPr>
            </w:pPr>
            <w:r>
              <w:rPr>
                <w:rFonts w:ascii="Times New Roman" w:hAnsi="Times New Roman" w:eastAsia="Times New Roman" w:cs="Times New Roman"/>
                <w:color w:val="000000"/>
              </w:rPr>
              <w:t>LINHARES, Maria Yedda. “Subsistência e Sistemas Agrários na Colônia: uma discussão” In: Estudos Econômicos IPE/USP, 1983, vol. 13. p.745-762.</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METCALF, Alida. “Vida familiar dos escravos em São Paulo no século XVIII: o caso de Santana do Parnaíba” in: Revista de Estudos Econômicos. vol. 17, nº 2, p. 229-243.</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METRAUX, Alfred. A Religião dos Tupinambás. SP: Ed. Nacional/EDUSP, 1979,Cap.</w:t>
            </w:r>
          </w:p>
          <w:p>
            <w:pPr>
              <w:widowControl w:val="0"/>
              <w:pBdr>
                <w:top w:val="none" w:color="auto" w:sz="0" w:space="0"/>
                <w:left w:val="none" w:color="auto" w:sz="0" w:space="0"/>
                <w:bottom w:val="none" w:color="auto" w:sz="0" w:space="0"/>
                <w:right w:val="none" w:color="auto" w:sz="0" w:space="0"/>
                <w:between w:val="none" w:color="auto" w:sz="0" w:space="0"/>
              </w:pBdr>
              <w:spacing w:before="133"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XI. “A antropologia ritual dos Tupinambás”, p. 114-147.</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right="156" w:hanging="2"/>
              <w:rPr>
                <w:rFonts w:ascii="Times New Roman" w:hAnsi="Times New Roman" w:eastAsia="Times New Roman" w:cs="Times New Roman"/>
                <w:color w:val="000000"/>
              </w:rPr>
            </w:pPr>
            <w:r>
              <w:rPr>
                <w:rFonts w:ascii="Times New Roman" w:hAnsi="Times New Roman" w:eastAsia="Times New Roman" w:cs="Times New Roman"/>
                <w:color w:val="000000"/>
              </w:rPr>
              <w:t>MONTEIRO, Jonh Manoel. Negros da Terra: índios e bandeiras nas origens de São Paulo. São Paulo: Comp. das Letras, 1994, p.17.128.</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SCHWARTZ, Stuart. Segredos Internos. op. cit, p. 224-246.</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ZEMELLA, Mafalda. “Os Mercados Abastecedores das Gerais (xerox, pasta de Brasil colonial e Minas colonial).</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484"/>
        <w:tblW w:w="9162" w:type="dxa"/>
        <w:tblInd w:w="2" w:type="dxa"/>
        <w:tblLayout w:type="fixed"/>
        <w:tblCellMar>
          <w:top w:w="0" w:type="dxa"/>
          <w:left w:w="22" w:type="dxa"/>
          <w:bottom w:w="0" w:type="dxa"/>
          <w:right w:w="5" w:type="dxa"/>
        </w:tblCellMar>
      </w:tblPr>
      <w:tblGrid>
        <w:gridCol w:w="2902"/>
        <w:gridCol w:w="3119"/>
        <w:gridCol w:w="3141"/>
      </w:tblGrid>
      <w:tr>
        <w:tblPrEx>
          <w:tblCellMar>
            <w:top w:w="0" w:type="dxa"/>
            <w:left w:w="22" w:type="dxa"/>
            <w:bottom w:w="0" w:type="dxa"/>
            <w:right w:w="5" w:type="dxa"/>
          </w:tblCellMar>
        </w:tblPrEx>
        <w:trPr>
          <w:trHeight w:val="2072" w:hRule="atLeast"/>
        </w:trPr>
        <w:tc>
          <w:tcPr>
            <w:tcW w:w="6021"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4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Introdução as Ciências Sociais</w:t>
            </w:r>
          </w:p>
          <w:p>
            <w:pPr>
              <w:widowControl w:val="0"/>
              <w:pBdr>
                <w:top w:val="none" w:color="auto" w:sz="0" w:space="0"/>
                <w:left w:val="none" w:color="auto" w:sz="0" w:space="0"/>
                <w:bottom w:val="none" w:color="auto" w:sz="0" w:space="0"/>
                <w:right w:val="none" w:color="auto" w:sz="0" w:space="0"/>
                <w:between w:val="none" w:color="auto" w:sz="0" w:space="0"/>
              </w:pBdr>
              <w:spacing w:before="1"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14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Introduction to Social Sciences</w:t>
            </w:r>
          </w:p>
        </w:tc>
        <w:tc>
          <w:tcPr>
            <w:tcW w:w="3141"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HIS065</w:t>
            </w:r>
          </w:p>
        </w:tc>
      </w:tr>
      <w:tr>
        <w:tblPrEx>
          <w:tblCellMar>
            <w:top w:w="0" w:type="dxa"/>
            <w:left w:w="22" w:type="dxa"/>
            <w:bottom w:w="0" w:type="dxa"/>
            <w:right w:w="5" w:type="dxa"/>
          </w:tblCellMar>
        </w:tblPrEx>
        <w:trPr>
          <w:trHeight w:val="830" w:hRule="atLeast"/>
        </w:trPr>
        <w:tc>
          <w:tcPr>
            <w:tcW w:w="6021"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 História</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DEHIS</w:t>
            </w:r>
          </w:p>
        </w:tc>
        <w:tc>
          <w:tcPr>
            <w:tcW w:w="3141"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5" w:type="dxa"/>
          </w:tblCellMar>
        </w:tblPrEx>
        <w:trPr>
          <w:trHeight w:val="825" w:hRule="atLeast"/>
        </w:trPr>
        <w:tc>
          <w:tcPr>
            <w:tcW w:w="2902"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502"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136" w:line="240" w:lineRule="auto"/>
              <w:ind w:left="0" w:right="49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Semestral</w:t>
            </w:r>
          </w:p>
          <w:p>
            <w:pPr>
              <w:widowControl w:val="0"/>
              <w:pBdr>
                <w:top w:val="none" w:color="auto" w:sz="0" w:space="0"/>
                <w:left w:val="none" w:color="auto" w:sz="0" w:space="0"/>
                <w:bottom w:val="none" w:color="auto" w:sz="0" w:space="0"/>
                <w:right w:val="none" w:color="auto" w:sz="0" w:space="0"/>
                <w:between w:val="none" w:color="auto" w:sz="0" w:space="0"/>
              </w:pBdr>
              <w:spacing w:before="136" w:line="240" w:lineRule="auto"/>
              <w:ind w:left="0" w:right="49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3119"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77"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w:t>
            </w:r>
          </w:p>
          <w:p>
            <w:pPr>
              <w:widowControl w:val="0"/>
              <w:pBdr>
                <w:top w:val="none" w:color="auto" w:sz="0" w:space="0"/>
                <w:left w:val="none" w:color="auto" w:sz="0" w:space="0"/>
                <w:bottom w:val="none" w:color="auto" w:sz="0" w:space="0"/>
                <w:right w:val="none" w:color="auto" w:sz="0" w:space="0"/>
                <w:between w:val="none" w:color="auto" w:sz="0" w:space="0"/>
              </w:pBdr>
              <w:spacing w:before="136" w:line="240" w:lineRule="auto"/>
              <w:ind w:left="0" w:right="77"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04 horas/aula</w:t>
            </w:r>
          </w:p>
        </w:tc>
        <w:tc>
          <w:tcPr>
            <w:tcW w:w="3141"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62"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before="136" w:line="240" w:lineRule="auto"/>
              <w:ind w:left="0" w:right="61"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02 horas/aula</w:t>
            </w:r>
          </w:p>
        </w:tc>
      </w:tr>
      <w:tr>
        <w:tblPrEx>
          <w:tblCellMar>
            <w:top w:w="0" w:type="dxa"/>
            <w:left w:w="22" w:type="dxa"/>
            <w:bottom w:w="0" w:type="dxa"/>
            <w:right w:w="5" w:type="dxa"/>
          </w:tblCellMar>
        </w:tblPrEx>
        <w:trPr>
          <w:trHeight w:val="1242" w:hRule="atLeast"/>
        </w:trPr>
        <w:tc>
          <w:tcPr>
            <w:tcW w:w="9162" w:type="dxa"/>
            <w:gridSpan w:val="3"/>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Ementa: Análise do debate sobre o campo específico de investigação e as perspectivas</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 análise: estruturalismo e individualismo metodológico. Estudo das estruturas sociais dentro de perspectiva histórica: instituições, costumes, normas e controle social.</w:t>
            </w:r>
          </w:p>
        </w:tc>
      </w:tr>
      <w:tr>
        <w:tblPrEx>
          <w:tblCellMar>
            <w:top w:w="0" w:type="dxa"/>
            <w:left w:w="22" w:type="dxa"/>
            <w:bottom w:w="0" w:type="dxa"/>
            <w:right w:w="5" w:type="dxa"/>
          </w:tblCellMar>
        </w:tblPrEx>
        <w:trPr>
          <w:trHeight w:val="5862" w:hRule="atLeast"/>
        </w:trPr>
        <w:tc>
          <w:tcPr>
            <w:tcW w:w="9162" w:type="dxa"/>
            <w:gridSpan w:val="3"/>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Processos sociais.</w:t>
            </w:r>
          </w:p>
          <w:p>
            <w:pPr>
              <w:widowControl w:val="0"/>
              <w:numPr>
                <w:ilvl w:val="0"/>
                <w:numId w:val="11"/>
              </w:numPr>
              <w:pBdr>
                <w:top w:val="none" w:color="auto" w:sz="0" w:space="0"/>
                <w:left w:val="none" w:color="auto" w:sz="0" w:space="0"/>
                <w:bottom w:val="none" w:color="auto" w:sz="0" w:space="0"/>
                <w:right w:val="none" w:color="auto" w:sz="0" w:space="0"/>
                <w:between w:val="none" w:color="auto" w:sz="0" w:space="0"/>
              </w:pBdr>
              <w:tabs>
                <w:tab w:val="left" w:pos="0"/>
                <w:tab w:val="left" w:pos="376"/>
              </w:tabs>
              <w:spacing w:before="14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Natureza e cultura</w:t>
            </w:r>
          </w:p>
          <w:p>
            <w:pPr>
              <w:widowControl w:val="0"/>
              <w:numPr>
                <w:ilvl w:val="0"/>
                <w:numId w:val="11"/>
              </w:numPr>
              <w:pBdr>
                <w:top w:val="none" w:color="auto" w:sz="0" w:space="0"/>
                <w:left w:val="none" w:color="auto" w:sz="0" w:space="0"/>
                <w:bottom w:val="none" w:color="auto" w:sz="0" w:space="0"/>
                <w:right w:val="none" w:color="auto" w:sz="0" w:space="0"/>
                <w:between w:val="none" w:color="auto" w:sz="0" w:space="0"/>
              </w:pBdr>
              <w:tabs>
                <w:tab w:val="left" w:pos="0"/>
                <w:tab w:val="left" w:pos="376"/>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Socialização e individualização.</w:t>
            </w:r>
          </w:p>
          <w:p>
            <w:pPr>
              <w:widowControl w:val="0"/>
              <w:pBdr>
                <w:top w:val="none" w:color="auto" w:sz="0" w:space="0"/>
                <w:left w:val="none" w:color="auto" w:sz="0" w:space="0"/>
                <w:bottom w:val="none" w:color="auto" w:sz="0" w:space="0"/>
                <w:right w:val="none" w:color="auto" w:sz="0" w:space="0"/>
                <w:between w:val="none" w:color="auto" w:sz="0" w:space="0"/>
              </w:pBdr>
              <w:spacing w:before="9"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Processos Comunicativos.</w:t>
            </w:r>
          </w:p>
          <w:p>
            <w:pPr>
              <w:widowControl w:val="0"/>
              <w:numPr>
                <w:ilvl w:val="0"/>
                <w:numId w:val="11"/>
              </w:numPr>
              <w:pBdr>
                <w:top w:val="none" w:color="auto" w:sz="0" w:space="0"/>
                <w:left w:val="none" w:color="auto" w:sz="0" w:space="0"/>
                <w:bottom w:val="none" w:color="auto" w:sz="0" w:space="0"/>
                <w:right w:val="none" w:color="auto" w:sz="0" w:space="0"/>
                <w:between w:val="none" w:color="auto" w:sz="0" w:space="0"/>
              </w:pBdr>
              <w:tabs>
                <w:tab w:val="left" w:pos="0"/>
                <w:tab w:val="left" w:pos="439"/>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Construção comunicativa do mundo social.</w:t>
            </w:r>
          </w:p>
          <w:p>
            <w:pPr>
              <w:widowControl w:val="0"/>
              <w:numPr>
                <w:ilvl w:val="0"/>
                <w:numId w:val="11"/>
              </w:numPr>
              <w:pBdr>
                <w:top w:val="none" w:color="auto" w:sz="0" w:space="0"/>
                <w:left w:val="none" w:color="auto" w:sz="0" w:space="0"/>
                <w:bottom w:val="none" w:color="auto" w:sz="0" w:space="0"/>
                <w:right w:val="none" w:color="auto" w:sz="0" w:space="0"/>
                <w:between w:val="none" w:color="auto" w:sz="0" w:space="0"/>
              </w:pBdr>
              <w:tabs>
                <w:tab w:val="left" w:pos="0"/>
                <w:tab w:val="left" w:pos="434"/>
              </w:tabs>
              <w:spacing w:before="142"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Informação e interação social.</w:t>
            </w:r>
          </w:p>
          <w:p>
            <w:pPr>
              <w:widowControl w:val="0"/>
              <w:numPr>
                <w:ilvl w:val="0"/>
                <w:numId w:val="11"/>
              </w:numPr>
              <w:pBdr>
                <w:top w:val="none" w:color="auto" w:sz="0" w:space="0"/>
                <w:left w:val="none" w:color="auto" w:sz="0" w:space="0"/>
                <w:bottom w:val="none" w:color="auto" w:sz="0" w:space="0"/>
                <w:right w:val="none" w:color="auto" w:sz="0" w:space="0"/>
                <w:between w:val="none" w:color="auto" w:sz="0" w:space="0"/>
              </w:pBdr>
              <w:tabs>
                <w:tab w:val="left" w:pos="0"/>
                <w:tab w:val="left" w:pos="439"/>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Modernidade e crise de sentido</w:t>
            </w:r>
          </w:p>
          <w:p>
            <w:pPr>
              <w:widowControl w:val="0"/>
              <w:pBdr>
                <w:top w:val="none" w:color="auto" w:sz="0" w:space="0"/>
                <w:left w:val="none" w:color="auto" w:sz="0" w:space="0"/>
                <w:bottom w:val="none" w:color="auto" w:sz="0" w:space="0"/>
                <w:right w:val="none" w:color="auto" w:sz="0" w:space="0"/>
                <w:between w:val="none" w:color="auto" w:sz="0" w:space="0"/>
              </w:pBdr>
              <w:spacing w:before="9"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6732"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Estruturas sociais.</w:t>
            </w:r>
          </w:p>
          <w:p>
            <w:pPr>
              <w:widowControl w:val="0"/>
              <w:numPr>
                <w:ilvl w:val="0"/>
                <w:numId w:val="11"/>
              </w:numPr>
              <w:pBdr>
                <w:top w:val="none" w:color="auto" w:sz="0" w:space="0"/>
                <w:left w:val="none" w:color="auto" w:sz="0" w:space="0"/>
                <w:bottom w:val="none" w:color="auto" w:sz="0" w:space="0"/>
                <w:right w:val="none" w:color="auto" w:sz="0" w:space="0"/>
                <w:between w:val="none" w:color="auto" w:sz="0" w:space="0"/>
              </w:pBdr>
              <w:tabs>
                <w:tab w:val="left" w:pos="0"/>
                <w:tab w:val="left" w:pos="434"/>
              </w:tabs>
              <w:spacing w:before="137" w:line="240" w:lineRule="auto"/>
              <w:ind w:left="0" w:right="6720" w:hanging="2"/>
              <w:rPr>
                <w:rFonts w:ascii="Times New Roman" w:hAnsi="Times New Roman" w:eastAsia="Times New Roman" w:cs="Times New Roman"/>
                <w:color w:val="000000"/>
              </w:rPr>
            </w:pPr>
            <w:r>
              <w:rPr>
                <w:rFonts w:ascii="Times New Roman" w:hAnsi="Times New Roman" w:eastAsia="Times New Roman" w:cs="Times New Roman"/>
                <w:color w:val="000000"/>
              </w:rPr>
              <w:t>Instituições.</w:t>
            </w:r>
          </w:p>
          <w:p>
            <w:pPr>
              <w:widowControl w:val="0"/>
              <w:numPr>
                <w:ilvl w:val="0"/>
                <w:numId w:val="11"/>
              </w:numPr>
              <w:pBdr>
                <w:top w:val="none" w:color="auto" w:sz="0" w:space="0"/>
                <w:left w:val="none" w:color="auto" w:sz="0" w:space="0"/>
                <w:bottom w:val="none" w:color="auto" w:sz="0" w:space="0"/>
                <w:right w:val="none" w:color="auto" w:sz="0" w:space="0"/>
                <w:between w:val="none" w:color="auto" w:sz="0" w:space="0"/>
              </w:pBdr>
              <w:tabs>
                <w:tab w:val="left" w:pos="0"/>
                <w:tab w:val="left" w:pos="439"/>
              </w:tabs>
              <w:spacing w:before="14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Ação e liberdade.</w:t>
            </w:r>
          </w:p>
          <w:p>
            <w:pPr>
              <w:widowControl w:val="0"/>
              <w:numPr>
                <w:ilvl w:val="0"/>
                <w:numId w:val="11"/>
              </w:numPr>
              <w:pBdr>
                <w:top w:val="none" w:color="auto" w:sz="0" w:space="0"/>
                <w:left w:val="none" w:color="auto" w:sz="0" w:space="0"/>
                <w:bottom w:val="none" w:color="auto" w:sz="0" w:space="0"/>
                <w:right w:val="none" w:color="auto" w:sz="0" w:space="0"/>
                <w:between w:val="none" w:color="auto" w:sz="0" w:space="0"/>
              </w:pBdr>
              <w:tabs>
                <w:tab w:val="left" w:pos="0"/>
                <w:tab w:val="left" w:pos="439"/>
              </w:tabs>
              <w:spacing w:before="138"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Controle social.</w:t>
            </w:r>
          </w:p>
          <w:p>
            <w:pPr>
              <w:widowControl w:val="0"/>
              <w:numPr>
                <w:ilvl w:val="0"/>
                <w:numId w:val="11"/>
              </w:numPr>
              <w:pBdr>
                <w:top w:val="none" w:color="auto" w:sz="0" w:space="0"/>
                <w:left w:val="none" w:color="auto" w:sz="0" w:space="0"/>
                <w:bottom w:val="none" w:color="auto" w:sz="0" w:space="0"/>
                <w:right w:val="none" w:color="auto" w:sz="0" w:space="0"/>
                <w:between w:val="none" w:color="auto" w:sz="0" w:space="0"/>
              </w:pBdr>
              <w:tabs>
                <w:tab w:val="left" w:pos="0"/>
                <w:tab w:val="left" w:pos="434"/>
              </w:tabs>
              <w:spacing w:before="136"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Solidariedade.</w:t>
            </w:r>
          </w:p>
        </w:tc>
      </w:tr>
      <w:tr>
        <w:tblPrEx>
          <w:tblCellMar>
            <w:top w:w="0" w:type="dxa"/>
            <w:left w:w="22" w:type="dxa"/>
            <w:bottom w:w="0" w:type="dxa"/>
            <w:right w:w="5" w:type="dxa"/>
          </w:tblCellMar>
        </w:tblPrEx>
        <w:trPr>
          <w:trHeight w:val="4796" w:hRule="atLeast"/>
        </w:trPr>
        <w:tc>
          <w:tcPr>
            <w:tcW w:w="9162" w:type="dxa"/>
            <w:gridSpan w:val="3"/>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2"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ARENDT, Hannah. A condição humana (capítulos III e IV). Rio de Janeiro: Forense Universitária,1983.</w:t>
            </w:r>
          </w:p>
          <w:p>
            <w:pPr>
              <w:widowControl w:val="0"/>
              <w:pBdr>
                <w:top w:val="none" w:color="auto" w:sz="0" w:space="0"/>
                <w:left w:val="none" w:color="auto" w:sz="0" w:space="0"/>
                <w:bottom w:val="none" w:color="auto" w:sz="0" w:space="0"/>
                <w:right w:val="none" w:color="auto" w:sz="0" w:space="0"/>
                <w:between w:val="none" w:color="auto" w:sz="0" w:space="0"/>
              </w:pBdr>
              <w:tabs>
                <w:tab w:val="left" w:pos="5197"/>
              </w:tabs>
              <w:spacing w:line="360" w:lineRule="auto"/>
              <w:ind w:left="0" w:right="136" w:hanging="2"/>
              <w:rPr>
                <w:rFonts w:ascii="Times New Roman" w:hAnsi="Times New Roman" w:eastAsia="Times New Roman" w:cs="Times New Roman"/>
                <w:color w:val="000000"/>
              </w:rPr>
            </w:pPr>
            <w:r>
              <w:rPr>
                <w:rFonts w:ascii="Times New Roman" w:hAnsi="Times New Roman" w:eastAsia="Times New Roman" w:cs="Times New Roman"/>
                <w:color w:val="000000"/>
              </w:rPr>
              <w:t>ARENDT, Hannah. O que é liberdade? In</w:t>
            </w:r>
            <w:r>
              <w:rPr>
                <w:rFonts w:ascii="Times New Roman" w:hAnsi="Times New Roman" w:eastAsia="Times New Roman" w:cs="Times New Roman"/>
                <w:color w:val="000000"/>
                <w:u w:val="single"/>
              </w:rPr>
              <w:tab/>
            </w:r>
            <w:r>
              <w:rPr>
                <w:rFonts w:ascii="Times New Roman" w:hAnsi="Times New Roman" w:eastAsia="Times New Roman" w:cs="Times New Roman"/>
                <w:color w:val="000000"/>
              </w:rPr>
              <w:t>Poder e violência. Rio de Janeiro: Relume Dumará,2001.</w:t>
            </w: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BERGE, Peter; LUCKMANN, Thomas. A construção social da realidade. Petrópolis: Vozes, 1973.</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36"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BERGER, Peter; ZIJDERVELD, Anton. </w:t>
            </w:r>
            <w:r>
              <w:rPr>
                <w:rFonts w:ascii="Times New Roman" w:hAnsi="Times New Roman" w:eastAsia="Times New Roman" w:cs="Times New Roman"/>
                <w:i/>
                <w:color w:val="000000"/>
              </w:rPr>
              <w:t>Em favor da dúvida. Como ter convicções sem ser um fanático</w:t>
            </w:r>
            <w:r>
              <w:rPr>
                <w:rFonts w:ascii="Times New Roman" w:hAnsi="Times New Roman" w:eastAsia="Times New Roman" w:cs="Times New Roman"/>
                <w:color w:val="000000"/>
              </w:rPr>
              <w:t>. Elsevier: Campus,2012.</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EISENSTADT, S.N. Múltiplas Modernidades: Ensaios, Lisboa, Livros Horizonte, col.</w:t>
            </w:r>
          </w:p>
          <w:p>
            <w:pPr>
              <w:widowControl w:val="0"/>
              <w:pBdr>
                <w:top w:val="none" w:color="auto" w:sz="0" w:space="0"/>
                <w:left w:val="none" w:color="auto" w:sz="0" w:space="0"/>
                <w:bottom w:val="none" w:color="auto" w:sz="0" w:space="0"/>
                <w:right w:val="none" w:color="auto" w:sz="0" w:space="0"/>
                <w:between w:val="none" w:color="auto" w:sz="0" w:space="0"/>
              </w:pBdr>
              <w:spacing w:before="138"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«Estudos Políticos», 2007.</w:t>
            </w:r>
          </w:p>
        </w:tc>
      </w:tr>
      <w:tr>
        <w:tblPrEx>
          <w:tblCellMar>
            <w:top w:w="0" w:type="dxa"/>
            <w:left w:w="22" w:type="dxa"/>
            <w:bottom w:w="0" w:type="dxa"/>
            <w:right w:w="5" w:type="dxa"/>
          </w:tblCellMar>
        </w:tblPrEx>
        <w:trPr>
          <w:trHeight w:val="412" w:hRule="atLeast"/>
        </w:trPr>
        <w:tc>
          <w:tcPr>
            <w:tcW w:w="9162" w:type="dxa"/>
            <w:gridSpan w:val="3"/>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before="232" w:line="360" w:lineRule="auto"/>
              <w:ind w:left="0" w:right="136" w:hanging="2"/>
              <w:rPr>
                <w:rFonts w:ascii="Times New Roman" w:hAnsi="Times New Roman" w:eastAsia="Times New Roman" w:cs="Times New Roman"/>
                <w:color w:val="000000"/>
              </w:rPr>
            </w:pPr>
            <w:r>
              <w:rPr>
                <w:rFonts w:ascii="Times New Roman" w:hAnsi="Times New Roman" w:eastAsia="Times New Roman" w:cs="Times New Roman"/>
                <w:color w:val="000000"/>
              </w:rPr>
              <w:t>GEHLEN, Arnold. Moral e Hipermoral. Rio de Janeiro: Tempo Brasileiro, 1984. JOAS, Hans. A sacralidade da pessoa. Nova genealogia dos direitos humanos. São Paulo: UNESP,2012.</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KRIELE, Martin. “A liberdade individual e a liberdade econômica”. In: </w:t>
            </w:r>
            <w:r>
              <w:rPr>
                <w:rFonts w:ascii="Times New Roman" w:hAnsi="Times New Roman" w:eastAsia="Times New Roman" w:cs="Times New Roman"/>
                <w:i/>
                <w:color w:val="000000"/>
              </w:rPr>
              <w:t>Introdução à teoria do Estado</w:t>
            </w:r>
            <w:r>
              <w:rPr>
                <w:rFonts w:ascii="Times New Roman" w:hAnsi="Times New Roman" w:eastAsia="Times New Roman" w:cs="Times New Roman"/>
                <w:color w:val="000000"/>
              </w:rPr>
              <w:t>. Porto Alegre: Sérgio Antonio Fabris Editor, 2009.</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MANNHEIM, Karl. Ideologia e Utopia. Rio de Janeiro: Guanabara, 1986. MARQUARD, Odo. Sobre la inevitabilidad de las ciências del espíritu. In: </w:t>
            </w:r>
            <w:r>
              <w:rPr>
                <w:rFonts w:ascii="Times New Roman" w:hAnsi="Times New Roman" w:eastAsia="Times New Roman" w:cs="Times New Roman"/>
                <w:i/>
                <w:color w:val="000000"/>
              </w:rPr>
              <w:t>Apologia de lo contingente</w:t>
            </w:r>
            <w:r>
              <w:rPr>
                <w:rFonts w:ascii="Times New Roman" w:hAnsi="Times New Roman" w:eastAsia="Times New Roman" w:cs="Times New Roman"/>
                <w:color w:val="000000"/>
              </w:rPr>
              <w:t>. València: Institució Alfons El Magnànim, 2000.</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SENNETT, Richard. A corrosão do caráter (capítulos IV e VI). Rio de Janeiro / São Paulo: Editora Record, 2004.</w:t>
            </w:r>
          </w:p>
          <w:p>
            <w:pPr>
              <w:widowControl w:val="0"/>
              <w:pBdr>
                <w:top w:val="none" w:color="auto" w:sz="0" w:space="0"/>
                <w:left w:val="none" w:color="auto" w:sz="0" w:space="0"/>
                <w:bottom w:val="none" w:color="auto" w:sz="0" w:space="0"/>
                <w:right w:val="none" w:color="auto" w:sz="0" w:space="0"/>
                <w:between w:val="none" w:color="auto" w:sz="0" w:space="0"/>
              </w:pBdr>
              <w:spacing w:before="232" w:line="360" w:lineRule="auto"/>
              <w:ind w:left="0" w:right="136" w:hanging="2"/>
              <w:rPr>
                <w:rFonts w:ascii="Times New Roman" w:hAnsi="Times New Roman" w:eastAsia="Times New Roman" w:cs="Times New Roman"/>
                <w:color w:val="000000"/>
              </w:rPr>
            </w:pPr>
            <w:r>
              <w:rPr>
                <w:rFonts w:ascii="Times New Roman" w:hAnsi="Times New Roman" w:eastAsia="Times New Roman" w:cs="Times New Roman"/>
                <w:i/>
                <w:color w:val="000000"/>
              </w:rPr>
              <w:t>WEBER, Max</w:t>
            </w:r>
            <w:r>
              <w:rPr>
                <w:rFonts w:ascii="Times New Roman" w:hAnsi="Times New Roman" w:eastAsia="Times New Roman" w:cs="Times New Roman"/>
                <w:color w:val="000000"/>
              </w:rPr>
              <w:t xml:space="preserve">. “Os três tipos de dominação legítima”. In: </w:t>
            </w:r>
            <w:r>
              <w:rPr>
                <w:rFonts w:ascii="Times New Roman" w:hAnsi="Times New Roman" w:eastAsia="Times New Roman" w:cs="Times New Roman"/>
                <w:i/>
                <w:color w:val="000000"/>
              </w:rPr>
              <w:t>Ensaios de Sociologia</w:t>
            </w:r>
            <w:r>
              <w:rPr>
                <w:rFonts w:ascii="Times New Roman" w:hAnsi="Times New Roman" w:eastAsia="Times New Roman" w:cs="Times New Roman"/>
                <w:color w:val="000000"/>
              </w:rPr>
              <w:t>. Riode Janeiro: Ed Guanabara,1982.</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485"/>
        <w:tblW w:w="9162" w:type="dxa"/>
        <w:tblInd w:w="2" w:type="dxa"/>
        <w:tblLayout w:type="fixed"/>
        <w:tblCellMar>
          <w:top w:w="0" w:type="dxa"/>
          <w:left w:w="22" w:type="dxa"/>
          <w:bottom w:w="0" w:type="dxa"/>
          <w:right w:w="5" w:type="dxa"/>
        </w:tblCellMar>
      </w:tblPr>
      <w:tblGrid>
        <w:gridCol w:w="2902"/>
        <w:gridCol w:w="3119"/>
        <w:gridCol w:w="3141"/>
      </w:tblGrid>
      <w:tr>
        <w:tblPrEx>
          <w:tblCellMar>
            <w:top w:w="0" w:type="dxa"/>
            <w:left w:w="22" w:type="dxa"/>
            <w:bottom w:w="0" w:type="dxa"/>
            <w:right w:w="5" w:type="dxa"/>
          </w:tblCellMar>
        </w:tblPrEx>
        <w:trPr>
          <w:trHeight w:val="2072" w:hRule="atLeast"/>
        </w:trPr>
        <w:tc>
          <w:tcPr>
            <w:tcW w:w="6021"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4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História Moderna</w:t>
            </w:r>
          </w:p>
          <w:p>
            <w:pPr>
              <w:widowControl w:val="0"/>
              <w:pBdr>
                <w:top w:val="none" w:color="auto" w:sz="0" w:space="0"/>
                <w:left w:val="none" w:color="auto" w:sz="0" w:space="0"/>
                <w:bottom w:val="none" w:color="auto" w:sz="0" w:space="0"/>
                <w:right w:val="none" w:color="auto" w:sz="0" w:space="0"/>
                <w:between w:val="none" w:color="auto" w:sz="0" w:space="0"/>
              </w:pBdr>
              <w:spacing w:before="1"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14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Modern History</w:t>
            </w:r>
          </w:p>
        </w:tc>
        <w:tc>
          <w:tcPr>
            <w:tcW w:w="3141"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HIS079</w:t>
            </w:r>
          </w:p>
        </w:tc>
      </w:tr>
      <w:tr>
        <w:tblPrEx>
          <w:tblCellMar>
            <w:top w:w="0" w:type="dxa"/>
            <w:left w:w="22" w:type="dxa"/>
            <w:bottom w:w="0" w:type="dxa"/>
            <w:right w:w="5" w:type="dxa"/>
          </w:tblCellMar>
        </w:tblPrEx>
        <w:trPr>
          <w:trHeight w:val="830" w:hRule="atLeast"/>
        </w:trPr>
        <w:tc>
          <w:tcPr>
            <w:tcW w:w="6021"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 História</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DEHIS</w:t>
            </w:r>
          </w:p>
        </w:tc>
        <w:tc>
          <w:tcPr>
            <w:tcW w:w="3141"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5" w:type="dxa"/>
          </w:tblCellMar>
        </w:tblPrEx>
        <w:trPr>
          <w:trHeight w:val="1238" w:hRule="atLeast"/>
        </w:trPr>
        <w:tc>
          <w:tcPr>
            <w:tcW w:w="2902"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0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96"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3119"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3141"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 02 horas/aula</w:t>
            </w:r>
          </w:p>
        </w:tc>
      </w:tr>
      <w:tr>
        <w:tblPrEx>
          <w:tblCellMar>
            <w:top w:w="0" w:type="dxa"/>
            <w:left w:w="22" w:type="dxa"/>
            <w:bottom w:w="0" w:type="dxa"/>
            <w:right w:w="5" w:type="dxa"/>
          </w:tblCellMar>
        </w:tblPrEx>
        <w:trPr>
          <w:trHeight w:val="830" w:hRule="atLeast"/>
        </w:trPr>
        <w:tc>
          <w:tcPr>
            <w:tcW w:w="9162"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Ementa: Estudo das estruturas sociais, políticas e econômicas em vigor na Europa</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Ocidental, nos séculos XVI, XVII e XVIII.</w:t>
            </w:r>
          </w:p>
        </w:tc>
      </w:tr>
      <w:tr>
        <w:tblPrEx>
          <w:tblCellMar>
            <w:top w:w="0" w:type="dxa"/>
            <w:left w:w="22" w:type="dxa"/>
            <w:bottom w:w="0" w:type="dxa"/>
            <w:right w:w="5" w:type="dxa"/>
          </w:tblCellMar>
        </w:tblPrEx>
        <w:trPr>
          <w:trHeight w:val="1656" w:hRule="atLeast"/>
        </w:trPr>
        <w:tc>
          <w:tcPr>
            <w:tcW w:w="9162"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2613" w:hanging="2"/>
              <w:rPr>
                <w:rFonts w:ascii="Times New Roman" w:hAnsi="Times New Roman" w:eastAsia="Times New Roman" w:cs="Times New Roman"/>
                <w:color w:val="000000"/>
              </w:rPr>
            </w:pPr>
            <w:r>
              <w:rPr>
                <w:rFonts w:ascii="Times New Roman" w:hAnsi="Times New Roman" w:eastAsia="Times New Roman" w:cs="Times New Roman"/>
                <w:color w:val="000000"/>
              </w:rPr>
              <w:t>I – Periodização da Idade Moderna e Renascimento cultural II – Reformas religiosas e cultura popular</w:t>
            </w:r>
          </w:p>
        </w:tc>
      </w:tr>
      <w:tr>
        <w:tblPrEx>
          <w:tblCellMar>
            <w:top w:w="0" w:type="dxa"/>
            <w:left w:w="22" w:type="dxa"/>
            <w:bottom w:w="0" w:type="dxa"/>
            <w:right w:w="5" w:type="dxa"/>
          </w:tblCellMar>
        </w:tblPrEx>
        <w:trPr>
          <w:trHeight w:val="2482" w:hRule="atLeast"/>
        </w:trPr>
        <w:tc>
          <w:tcPr>
            <w:tcW w:w="9162" w:type="dxa"/>
            <w:gridSpan w:val="3"/>
            <w:tcBorders>
              <w:top w:val="single" w:color="000000" w:sz="18" w:space="0"/>
              <w:left w:val="single" w:color="000000" w:sz="18" w:space="0"/>
              <w:bottom w:val="single" w:color="000000" w:sz="18" w:space="0"/>
              <w:right w:val="single" w:color="000000" w:sz="18" w:space="0"/>
            </w:tcBorders>
          </w:tcPr>
          <w:p>
            <w:pPr>
              <w:widowControl w:val="0"/>
              <w:numPr>
                <w:ilvl w:val="0"/>
                <w:numId w:val="12"/>
              </w:numPr>
              <w:pBdr>
                <w:top w:val="none" w:color="auto" w:sz="0" w:space="0"/>
                <w:left w:val="none" w:color="auto" w:sz="0" w:space="0"/>
                <w:bottom w:val="none" w:color="auto" w:sz="0" w:space="0"/>
                <w:right w:val="none" w:color="auto" w:sz="0" w:space="0"/>
                <w:between w:val="none" w:color="auto" w:sz="0" w:space="0"/>
              </w:pBdr>
              <w:tabs>
                <w:tab w:val="left" w:pos="0"/>
                <w:tab w:val="left" w:pos="415"/>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A feitiçaria na Europa Moderna</w:t>
            </w:r>
          </w:p>
          <w:p>
            <w:pPr>
              <w:widowControl w:val="0"/>
              <w:numPr>
                <w:ilvl w:val="0"/>
                <w:numId w:val="12"/>
              </w:numPr>
              <w:pBdr>
                <w:top w:val="none" w:color="auto" w:sz="0" w:space="0"/>
                <w:left w:val="none" w:color="auto" w:sz="0" w:space="0"/>
                <w:bottom w:val="none" w:color="auto" w:sz="0" w:space="0"/>
                <w:right w:val="none" w:color="auto" w:sz="0" w:space="0"/>
                <w:between w:val="none" w:color="auto" w:sz="0" w:space="0"/>
              </w:pBdr>
              <w:tabs>
                <w:tab w:val="left" w:pos="0"/>
                <w:tab w:val="left" w:pos="429"/>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Os Estados modernos e a sociedade estamental</w:t>
            </w:r>
          </w:p>
          <w:p>
            <w:pPr>
              <w:widowControl w:val="0"/>
              <w:numPr>
                <w:ilvl w:val="0"/>
                <w:numId w:val="12"/>
              </w:numPr>
              <w:pBdr>
                <w:top w:val="none" w:color="auto" w:sz="0" w:space="0"/>
                <w:left w:val="none" w:color="auto" w:sz="0" w:space="0"/>
                <w:bottom w:val="none" w:color="auto" w:sz="0" w:space="0"/>
                <w:right w:val="none" w:color="auto" w:sz="0" w:space="0"/>
                <w:between w:val="none" w:color="auto" w:sz="0" w:space="0"/>
              </w:pBdr>
              <w:tabs>
                <w:tab w:val="left" w:pos="0"/>
                <w:tab w:val="left" w:pos="348"/>
              </w:tabs>
              <w:spacing w:before="137" w:line="360" w:lineRule="auto"/>
              <w:ind w:left="0" w:right="1210" w:hanging="2"/>
              <w:rPr>
                <w:rFonts w:ascii="Times New Roman" w:hAnsi="Times New Roman" w:eastAsia="Times New Roman" w:cs="Times New Roman"/>
                <w:color w:val="000000"/>
              </w:rPr>
            </w:pPr>
            <w:r>
              <w:rPr>
                <w:rFonts w:ascii="Times New Roman" w:hAnsi="Times New Roman" w:eastAsia="Times New Roman" w:cs="Times New Roman"/>
                <w:color w:val="000000"/>
              </w:rPr>
              <w:t>- A Revolução científica e as mudanças nos paradigmas de conhecimento VI - A crise do século XVII e o Iluminismo</w:t>
            </w:r>
          </w:p>
          <w:p>
            <w:pPr>
              <w:widowControl w:val="0"/>
              <w:numPr>
                <w:ilvl w:val="0"/>
                <w:numId w:val="13"/>
              </w:numPr>
              <w:pBdr>
                <w:top w:val="none" w:color="auto" w:sz="0" w:space="0"/>
                <w:left w:val="none" w:color="auto" w:sz="0" w:space="0"/>
                <w:bottom w:val="none" w:color="auto" w:sz="0" w:space="0"/>
                <w:right w:val="none" w:color="auto" w:sz="0" w:space="0"/>
                <w:between w:val="none" w:color="auto" w:sz="0" w:space="0"/>
              </w:pBdr>
              <w:tabs>
                <w:tab w:val="left" w:pos="0"/>
                <w:tab w:val="left" w:pos="511"/>
              </w:tabs>
              <w:spacing w:before="2"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As transformações no sistema fabril: Revolução Industrial</w:t>
            </w:r>
          </w:p>
          <w:p>
            <w:pPr>
              <w:widowControl w:val="0"/>
              <w:numPr>
                <w:ilvl w:val="0"/>
                <w:numId w:val="13"/>
              </w:numPr>
              <w:pBdr>
                <w:top w:val="none" w:color="auto" w:sz="0" w:space="0"/>
                <w:left w:val="none" w:color="auto" w:sz="0" w:space="0"/>
                <w:bottom w:val="none" w:color="auto" w:sz="0" w:space="0"/>
                <w:right w:val="none" w:color="auto" w:sz="0" w:space="0"/>
                <w:between w:val="none" w:color="auto" w:sz="0" w:space="0"/>
              </w:pBdr>
              <w:tabs>
                <w:tab w:val="left" w:pos="0"/>
                <w:tab w:val="left" w:pos="588"/>
              </w:tabs>
              <w:spacing w:before="138"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As transformações políticas: A Revolução Francesa.</w:t>
            </w:r>
          </w:p>
        </w:tc>
      </w:tr>
      <w:tr>
        <w:tblPrEx>
          <w:tblCellMar>
            <w:top w:w="0" w:type="dxa"/>
            <w:left w:w="22" w:type="dxa"/>
            <w:bottom w:w="0" w:type="dxa"/>
            <w:right w:w="5" w:type="dxa"/>
          </w:tblCellMar>
        </w:tblPrEx>
        <w:trPr>
          <w:trHeight w:val="3681" w:hRule="atLeast"/>
        </w:trPr>
        <w:tc>
          <w:tcPr>
            <w:tcW w:w="9162" w:type="dxa"/>
            <w:gridSpan w:val="3"/>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2"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36"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BURCKHARDT, Jacob. </w:t>
            </w:r>
            <w:r>
              <w:rPr>
                <w:rFonts w:ascii="Times New Roman" w:hAnsi="Times New Roman" w:eastAsia="Times New Roman" w:cs="Times New Roman"/>
                <w:i/>
                <w:color w:val="000000"/>
              </w:rPr>
              <w:t>A civilização do renascimento italiano</w:t>
            </w:r>
            <w:r>
              <w:rPr>
                <w:rFonts w:ascii="Times New Roman" w:hAnsi="Times New Roman" w:eastAsia="Times New Roman" w:cs="Times New Roman"/>
                <w:color w:val="000000"/>
              </w:rPr>
              <w:t>. Lisboa: Presença, 1983.</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36"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CHARTIER, Roger. </w:t>
            </w:r>
            <w:r>
              <w:rPr>
                <w:rFonts w:ascii="Times New Roman" w:hAnsi="Times New Roman" w:eastAsia="Times New Roman" w:cs="Times New Roman"/>
                <w:i/>
                <w:color w:val="000000"/>
              </w:rPr>
              <w:t>Origens culturais da Revolução Francesa</w:t>
            </w:r>
            <w:r>
              <w:rPr>
                <w:rFonts w:ascii="Times New Roman" w:hAnsi="Times New Roman" w:eastAsia="Times New Roman" w:cs="Times New Roman"/>
                <w:color w:val="000000"/>
              </w:rPr>
              <w:t>. São Paulo: Unesp, 2009.</w:t>
            </w: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DARNTON, Robert. </w:t>
            </w:r>
            <w:r>
              <w:rPr>
                <w:rFonts w:ascii="Times New Roman" w:hAnsi="Times New Roman" w:eastAsia="Times New Roman" w:cs="Times New Roman"/>
                <w:i/>
                <w:color w:val="000000"/>
              </w:rPr>
              <w:t>Boemia literária e Revolução</w:t>
            </w:r>
            <w:r>
              <w:rPr>
                <w:rFonts w:ascii="Times New Roman" w:hAnsi="Times New Roman" w:eastAsia="Times New Roman" w:cs="Times New Roman"/>
                <w:color w:val="000000"/>
              </w:rPr>
              <w:t>: o submundo das letras no Antigo Regime. São Paulo: Cia das Letras, 1989.</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36"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FALCON, Francisco e RODRIGUES, Edmilson. </w:t>
            </w:r>
            <w:r>
              <w:rPr>
                <w:rFonts w:ascii="Times New Roman" w:hAnsi="Times New Roman" w:eastAsia="Times New Roman" w:cs="Times New Roman"/>
                <w:i/>
                <w:color w:val="000000"/>
              </w:rPr>
              <w:t>Tempos modernos</w:t>
            </w:r>
            <w:r>
              <w:rPr>
                <w:rFonts w:ascii="Times New Roman" w:hAnsi="Times New Roman" w:eastAsia="Times New Roman" w:cs="Times New Roman"/>
                <w:color w:val="000000"/>
              </w:rPr>
              <w:t>: Ensaios de História Cultural. Rio de Janeiro: Civilização Brasileira, 2000.</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HAZARD, Paul. </w:t>
            </w:r>
            <w:r>
              <w:rPr>
                <w:rFonts w:ascii="Times New Roman" w:hAnsi="Times New Roman" w:eastAsia="Times New Roman" w:cs="Times New Roman"/>
                <w:i/>
                <w:color w:val="000000"/>
              </w:rPr>
              <w:t>O pensamento europeu no século XVIII</w:t>
            </w:r>
            <w:r>
              <w:rPr>
                <w:rFonts w:ascii="Times New Roman" w:hAnsi="Times New Roman" w:eastAsia="Times New Roman" w:cs="Times New Roman"/>
                <w:color w:val="000000"/>
              </w:rPr>
              <w:t>. Lisboa: Presença, 1983.</w:t>
            </w:r>
          </w:p>
        </w:tc>
      </w:tr>
      <w:tr>
        <w:tblPrEx>
          <w:tblCellMar>
            <w:top w:w="0" w:type="dxa"/>
            <w:left w:w="22" w:type="dxa"/>
            <w:bottom w:w="0" w:type="dxa"/>
            <w:right w:w="5" w:type="dxa"/>
          </w:tblCellMar>
        </w:tblPrEx>
        <w:trPr>
          <w:trHeight w:val="5795" w:hRule="atLeast"/>
        </w:trPr>
        <w:tc>
          <w:tcPr>
            <w:tcW w:w="9162" w:type="dxa"/>
            <w:gridSpan w:val="3"/>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before="2"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HOBSBAWM, Eric. </w:t>
            </w:r>
            <w:r>
              <w:rPr>
                <w:rFonts w:ascii="Times New Roman" w:hAnsi="Times New Roman" w:eastAsia="Times New Roman" w:cs="Times New Roman"/>
                <w:i/>
                <w:color w:val="000000"/>
              </w:rPr>
              <w:t>Da Revolução Industrial Inglesa ao Imperialismo</w:t>
            </w:r>
            <w:r>
              <w:rPr>
                <w:rFonts w:ascii="Times New Roman" w:hAnsi="Times New Roman" w:eastAsia="Times New Roman" w:cs="Times New Roman"/>
                <w:color w:val="000000"/>
              </w:rPr>
              <w:t>. Rio de Janeiro: Forense, 1983.</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36"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KRIEDTE, Peter. </w:t>
            </w:r>
            <w:r>
              <w:rPr>
                <w:rFonts w:ascii="Times New Roman" w:hAnsi="Times New Roman" w:eastAsia="Times New Roman" w:cs="Times New Roman"/>
                <w:i/>
                <w:color w:val="000000"/>
              </w:rPr>
              <w:t>Camponeses, senhores e mercadores</w:t>
            </w:r>
            <w:r>
              <w:rPr>
                <w:rFonts w:ascii="Times New Roman" w:hAnsi="Times New Roman" w:eastAsia="Times New Roman" w:cs="Times New Roman"/>
                <w:color w:val="000000"/>
              </w:rPr>
              <w:t>: a Europa e a economia mundial (1500-1800). Lisboa: Teorema,1992.</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LADURIE, Emmanuel Le Roy. </w:t>
            </w:r>
            <w:r>
              <w:rPr>
                <w:rFonts w:ascii="Times New Roman" w:hAnsi="Times New Roman" w:eastAsia="Times New Roman" w:cs="Times New Roman"/>
                <w:i/>
                <w:color w:val="000000"/>
              </w:rPr>
              <w:t>O Estado monárquico</w:t>
            </w:r>
            <w:r>
              <w:rPr>
                <w:rFonts w:ascii="Times New Roman" w:hAnsi="Times New Roman" w:eastAsia="Times New Roman" w:cs="Times New Roman"/>
                <w:color w:val="000000"/>
              </w:rPr>
              <w:t>: França, 1460-1610. São Paulo: Cia. das Letras, 1994.</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SOBOUL, Albert. </w:t>
            </w:r>
            <w:r>
              <w:rPr>
                <w:rFonts w:ascii="Times New Roman" w:hAnsi="Times New Roman" w:eastAsia="Times New Roman" w:cs="Times New Roman"/>
                <w:i/>
                <w:color w:val="000000"/>
              </w:rPr>
              <w:t>A Revolução Francesa</w:t>
            </w:r>
            <w:r>
              <w:rPr>
                <w:rFonts w:ascii="Times New Roman" w:hAnsi="Times New Roman" w:eastAsia="Times New Roman" w:cs="Times New Roman"/>
                <w:color w:val="000000"/>
              </w:rPr>
              <w:t>. Rio de Janeiro: Difel, 2003.</w:t>
            </w:r>
          </w:p>
          <w:p>
            <w:pPr>
              <w:widowControl w:val="0"/>
              <w:pBdr>
                <w:top w:val="none" w:color="auto" w:sz="0" w:space="0"/>
                <w:left w:val="none" w:color="auto" w:sz="0" w:space="0"/>
                <w:bottom w:val="none" w:color="auto" w:sz="0" w:space="0"/>
                <w:right w:val="none" w:color="auto" w:sz="0" w:space="0"/>
                <w:between w:val="none" w:color="auto" w:sz="0" w:space="0"/>
              </w:pBdr>
              <w:spacing w:before="133"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THOMPSON, E. P. “Tempo, disciplina de trabalho e capitalismo industrial” In:</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i/>
                <w:color w:val="000000"/>
              </w:rPr>
              <w:t xml:space="preserve">Costumes em comum. </w:t>
            </w:r>
            <w:r>
              <w:rPr>
                <w:rFonts w:ascii="Times New Roman" w:hAnsi="Times New Roman" w:eastAsia="Times New Roman" w:cs="Times New Roman"/>
                <w:color w:val="000000"/>
              </w:rPr>
              <w:t>São Paulo: Cia. das Letras, 1998, p. 267-304.</w:t>
            </w:r>
          </w:p>
          <w:p>
            <w:pPr>
              <w:widowControl w:val="0"/>
              <w:pBdr>
                <w:top w:val="none" w:color="auto" w:sz="0" w:space="0"/>
                <w:left w:val="none" w:color="auto" w:sz="0" w:space="0"/>
                <w:bottom w:val="none" w:color="auto" w:sz="0" w:space="0"/>
                <w:right w:val="none" w:color="auto" w:sz="0" w:space="0"/>
                <w:between w:val="none" w:color="auto" w:sz="0" w:space="0"/>
              </w:pBdr>
              <w:spacing w:before="141"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TREVOR-ROPER, H. R. </w:t>
            </w:r>
            <w:r>
              <w:rPr>
                <w:rFonts w:ascii="Times New Roman" w:hAnsi="Times New Roman" w:eastAsia="Times New Roman" w:cs="Times New Roman"/>
                <w:i/>
                <w:color w:val="000000"/>
              </w:rPr>
              <w:t>Religião, Reforma e transformação social</w:t>
            </w:r>
            <w:r>
              <w:rPr>
                <w:rFonts w:ascii="Times New Roman" w:hAnsi="Times New Roman" w:eastAsia="Times New Roman" w:cs="Times New Roman"/>
                <w:color w:val="000000"/>
              </w:rPr>
              <w:t>. Lisboa: Presença, 1981.</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VENTURI, Franco. </w:t>
            </w:r>
            <w:r>
              <w:rPr>
                <w:rFonts w:ascii="Times New Roman" w:hAnsi="Times New Roman" w:eastAsia="Times New Roman" w:cs="Times New Roman"/>
                <w:i/>
                <w:color w:val="000000"/>
              </w:rPr>
              <w:t>Utopia e reforma no Iluminismo</w:t>
            </w:r>
            <w:r>
              <w:rPr>
                <w:rFonts w:ascii="Times New Roman" w:hAnsi="Times New Roman" w:eastAsia="Times New Roman" w:cs="Times New Roman"/>
                <w:color w:val="000000"/>
              </w:rPr>
              <w:t>. Bauru: Edusc, 2003.</w:t>
            </w:r>
          </w:p>
        </w:tc>
      </w:tr>
    </w:tbl>
    <w:p>
      <w:pPr>
        <w:ind w:left="0" w:hanging="2"/>
        <w:rPr>
          <w:rFonts w:ascii="Times New Roman" w:hAnsi="Times New Roman" w:eastAsia="Times New Roman" w:cs="Times New Roman"/>
        </w:rPr>
      </w:pPr>
    </w:p>
    <w:p>
      <w:pPr>
        <w:spacing w:before="90"/>
        <w:ind w:left="0" w:hanging="2"/>
        <w:rPr>
          <w:rFonts w:ascii="Times New Roman" w:hAnsi="Times New Roman" w:eastAsia="Times New Roman" w:cs="Times New Roman"/>
        </w:rPr>
      </w:pPr>
    </w:p>
    <w:p>
      <w:pPr>
        <w:spacing w:before="90"/>
        <w:ind w:left="0" w:hanging="2"/>
        <w:rPr>
          <w:rFonts w:ascii="Times New Roman" w:hAnsi="Times New Roman" w:eastAsia="Times New Roman" w:cs="Times New Roman"/>
        </w:rPr>
      </w:pPr>
    </w:p>
    <w:p>
      <w:pPr>
        <w:spacing w:before="90"/>
        <w:ind w:left="0" w:hanging="2"/>
        <w:rPr>
          <w:rFonts w:ascii="Times New Roman" w:hAnsi="Times New Roman" w:eastAsia="Times New Roman" w:cs="Times New Roman"/>
        </w:rPr>
      </w:pPr>
    </w:p>
    <w:p>
      <w:pPr>
        <w:spacing w:before="90"/>
        <w:ind w:left="0" w:hanging="2"/>
        <w:rPr>
          <w:rFonts w:ascii="Times New Roman" w:hAnsi="Times New Roman" w:eastAsia="Times New Roman" w:cs="Times New Roman"/>
        </w:rPr>
      </w:pPr>
    </w:p>
    <w:p>
      <w:pPr>
        <w:spacing w:before="90"/>
        <w:ind w:left="0" w:hanging="2"/>
        <w:rPr>
          <w:rFonts w:ascii="Times New Roman" w:hAnsi="Times New Roman" w:eastAsia="Times New Roman" w:cs="Times New Roman"/>
        </w:rPr>
      </w:pPr>
    </w:p>
    <w:p>
      <w:pPr>
        <w:spacing w:before="90"/>
        <w:ind w:left="0" w:hanging="2"/>
        <w:rPr>
          <w:rFonts w:ascii="Times New Roman" w:hAnsi="Times New Roman" w:eastAsia="Times New Roman" w:cs="Times New Roman"/>
        </w:rPr>
      </w:pPr>
    </w:p>
    <w:p>
      <w:pPr>
        <w:spacing w:before="90"/>
        <w:ind w:left="0" w:hanging="2"/>
        <w:rPr>
          <w:rFonts w:ascii="Times New Roman" w:hAnsi="Times New Roman" w:eastAsia="Times New Roman" w:cs="Times New Roman"/>
        </w:rPr>
      </w:pPr>
    </w:p>
    <w:p>
      <w:pPr>
        <w:spacing w:before="90"/>
        <w:ind w:left="0" w:hanging="2"/>
        <w:rPr>
          <w:rFonts w:ascii="Times New Roman" w:hAnsi="Times New Roman" w:cs="Times New Roman"/>
        </w:rPr>
      </w:pPr>
      <w:r>
        <w:rPr>
          <w:rFonts w:ascii="Times New Roman" w:hAnsi="Times New Roman" w:eastAsia="Times New Roman" w:cs="Times New Roman"/>
          <w:b/>
        </w:rPr>
        <w:t>2° Período</w:t>
      </w:r>
    </w:p>
    <w:p>
      <w:pPr>
        <w:spacing w:before="90"/>
        <w:ind w:left="0" w:hanging="2"/>
        <w:rPr>
          <w:rFonts w:ascii="Times New Roman" w:hAnsi="Times New Roman" w:eastAsia="Times New Roman" w:cs="Times New Roman"/>
        </w:rPr>
      </w:pPr>
    </w:p>
    <w:tbl>
      <w:tblPr>
        <w:tblStyle w:val="486"/>
        <w:tblW w:w="9193" w:type="dxa"/>
        <w:tblInd w:w="2" w:type="dxa"/>
        <w:tblLayout w:type="fixed"/>
        <w:tblCellMar>
          <w:top w:w="0" w:type="dxa"/>
          <w:left w:w="22" w:type="dxa"/>
          <w:bottom w:w="0" w:type="dxa"/>
          <w:right w:w="5" w:type="dxa"/>
        </w:tblCellMar>
      </w:tblPr>
      <w:tblGrid>
        <w:gridCol w:w="2868"/>
        <w:gridCol w:w="3115"/>
        <w:gridCol w:w="3210"/>
      </w:tblGrid>
      <w:tr>
        <w:tblPrEx>
          <w:tblCellMar>
            <w:top w:w="0" w:type="dxa"/>
            <w:left w:w="22" w:type="dxa"/>
            <w:bottom w:w="0" w:type="dxa"/>
            <w:right w:w="5" w:type="dxa"/>
          </w:tblCellMar>
        </w:tblPrEx>
        <w:trPr>
          <w:trHeight w:val="2072" w:hRule="atLeast"/>
        </w:trPr>
        <w:tc>
          <w:tcPr>
            <w:tcW w:w="5983"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História Contemporânea</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Contemporary history</w:t>
            </w:r>
          </w:p>
        </w:tc>
        <w:tc>
          <w:tcPr>
            <w:tcW w:w="3210"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HIS066</w:t>
            </w:r>
          </w:p>
        </w:tc>
      </w:tr>
      <w:tr>
        <w:tblPrEx>
          <w:tblCellMar>
            <w:top w:w="0" w:type="dxa"/>
            <w:left w:w="22" w:type="dxa"/>
            <w:bottom w:w="0" w:type="dxa"/>
            <w:right w:w="5" w:type="dxa"/>
          </w:tblCellMar>
        </w:tblPrEx>
        <w:trPr>
          <w:trHeight w:val="830" w:hRule="atLeast"/>
        </w:trPr>
        <w:tc>
          <w:tcPr>
            <w:tcW w:w="5983"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História – DEHIS</w:t>
            </w:r>
          </w:p>
        </w:tc>
        <w:tc>
          <w:tcPr>
            <w:tcW w:w="3210"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5" w:type="dxa"/>
          </w:tblCellMar>
        </w:tblPrEx>
        <w:trPr>
          <w:trHeight w:val="1235" w:hRule="atLeast"/>
        </w:trPr>
        <w:tc>
          <w:tcPr>
            <w:tcW w:w="2868" w:type="dxa"/>
            <w:tcBorders>
              <w:top w:val="single" w:color="000000" w:sz="4" w:space="0"/>
              <w:left w:val="single" w:color="000000" w:sz="18" w:space="0"/>
              <w:bottom w:val="single" w:color="000000" w:sz="6"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462"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6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3115" w:type="dxa"/>
            <w:tcBorders>
              <w:top w:val="single" w:color="000000" w:sz="4" w:space="0"/>
              <w:left w:val="single" w:color="000000" w:sz="4" w:space="0"/>
              <w:bottom w:val="single" w:color="000000" w:sz="6"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3210" w:type="dxa"/>
            <w:tcBorders>
              <w:top w:val="single" w:color="000000" w:sz="4" w:space="0"/>
              <w:left w:val="single" w:color="000000" w:sz="4" w:space="0"/>
              <w:bottom w:val="single" w:color="000000" w:sz="6"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 02 horas/aula</w:t>
            </w:r>
          </w:p>
        </w:tc>
      </w:tr>
      <w:tr>
        <w:tblPrEx>
          <w:tblCellMar>
            <w:top w:w="0" w:type="dxa"/>
            <w:left w:w="22" w:type="dxa"/>
            <w:bottom w:w="0" w:type="dxa"/>
            <w:right w:w="5" w:type="dxa"/>
          </w:tblCellMar>
        </w:tblPrEx>
        <w:trPr>
          <w:trHeight w:val="2896" w:hRule="atLeast"/>
        </w:trPr>
        <w:tc>
          <w:tcPr>
            <w:tcW w:w="9193" w:type="dxa"/>
            <w:gridSpan w:val="3"/>
            <w:tcBorders>
              <w:top w:val="single" w:color="000000" w:sz="6"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8"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História Social do Mundo Contemporâneo no período entre a Revolução Francesa (final do século XVIII) e o advento da Ordem Política Mundial Pós- Socialista (final do século XX); análise dos processos econômicos, sociais, políticos e culturais do Mundo Contemporâneo desde o advento dos Estados Nacionais até o processo de Globalização; estudo da sociedade e historiografia do Mundo Contemporâneo; análise das principais polêmicas e revisões historiográficas sobre as</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periodizações e temas específicos.</w:t>
            </w:r>
          </w:p>
        </w:tc>
      </w:tr>
      <w:tr>
        <w:tblPrEx>
          <w:tblCellMar>
            <w:top w:w="0" w:type="dxa"/>
            <w:left w:w="22" w:type="dxa"/>
            <w:bottom w:w="0" w:type="dxa"/>
            <w:right w:w="5" w:type="dxa"/>
          </w:tblCellMar>
        </w:tblPrEx>
        <w:trPr>
          <w:trHeight w:val="563" w:hRule="atLeast"/>
        </w:trPr>
        <w:tc>
          <w:tcPr>
            <w:tcW w:w="9193"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 A disciplina fará a análise dos principais eventos e processos históricos, econômicos, políticos, sociais e culturais, ocorridos entre a Revolução Francesa e o colapso da experiência socialista soviética.</w:t>
            </w:r>
          </w:p>
          <w:p>
            <w:pPr>
              <w:widowControl w:val="0"/>
              <w:numPr>
                <w:ilvl w:val="0"/>
                <w:numId w:val="14"/>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before="1"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Desenvolvimento econômico e capitalismo.</w:t>
            </w:r>
          </w:p>
          <w:p>
            <w:pPr>
              <w:widowControl w:val="0"/>
              <w:numPr>
                <w:ilvl w:val="0"/>
                <w:numId w:val="14"/>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before="138"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Iluminismo e Revolução Francesa.</w:t>
            </w:r>
          </w:p>
          <w:p>
            <w:pPr>
              <w:widowControl w:val="0"/>
              <w:numPr>
                <w:ilvl w:val="0"/>
                <w:numId w:val="14"/>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before="141"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Estado moderno e estados nacionais.</w:t>
            </w:r>
          </w:p>
          <w:p>
            <w:pPr>
              <w:widowControl w:val="0"/>
              <w:numPr>
                <w:ilvl w:val="0"/>
                <w:numId w:val="14"/>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before="137"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Romantismo e nacionalismos.</w:t>
            </w:r>
          </w:p>
          <w:p>
            <w:pPr>
              <w:widowControl w:val="0"/>
              <w:numPr>
                <w:ilvl w:val="0"/>
                <w:numId w:val="14"/>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before="137"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Formação das classes trabalhadoras.</w:t>
            </w:r>
          </w:p>
          <w:p>
            <w:pPr>
              <w:widowControl w:val="0"/>
              <w:numPr>
                <w:ilvl w:val="0"/>
                <w:numId w:val="14"/>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before="137"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Imperialismo e cultura.</w:t>
            </w:r>
          </w:p>
          <w:p>
            <w:pPr>
              <w:widowControl w:val="0"/>
              <w:numPr>
                <w:ilvl w:val="0"/>
                <w:numId w:val="14"/>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before="142"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Totalitarismos e fascismos.</w:t>
            </w:r>
          </w:p>
          <w:p>
            <w:pPr>
              <w:widowControl w:val="0"/>
              <w:numPr>
                <w:ilvl w:val="0"/>
                <w:numId w:val="14"/>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Revoluções socialistas no Século XX.</w:t>
            </w:r>
          </w:p>
          <w:p>
            <w:pPr>
              <w:widowControl w:val="0"/>
              <w:numPr>
                <w:ilvl w:val="0"/>
                <w:numId w:val="14"/>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Modernidade e pós-modernidade.</w:t>
            </w:r>
          </w:p>
        </w:tc>
      </w:tr>
      <w:tr>
        <w:tblPrEx>
          <w:tblCellMar>
            <w:top w:w="0" w:type="dxa"/>
            <w:left w:w="22" w:type="dxa"/>
            <w:bottom w:w="0" w:type="dxa"/>
            <w:right w:w="5" w:type="dxa"/>
          </w:tblCellMar>
        </w:tblPrEx>
        <w:trPr>
          <w:trHeight w:val="4184" w:hRule="atLeast"/>
        </w:trPr>
        <w:tc>
          <w:tcPr>
            <w:tcW w:w="9193" w:type="dxa"/>
            <w:gridSpan w:val="3"/>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9" w:line="240" w:lineRule="auto"/>
              <w:ind w:left="0" w:hanging="2"/>
              <w:jc w:val="both"/>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ANDERSON, Perry. </w:t>
            </w:r>
            <w:r>
              <w:rPr>
                <w:rFonts w:ascii="Times New Roman" w:hAnsi="Times New Roman" w:eastAsia="Times New Roman" w:cs="Times New Roman"/>
                <w:i/>
                <w:color w:val="000000"/>
              </w:rPr>
              <w:t>As origens da pós-modernidade</w:t>
            </w:r>
            <w:r>
              <w:rPr>
                <w:rFonts w:ascii="Times New Roman" w:hAnsi="Times New Roman" w:eastAsia="Times New Roman" w:cs="Times New Roman"/>
                <w:color w:val="000000"/>
              </w:rPr>
              <w:t>. Rio de Janeiro: Jorge Zahar Ed.</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1999.</w:t>
            </w:r>
          </w:p>
          <w:p>
            <w:pPr>
              <w:widowControl w:val="0"/>
              <w:pBdr>
                <w:top w:val="none" w:color="auto" w:sz="0" w:space="0"/>
                <w:left w:val="none" w:color="auto" w:sz="0" w:space="0"/>
                <w:bottom w:val="none" w:color="auto" w:sz="0" w:space="0"/>
                <w:right w:val="none" w:color="auto" w:sz="0" w:space="0"/>
                <w:between w:val="none" w:color="auto" w:sz="0" w:space="0"/>
              </w:pBdr>
              <w:spacing w:before="3"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right="61"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ARRIGHI. Giovanni. </w:t>
            </w:r>
            <w:r>
              <w:rPr>
                <w:rFonts w:ascii="Times New Roman" w:hAnsi="Times New Roman" w:eastAsia="Times New Roman" w:cs="Times New Roman"/>
                <w:i/>
                <w:color w:val="000000"/>
              </w:rPr>
              <w:t>O longo século XX</w:t>
            </w:r>
            <w:r>
              <w:rPr>
                <w:rFonts w:ascii="Times New Roman" w:hAnsi="Times New Roman" w:eastAsia="Times New Roman" w:cs="Times New Roman"/>
                <w:color w:val="000000"/>
              </w:rPr>
              <w:t>: dinheiro, poder e as origens de nosso tempo. Rio de Janeiro: Contraponto; São Paulo: Editora UNESP, 1996.</w:t>
            </w:r>
          </w:p>
          <w:p>
            <w:pPr>
              <w:widowControl w:val="0"/>
              <w:pBdr>
                <w:top w:val="none" w:color="auto" w:sz="0" w:space="0"/>
                <w:left w:val="none" w:color="auto" w:sz="0" w:space="0"/>
                <w:bottom w:val="none" w:color="auto" w:sz="0" w:space="0"/>
                <w:right w:val="none" w:color="auto" w:sz="0" w:space="0"/>
                <w:between w:val="none" w:color="auto" w:sz="0" w:space="0"/>
              </w:pBdr>
              <w:spacing w:before="11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DAVIS, Mike. </w:t>
            </w:r>
            <w:r>
              <w:rPr>
                <w:rFonts w:ascii="Times New Roman" w:hAnsi="Times New Roman" w:eastAsia="Times New Roman" w:cs="Times New Roman"/>
                <w:i/>
                <w:color w:val="000000"/>
              </w:rPr>
              <w:t>Holocaustos Coloniais</w:t>
            </w:r>
            <w:r>
              <w:rPr>
                <w:rFonts w:ascii="Times New Roman" w:hAnsi="Times New Roman" w:eastAsia="Times New Roman" w:cs="Times New Roman"/>
                <w:color w:val="000000"/>
              </w:rPr>
              <w:t>. Rio de Janeiro: Record, 2002.</w:t>
            </w:r>
          </w:p>
          <w:p>
            <w:pPr>
              <w:widowControl w:val="0"/>
              <w:pBdr>
                <w:top w:val="none" w:color="auto" w:sz="0" w:space="0"/>
                <w:left w:val="none" w:color="auto" w:sz="0" w:space="0"/>
                <w:bottom w:val="none" w:color="auto" w:sz="0" w:space="0"/>
                <w:right w:val="none" w:color="auto" w:sz="0" w:space="0"/>
                <w:between w:val="none" w:color="auto" w:sz="0" w:space="0"/>
              </w:pBdr>
              <w:spacing w:before="4"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EAGLETON, Terry. </w:t>
            </w:r>
            <w:r>
              <w:rPr>
                <w:rFonts w:ascii="Times New Roman" w:hAnsi="Times New Roman" w:eastAsia="Times New Roman" w:cs="Times New Roman"/>
                <w:i/>
                <w:color w:val="000000"/>
              </w:rPr>
              <w:t>As ilusões do Pós-Moderno</w:t>
            </w:r>
            <w:r>
              <w:rPr>
                <w:rFonts w:ascii="Times New Roman" w:hAnsi="Times New Roman" w:eastAsia="Times New Roman" w:cs="Times New Roman"/>
                <w:color w:val="000000"/>
              </w:rPr>
              <w:t>. Rio de Janeiro: Jorge Zahar Ed.1998.</w:t>
            </w:r>
          </w:p>
          <w:p>
            <w:pPr>
              <w:widowControl w:val="0"/>
              <w:pBdr>
                <w:top w:val="none" w:color="auto" w:sz="0" w:space="0"/>
                <w:left w:val="none" w:color="auto" w:sz="0" w:space="0"/>
                <w:bottom w:val="none" w:color="auto" w:sz="0" w:space="0"/>
                <w:right w:val="none" w:color="auto" w:sz="0" w:space="0"/>
                <w:between w:val="none" w:color="auto" w:sz="0" w:space="0"/>
              </w:pBdr>
              <w:spacing w:before="4"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06"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FALCON, Francisco. </w:t>
            </w:r>
            <w:r>
              <w:rPr>
                <w:rFonts w:ascii="Times New Roman" w:hAnsi="Times New Roman" w:eastAsia="Times New Roman" w:cs="Times New Roman"/>
                <w:i/>
                <w:color w:val="000000"/>
              </w:rPr>
              <w:t>A formação do mundo contemporâneo</w:t>
            </w:r>
            <w:r>
              <w:rPr>
                <w:rFonts w:ascii="Times New Roman" w:hAnsi="Times New Roman" w:eastAsia="Times New Roman" w:cs="Times New Roman"/>
                <w:color w:val="000000"/>
              </w:rPr>
              <w:t>. Rio de Janeiro: Campus,1989.</w:t>
            </w:r>
          </w:p>
        </w:tc>
      </w:tr>
      <w:tr>
        <w:tblPrEx>
          <w:tblCellMar>
            <w:top w:w="0" w:type="dxa"/>
            <w:left w:w="22" w:type="dxa"/>
            <w:bottom w:w="0" w:type="dxa"/>
            <w:right w:w="5" w:type="dxa"/>
          </w:tblCellMar>
        </w:tblPrEx>
        <w:trPr>
          <w:trHeight w:val="6759" w:hRule="atLeast"/>
        </w:trPr>
        <w:tc>
          <w:tcPr>
            <w:tcW w:w="9193" w:type="dxa"/>
            <w:gridSpan w:val="3"/>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2"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FURET, François. </w:t>
            </w:r>
            <w:r>
              <w:rPr>
                <w:rFonts w:ascii="Times New Roman" w:hAnsi="Times New Roman" w:eastAsia="Times New Roman" w:cs="Times New Roman"/>
                <w:i/>
                <w:color w:val="000000"/>
              </w:rPr>
              <w:t>A Revolução em debate</w:t>
            </w:r>
            <w:r>
              <w:rPr>
                <w:rFonts w:ascii="Times New Roman" w:hAnsi="Times New Roman" w:eastAsia="Times New Roman" w:cs="Times New Roman"/>
                <w:color w:val="000000"/>
              </w:rPr>
              <w:t>. Bauru: EDUSC, 2001.</w:t>
            </w:r>
          </w:p>
          <w:p>
            <w:pPr>
              <w:widowControl w:val="0"/>
              <w:pBdr>
                <w:top w:val="none" w:color="auto" w:sz="0" w:space="0"/>
                <w:left w:val="none" w:color="auto" w:sz="0" w:space="0"/>
                <w:bottom w:val="none" w:color="auto" w:sz="0" w:space="0"/>
                <w:right w:val="none" w:color="auto" w:sz="0" w:space="0"/>
                <w:between w:val="none" w:color="auto" w:sz="0" w:space="0"/>
              </w:pBdr>
              <w:spacing w:before="4"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GOPAL, Balakrishnan. </w:t>
            </w:r>
            <w:r>
              <w:rPr>
                <w:rFonts w:ascii="Times New Roman" w:hAnsi="Times New Roman" w:eastAsia="Times New Roman" w:cs="Times New Roman"/>
                <w:i/>
                <w:color w:val="000000"/>
              </w:rPr>
              <w:t>Um mapa da questão nacional</w:t>
            </w:r>
            <w:r>
              <w:rPr>
                <w:rFonts w:ascii="Times New Roman" w:hAnsi="Times New Roman" w:eastAsia="Times New Roman" w:cs="Times New Roman"/>
                <w:color w:val="000000"/>
              </w:rPr>
              <w:t>. Rio de Janeiro: Contraponto, 2000.</w:t>
            </w:r>
          </w:p>
          <w:p>
            <w:pPr>
              <w:widowControl w:val="0"/>
              <w:pBdr>
                <w:top w:val="none" w:color="auto" w:sz="0" w:space="0"/>
                <w:left w:val="none" w:color="auto" w:sz="0" w:space="0"/>
                <w:bottom w:val="none" w:color="auto" w:sz="0" w:space="0"/>
                <w:right w:val="none" w:color="auto" w:sz="0" w:space="0"/>
                <w:between w:val="none" w:color="auto" w:sz="0" w:space="0"/>
              </w:pBdr>
              <w:spacing w:before="118" w:line="360" w:lineRule="auto"/>
              <w:ind w:left="0" w:right="84"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HOBSBAWM, Eric. </w:t>
            </w:r>
            <w:r>
              <w:rPr>
                <w:rFonts w:ascii="Times New Roman" w:hAnsi="Times New Roman" w:eastAsia="Times New Roman" w:cs="Times New Roman"/>
                <w:i/>
                <w:color w:val="000000"/>
              </w:rPr>
              <w:t>A era das revoluções</w:t>
            </w:r>
            <w:r>
              <w:rPr>
                <w:rFonts w:ascii="Times New Roman" w:hAnsi="Times New Roman" w:eastAsia="Times New Roman" w:cs="Times New Roman"/>
                <w:color w:val="000000"/>
              </w:rPr>
              <w:t>; Europa, 1789-1848. Rio de Janeiro: Paz e Terra, 1982.</w:t>
            </w:r>
          </w:p>
          <w:p>
            <w:pPr>
              <w:widowControl w:val="0"/>
              <w:pBdr>
                <w:top w:val="none" w:color="auto" w:sz="0" w:space="0"/>
                <w:left w:val="none" w:color="auto" w:sz="0" w:space="0"/>
                <w:bottom w:val="none" w:color="auto" w:sz="0" w:space="0"/>
                <w:right w:val="none" w:color="auto" w:sz="0" w:space="0"/>
                <w:between w:val="none" w:color="auto" w:sz="0" w:space="0"/>
              </w:pBdr>
              <w:spacing w:before="117" w:line="360" w:lineRule="auto"/>
              <w:ind w:left="0" w:right="623"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HOBSBAWM, Eric. </w:t>
            </w:r>
            <w:r>
              <w:rPr>
                <w:rFonts w:ascii="Times New Roman" w:hAnsi="Times New Roman" w:eastAsia="Times New Roman" w:cs="Times New Roman"/>
                <w:i/>
                <w:color w:val="000000"/>
              </w:rPr>
              <w:t>Da revolução industrial inglesa ao imperialismo</w:t>
            </w:r>
            <w:r>
              <w:rPr>
                <w:rFonts w:ascii="Times New Roman" w:hAnsi="Times New Roman" w:eastAsia="Times New Roman" w:cs="Times New Roman"/>
                <w:color w:val="000000"/>
              </w:rPr>
              <w:t>. Rio de Janeiro: Forense Universitária, 1986.</w:t>
            </w:r>
          </w:p>
          <w:p>
            <w:pPr>
              <w:widowControl w:val="0"/>
              <w:pBdr>
                <w:top w:val="none" w:color="auto" w:sz="0" w:space="0"/>
                <w:left w:val="none" w:color="auto" w:sz="0" w:space="0"/>
                <w:bottom w:val="none" w:color="auto" w:sz="0" w:space="0"/>
                <w:right w:val="none" w:color="auto" w:sz="0" w:space="0"/>
                <w:between w:val="none" w:color="auto" w:sz="0" w:space="0"/>
              </w:pBdr>
              <w:spacing w:before="118" w:line="360" w:lineRule="auto"/>
              <w:ind w:left="0" w:right="106"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KURTZ, Robert. </w:t>
            </w:r>
            <w:r>
              <w:rPr>
                <w:rFonts w:ascii="Times New Roman" w:hAnsi="Times New Roman" w:eastAsia="Times New Roman" w:cs="Times New Roman"/>
                <w:i/>
                <w:color w:val="000000"/>
              </w:rPr>
              <w:t>O colapso da modernização</w:t>
            </w:r>
            <w:r>
              <w:rPr>
                <w:rFonts w:ascii="Times New Roman" w:hAnsi="Times New Roman" w:eastAsia="Times New Roman" w:cs="Times New Roman"/>
                <w:color w:val="000000"/>
              </w:rPr>
              <w:t>: da derrocada do socialismo de cazerna à crise da economia mundial. Rio de Janeiro: Paz e Terra, 1992.</w:t>
            </w:r>
          </w:p>
          <w:p>
            <w:pPr>
              <w:widowControl w:val="0"/>
              <w:pBdr>
                <w:top w:val="none" w:color="auto" w:sz="0" w:space="0"/>
                <w:left w:val="none" w:color="auto" w:sz="0" w:space="0"/>
                <w:bottom w:val="none" w:color="auto" w:sz="0" w:space="0"/>
                <w:right w:val="none" w:color="auto" w:sz="0" w:space="0"/>
                <w:between w:val="none" w:color="auto" w:sz="0" w:space="0"/>
              </w:pBdr>
              <w:spacing w:before="123"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LANDES, David S. </w:t>
            </w:r>
            <w:r>
              <w:rPr>
                <w:rFonts w:ascii="Times New Roman" w:hAnsi="Times New Roman" w:eastAsia="Times New Roman" w:cs="Times New Roman"/>
                <w:i/>
                <w:color w:val="000000"/>
              </w:rPr>
              <w:t>Prometeu desacorrentado</w:t>
            </w:r>
            <w:r>
              <w:rPr>
                <w:rFonts w:ascii="Times New Roman" w:hAnsi="Times New Roman" w:eastAsia="Times New Roman" w:cs="Times New Roman"/>
                <w:color w:val="000000"/>
              </w:rPr>
              <w:t>; transformação tecnológica e desenvolvimento industrial na Europa ocidental desde 1750 até nossos dias. Rio de Janeiro: Nova Fronteira, 1994.</w:t>
            </w:r>
          </w:p>
          <w:p>
            <w:pPr>
              <w:widowControl w:val="0"/>
              <w:pBdr>
                <w:top w:val="none" w:color="auto" w:sz="0" w:space="0"/>
                <w:left w:val="none" w:color="auto" w:sz="0" w:space="0"/>
                <w:bottom w:val="none" w:color="auto" w:sz="0" w:space="0"/>
                <w:right w:val="none" w:color="auto" w:sz="0" w:space="0"/>
                <w:between w:val="none" w:color="auto" w:sz="0" w:space="0"/>
              </w:pBdr>
              <w:spacing w:before="117"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MOORE Jr., Barrington. </w:t>
            </w:r>
            <w:r>
              <w:rPr>
                <w:rFonts w:ascii="Times New Roman" w:hAnsi="Times New Roman" w:eastAsia="Times New Roman" w:cs="Times New Roman"/>
                <w:i/>
                <w:color w:val="000000"/>
              </w:rPr>
              <w:t>Aspectos morais do crescimento econômico e outros ensaios</w:t>
            </w:r>
            <w:r>
              <w:rPr>
                <w:rFonts w:ascii="Times New Roman" w:hAnsi="Times New Roman" w:eastAsia="Times New Roman" w:cs="Times New Roman"/>
                <w:color w:val="000000"/>
              </w:rPr>
              <w:t>. Rio de Janeiro: Record, 1999.</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487"/>
        <w:tblW w:w="9133" w:type="dxa"/>
        <w:tblInd w:w="2" w:type="dxa"/>
        <w:tblLayout w:type="fixed"/>
        <w:tblCellMar>
          <w:top w:w="0" w:type="dxa"/>
          <w:left w:w="22" w:type="dxa"/>
          <w:bottom w:w="0" w:type="dxa"/>
          <w:right w:w="5" w:type="dxa"/>
        </w:tblCellMar>
      </w:tblPr>
      <w:tblGrid>
        <w:gridCol w:w="2900"/>
        <w:gridCol w:w="3449"/>
        <w:gridCol w:w="2690"/>
        <w:gridCol w:w="47"/>
        <w:gridCol w:w="47"/>
      </w:tblGrid>
      <w:tr>
        <w:tblPrEx>
          <w:tblCellMar>
            <w:top w:w="0" w:type="dxa"/>
            <w:left w:w="22" w:type="dxa"/>
            <w:bottom w:w="0" w:type="dxa"/>
            <w:right w:w="5" w:type="dxa"/>
          </w:tblCellMar>
        </w:tblPrEx>
        <w:trPr>
          <w:trHeight w:val="2073" w:hRule="atLeast"/>
        </w:trPr>
        <w:tc>
          <w:tcPr>
            <w:tcW w:w="6349"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4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História do Brasil II</w:t>
            </w:r>
          </w:p>
          <w:p>
            <w:pPr>
              <w:widowControl w:val="0"/>
              <w:pBdr>
                <w:top w:val="none" w:color="auto" w:sz="0" w:space="0"/>
                <w:left w:val="none" w:color="auto" w:sz="0" w:space="0"/>
                <w:bottom w:val="none" w:color="auto" w:sz="0" w:space="0"/>
                <w:right w:val="none" w:color="auto" w:sz="0" w:space="0"/>
                <w:between w:val="none" w:color="auto" w:sz="0" w:space="0"/>
              </w:pBdr>
              <w:spacing w:before="2" w:line="240" w:lineRule="auto"/>
              <w:ind w:left="0" w:hanging="2"/>
              <w:jc w:val="center"/>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347"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History of Brazil II</w:t>
            </w:r>
          </w:p>
        </w:tc>
        <w:tc>
          <w:tcPr>
            <w:tcW w:w="2737" w:type="dxa"/>
            <w:gridSpan w:val="2"/>
            <w:tcBorders>
              <w:top w:val="single" w:color="000000" w:sz="18"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HIS067</w:t>
            </w:r>
          </w:p>
        </w:tc>
        <w:tc>
          <w:tcPr>
            <w:tcW w:w="47" w:type="dxa"/>
            <w:tcBorders>
              <w:left w:val="single" w:color="000000" w:sz="18" w:space="0"/>
            </w:tcBorders>
          </w:tcPr>
          <w:p>
            <w:pPr>
              <w:ind w:left="0" w:hanging="2"/>
              <w:rPr>
                <w:rFonts w:ascii="Times New Roman" w:hAnsi="Times New Roman" w:cs="Times New Roman"/>
              </w:rPr>
            </w:pPr>
          </w:p>
        </w:tc>
      </w:tr>
      <w:tr>
        <w:tblPrEx>
          <w:tblCellMar>
            <w:top w:w="0" w:type="dxa"/>
            <w:left w:w="22" w:type="dxa"/>
            <w:bottom w:w="0" w:type="dxa"/>
            <w:right w:w="5" w:type="dxa"/>
          </w:tblCellMar>
        </w:tblPrEx>
        <w:trPr>
          <w:trHeight w:val="825" w:hRule="atLeast"/>
        </w:trPr>
        <w:tc>
          <w:tcPr>
            <w:tcW w:w="6349"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 História</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DEHIS</w:t>
            </w:r>
          </w:p>
        </w:tc>
        <w:tc>
          <w:tcPr>
            <w:tcW w:w="2737" w:type="dxa"/>
            <w:gridSpan w:val="2"/>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c>
          <w:tcPr>
            <w:tcW w:w="47" w:type="dxa"/>
            <w:tcBorders>
              <w:left w:val="single" w:color="000000" w:sz="18" w:space="0"/>
            </w:tcBorders>
          </w:tcPr>
          <w:p>
            <w:pPr>
              <w:ind w:left="0" w:hanging="2"/>
              <w:rPr>
                <w:rFonts w:ascii="Times New Roman" w:hAnsi="Times New Roman" w:cs="Times New Roman"/>
              </w:rPr>
            </w:pPr>
          </w:p>
        </w:tc>
      </w:tr>
      <w:tr>
        <w:tblPrEx>
          <w:tblCellMar>
            <w:top w:w="0" w:type="dxa"/>
            <w:left w:w="22" w:type="dxa"/>
            <w:bottom w:w="0" w:type="dxa"/>
            <w:right w:w="5" w:type="dxa"/>
          </w:tblCellMar>
        </w:tblPrEx>
        <w:trPr>
          <w:trHeight w:val="1243" w:hRule="atLeast"/>
        </w:trPr>
        <w:tc>
          <w:tcPr>
            <w:tcW w:w="2900"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502"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right="717"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semestral 90 horas</w:t>
            </w:r>
          </w:p>
        </w:tc>
        <w:tc>
          <w:tcPr>
            <w:tcW w:w="3449"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2737" w:type="dxa"/>
            <w:gridSpan w:val="2"/>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 02 horas/aula</w:t>
            </w:r>
          </w:p>
        </w:tc>
        <w:tc>
          <w:tcPr>
            <w:tcW w:w="47" w:type="dxa"/>
            <w:tcBorders>
              <w:left w:val="single" w:color="000000" w:sz="18" w:space="0"/>
            </w:tcBorders>
          </w:tcPr>
          <w:p>
            <w:pPr>
              <w:ind w:left="0" w:hanging="2"/>
              <w:rPr>
                <w:rFonts w:ascii="Times New Roman" w:hAnsi="Times New Roman" w:cs="Times New Roman"/>
              </w:rPr>
            </w:pPr>
          </w:p>
        </w:tc>
      </w:tr>
      <w:tr>
        <w:tblPrEx>
          <w:tblCellMar>
            <w:top w:w="0" w:type="dxa"/>
            <w:left w:w="22" w:type="dxa"/>
            <w:bottom w:w="0" w:type="dxa"/>
            <w:right w:w="5" w:type="dxa"/>
          </w:tblCellMar>
        </w:tblPrEx>
        <w:trPr>
          <w:trHeight w:val="1243" w:hRule="atLeast"/>
        </w:trPr>
        <w:tc>
          <w:tcPr>
            <w:tcW w:w="9086" w:type="dxa"/>
            <w:gridSpan w:val="4"/>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Ementa: As sedições, rupturas e continuidades na crise do Império Português na América. O processo de independência política. A construção do Estado e da Naçãono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Brasil. A sociedade escravista imperial. A crise da monarquia.</w:t>
            </w:r>
          </w:p>
        </w:tc>
        <w:tc>
          <w:tcPr>
            <w:tcW w:w="47" w:type="dxa"/>
            <w:tcBorders>
              <w:left w:val="single" w:color="000000" w:sz="18" w:space="0"/>
            </w:tcBorders>
          </w:tcPr>
          <w:p>
            <w:pPr>
              <w:ind w:left="0" w:hanging="2"/>
              <w:rPr>
                <w:rFonts w:ascii="Times New Roman" w:hAnsi="Times New Roman" w:cs="Times New Roman"/>
              </w:rPr>
            </w:pPr>
          </w:p>
        </w:tc>
      </w:tr>
      <w:tr>
        <w:tblPrEx>
          <w:tblCellMar>
            <w:top w:w="0" w:type="dxa"/>
            <w:left w:w="22" w:type="dxa"/>
            <w:bottom w:w="0" w:type="dxa"/>
            <w:right w:w="5" w:type="dxa"/>
          </w:tblCellMar>
        </w:tblPrEx>
        <w:trPr>
          <w:trHeight w:val="3927" w:hRule="atLeast"/>
        </w:trPr>
        <w:tc>
          <w:tcPr>
            <w:tcW w:w="9086" w:type="dxa"/>
            <w:gridSpan w:val="4"/>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before="9"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94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A crise do </w:t>
            </w:r>
            <w:r>
              <w:rPr>
                <w:rFonts w:ascii="Times New Roman" w:hAnsi="Times New Roman" w:eastAsia="Times New Roman" w:cs="Times New Roman"/>
                <w:i/>
                <w:color w:val="000000"/>
              </w:rPr>
              <w:t xml:space="preserve">Império português </w:t>
            </w:r>
            <w:r>
              <w:rPr>
                <w:rFonts w:ascii="Times New Roman" w:hAnsi="Times New Roman" w:eastAsia="Times New Roman" w:cs="Times New Roman"/>
                <w:color w:val="000000"/>
              </w:rPr>
              <w:t>na América: sedições, rupturas e continuidades. O processo de Emancipação política do Brasil.</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4019" w:hanging="2"/>
              <w:rPr>
                <w:rFonts w:ascii="Times New Roman" w:hAnsi="Times New Roman" w:eastAsia="Times New Roman" w:cs="Times New Roman"/>
                <w:color w:val="000000"/>
              </w:rPr>
            </w:pPr>
            <w:r>
              <w:rPr>
                <w:rFonts w:ascii="Times New Roman" w:hAnsi="Times New Roman" w:eastAsia="Times New Roman" w:cs="Times New Roman"/>
                <w:color w:val="000000"/>
              </w:rPr>
              <w:t>A Formação do Estado e da Nação no Brasil. A sociedade do Brasil imperial.</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Do privilégio ao direito: o fim do tráfico internacional de escravos e a crise do sistema escravista.</w:t>
            </w:r>
          </w:p>
          <w:p>
            <w:pPr>
              <w:widowControl w:val="0"/>
              <w:pBdr>
                <w:top w:val="none" w:color="auto" w:sz="0" w:space="0"/>
                <w:left w:val="none" w:color="auto" w:sz="0" w:space="0"/>
                <w:bottom w:val="none" w:color="auto" w:sz="0" w:space="0"/>
                <w:right w:val="none" w:color="auto" w:sz="0" w:space="0"/>
                <w:between w:val="none" w:color="auto" w:sz="0" w:space="0"/>
              </w:pBdr>
              <w:spacing w:before="184"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 queda da monarquia.</w:t>
            </w:r>
          </w:p>
        </w:tc>
        <w:tc>
          <w:tcPr>
            <w:tcW w:w="47" w:type="dxa"/>
            <w:tcBorders>
              <w:left w:val="single" w:color="000000" w:sz="18" w:space="0"/>
            </w:tcBorders>
          </w:tcPr>
          <w:p>
            <w:pPr>
              <w:ind w:left="0" w:hanging="2"/>
              <w:rPr>
                <w:rFonts w:ascii="Times New Roman" w:hAnsi="Times New Roman" w:cs="Times New Roman"/>
              </w:rPr>
            </w:pPr>
          </w:p>
        </w:tc>
      </w:tr>
      <w:tr>
        <w:tblPrEx>
          <w:tblCellMar>
            <w:top w:w="0" w:type="dxa"/>
            <w:left w:w="22" w:type="dxa"/>
            <w:bottom w:w="0" w:type="dxa"/>
            <w:right w:w="5" w:type="dxa"/>
          </w:tblCellMar>
        </w:tblPrEx>
        <w:trPr>
          <w:trHeight w:val="1656" w:hRule="atLeast"/>
        </w:trPr>
        <w:tc>
          <w:tcPr>
            <w:tcW w:w="9086" w:type="dxa"/>
            <w:gridSpan w:val="4"/>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CARVALHO, José Murilo de. </w:t>
            </w:r>
            <w:r>
              <w:rPr>
                <w:rFonts w:ascii="Times New Roman" w:hAnsi="Times New Roman" w:eastAsia="Times New Roman" w:cs="Times New Roman"/>
                <w:i/>
                <w:color w:val="000000"/>
              </w:rPr>
              <w:t xml:space="preserve">Teatro de sombras: </w:t>
            </w:r>
            <w:r>
              <w:rPr>
                <w:rFonts w:ascii="Times New Roman" w:hAnsi="Times New Roman" w:eastAsia="Times New Roman" w:cs="Times New Roman"/>
                <w:color w:val="000000"/>
              </w:rPr>
              <w:t>a política imperial. Rio de Janeiro: Vértice, 1988.</w:t>
            </w:r>
          </w:p>
        </w:tc>
        <w:tc>
          <w:tcPr>
            <w:tcW w:w="47" w:type="dxa"/>
            <w:tcBorders>
              <w:left w:val="single" w:color="000000" w:sz="18" w:space="0"/>
            </w:tcBorders>
          </w:tcPr>
          <w:p>
            <w:pPr>
              <w:ind w:left="0" w:hanging="2"/>
              <w:rPr>
                <w:rFonts w:ascii="Times New Roman" w:hAnsi="Times New Roman" w:cs="Times New Roman"/>
              </w:rPr>
            </w:pPr>
          </w:p>
        </w:tc>
      </w:tr>
      <w:tr>
        <w:tblPrEx>
          <w:tblCellMar>
            <w:top w:w="0" w:type="dxa"/>
            <w:left w:w="22" w:type="dxa"/>
            <w:bottom w:w="0" w:type="dxa"/>
            <w:right w:w="5" w:type="dxa"/>
          </w:tblCellMar>
        </w:tblPrEx>
        <w:trPr>
          <w:trHeight w:val="2070" w:hRule="atLeast"/>
        </w:trPr>
        <w:tc>
          <w:tcPr>
            <w:tcW w:w="9039" w:type="dxa"/>
            <w:gridSpan w:val="3"/>
            <w:tcBorders>
              <w:top w:val="single" w:color="000000" w:sz="18" w:space="0"/>
              <w:left w:val="single" w:color="000000" w:sz="18" w:space="0"/>
              <w:bottom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tabs>
                <w:tab w:val="left" w:pos="1006"/>
              </w:tabs>
              <w:spacing w:line="360" w:lineRule="auto"/>
              <w:ind w:left="0" w:right="58" w:hanging="2"/>
              <w:rPr>
                <w:rFonts w:ascii="Times New Roman" w:hAnsi="Times New Roman" w:eastAsia="Times New Roman" w:cs="Times New Roman"/>
                <w:color w:val="000000"/>
              </w:rPr>
            </w:pPr>
            <w:r>
              <w:rPr>
                <w:rFonts w:ascii="Times New Roman" w:hAnsi="Times New Roman" w:eastAsia="Times New Roman" w:cs="Times New Roman"/>
                <w:color w:val="000000"/>
                <w:u w:val="single"/>
              </w:rPr>
              <w:tab/>
            </w:r>
            <w:r>
              <w:rPr>
                <w:rFonts w:ascii="Times New Roman" w:hAnsi="Times New Roman" w:eastAsia="Times New Roman" w:cs="Times New Roman"/>
                <w:color w:val="000000"/>
              </w:rPr>
              <w:t xml:space="preserve">NEVES, Lúcia Maria Bastos Pereira das (organizadores). </w:t>
            </w:r>
            <w:r>
              <w:rPr>
                <w:rFonts w:ascii="Times New Roman" w:hAnsi="Times New Roman" w:eastAsia="Times New Roman" w:cs="Times New Roman"/>
                <w:i/>
                <w:color w:val="000000"/>
              </w:rPr>
              <w:t>Repensando o Brasil do oitocentos</w:t>
            </w:r>
            <w:r>
              <w:rPr>
                <w:rFonts w:ascii="Times New Roman" w:hAnsi="Times New Roman" w:eastAsia="Times New Roman" w:cs="Times New Roman"/>
                <w:color w:val="000000"/>
              </w:rPr>
              <w:t>: cidadania, política e liberdade. Rio de Janeiro: Civilização Brasileira,2009.</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2"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DIAS, Maria Odila Leite da Silva. A interiorização da Metrópole (1808-1853). In: MOTA, Carlos Guilherme. </w:t>
            </w:r>
            <w:r>
              <w:rPr>
                <w:rFonts w:ascii="Times New Roman" w:hAnsi="Times New Roman" w:eastAsia="Times New Roman" w:cs="Times New Roman"/>
                <w:i/>
                <w:color w:val="000000"/>
              </w:rPr>
              <w:t>1822: Dimensões</w:t>
            </w:r>
            <w:r>
              <w:rPr>
                <w:rFonts w:ascii="Times New Roman" w:hAnsi="Times New Roman" w:eastAsia="Times New Roman" w:cs="Times New Roman"/>
                <w:color w:val="000000"/>
              </w:rPr>
              <w:t xml:space="preserve">. São Paulo: Perspectiva, 1986, p.160-184. GONÇALVES, Andréa Lisly. </w:t>
            </w:r>
            <w:r>
              <w:rPr>
                <w:rFonts w:ascii="Times New Roman" w:hAnsi="Times New Roman" w:eastAsia="Times New Roman" w:cs="Times New Roman"/>
                <w:i/>
                <w:color w:val="000000"/>
              </w:rPr>
              <w:t>Estratificação social e mobilizações políticas no processo de formação do Estado Nacional brasileiro</w:t>
            </w:r>
            <w:r>
              <w:rPr>
                <w:rFonts w:ascii="Times New Roman" w:hAnsi="Times New Roman" w:eastAsia="Times New Roman" w:cs="Times New Roman"/>
                <w:color w:val="000000"/>
              </w:rPr>
              <w:t>: Minas Gerais, 1831-1835. São Paulo: Hucitec; Minas Gerais: FAPEMIG, 2008.</w:t>
            </w:r>
          </w:p>
          <w:p>
            <w:pPr>
              <w:widowControl w:val="0"/>
              <w:pBdr>
                <w:top w:val="none" w:color="auto" w:sz="0" w:space="0"/>
                <w:left w:val="none" w:color="auto" w:sz="0" w:space="0"/>
                <w:bottom w:val="none" w:color="auto" w:sz="0" w:space="0"/>
                <w:right w:val="none" w:color="auto" w:sz="0" w:space="0"/>
                <w:between w:val="none" w:color="auto" w:sz="0" w:space="0"/>
              </w:pBdr>
              <w:tabs>
                <w:tab w:val="left" w:pos="951"/>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u w:val="single"/>
              </w:rPr>
              <w:tab/>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As margens da liberdade</w:t>
            </w:r>
            <w:r>
              <w:rPr>
                <w:rFonts w:ascii="Times New Roman" w:hAnsi="Times New Roman" w:eastAsia="Times New Roman" w:cs="Times New Roman"/>
                <w:color w:val="000000"/>
              </w:rPr>
              <w:t>. Estudo sobre a prática de alforrias em Minas</w:t>
            </w:r>
          </w:p>
          <w:p>
            <w:pPr>
              <w:widowControl w:val="0"/>
              <w:pBdr>
                <w:top w:val="none" w:color="auto" w:sz="0" w:space="0"/>
                <w:left w:val="none" w:color="auto" w:sz="0" w:space="0"/>
                <w:bottom w:val="none" w:color="auto" w:sz="0" w:space="0"/>
                <w:right w:val="none" w:color="auto" w:sz="0" w:space="0"/>
                <w:between w:val="none" w:color="auto" w:sz="0" w:space="0"/>
              </w:pBdr>
              <w:spacing w:before="130"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colonial e provincial. Belo Horiozonte: Fino Traço: FAPEMIG, 2011</w:t>
            </w:r>
          </w:p>
          <w:p>
            <w:pPr>
              <w:widowControl w:val="0"/>
              <w:pBdr>
                <w:top w:val="none" w:color="auto" w:sz="0" w:space="0"/>
                <w:left w:val="none" w:color="auto" w:sz="0" w:space="0"/>
                <w:bottom w:val="none" w:color="auto" w:sz="0" w:space="0"/>
                <w:right w:val="none" w:color="auto" w:sz="0" w:space="0"/>
                <w:between w:val="none" w:color="auto" w:sz="0" w:space="0"/>
              </w:pBdr>
              <w:spacing w:before="130" w:line="240" w:lineRule="auto"/>
              <w:ind w:left="0" w:hanging="2"/>
              <w:rPr>
                <w:rFonts w:ascii="Times New Roman" w:hAnsi="Times New Roman" w:eastAsia="Times New Roman" w:cs="Times New Roman"/>
                <w:color w:val="000000"/>
              </w:rPr>
            </w:pPr>
          </w:p>
        </w:tc>
        <w:tc>
          <w:tcPr>
            <w:tcW w:w="47" w:type="dxa"/>
            <w:tcBorders>
              <w:left w:val="single" w:color="000000" w:sz="18" w:space="0"/>
            </w:tcBorders>
          </w:tcPr>
          <w:p>
            <w:pPr>
              <w:ind w:left="0" w:hanging="2"/>
              <w:rPr>
                <w:rFonts w:ascii="Times New Roman" w:hAnsi="Times New Roman" w:cs="Times New Roman"/>
              </w:rPr>
            </w:pPr>
          </w:p>
        </w:tc>
        <w:tc>
          <w:tcPr>
            <w:tcW w:w="47" w:type="dxa"/>
          </w:tcPr>
          <w:p>
            <w:pPr>
              <w:ind w:left="0" w:hanging="2"/>
              <w:rPr>
                <w:rFonts w:ascii="Times New Roman" w:hAnsi="Times New Roman" w:cs="Times New Roman"/>
              </w:rPr>
            </w:pPr>
          </w:p>
        </w:tc>
      </w:tr>
      <w:tr>
        <w:tblPrEx>
          <w:tblCellMar>
            <w:top w:w="0" w:type="dxa"/>
            <w:left w:w="22" w:type="dxa"/>
            <w:bottom w:w="0" w:type="dxa"/>
            <w:right w:w="5" w:type="dxa"/>
          </w:tblCellMar>
        </w:tblPrEx>
        <w:trPr>
          <w:trHeight w:val="2070" w:hRule="atLeast"/>
        </w:trPr>
        <w:tc>
          <w:tcPr>
            <w:tcW w:w="9039" w:type="dxa"/>
            <w:gridSpan w:val="3"/>
            <w:tcBorders>
              <w:top w:val="single" w:color="000000" w:sz="18" w:space="0"/>
              <w:left w:val="single" w:color="000000" w:sz="18" w:space="0"/>
              <w:bottom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2"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JANCSÓ, Istvan (organizador). </w:t>
            </w:r>
            <w:r>
              <w:rPr>
                <w:rFonts w:ascii="Times New Roman" w:hAnsi="Times New Roman" w:eastAsia="Times New Roman" w:cs="Times New Roman"/>
                <w:i/>
                <w:color w:val="000000"/>
              </w:rPr>
              <w:t>Brasil</w:t>
            </w:r>
            <w:r>
              <w:rPr>
                <w:rFonts w:ascii="Times New Roman" w:hAnsi="Times New Roman" w:eastAsia="Times New Roman" w:cs="Times New Roman"/>
                <w:color w:val="000000"/>
              </w:rPr>
              <w:t>: Formação do Estado e da Nação. São Paulo: Hucitec/Unijuí/Fapesp.</w:t>
            </w:r>
          </w:p>
          <w:p>
            <w:pPr>
              <w:widowControl w:val="0"/>
              <w:pBdr>
                <w:top w:val="none" w:color="auto" w:sz="0" w:space="0"/>
                <w:left w:val="none" w:color="auto" w:sz="0" w:space="0"/>
                <w:bottom w:val="none" w:color="auto" w:sz="0" w:space="0"/>
                <w:right w:val="none" w:color="auto" w:sz="0" w:space="0"/>
                <w:between w:val="none" w:color="auto" w:sz="0" w:space="0"/>
              </w:pBdr>
              <w:tabs>
                <w:tab w:val="left" w:pos="711"/>
              </w:tabs>
              <w:spacing w:line="360" w:lineRule="auto"/>
              <w:ind w:left="0" w:right="64" w:hanging="2"/>
              <w:rPr>
                <w:rFonts w:ascii="Times New Roman" w:hAnsi="Times New Roman" w:eastAsia="Times New Roman" w:cs="Times New Roman"/>
                <w:color w:val="000000"/>
              </w:rPr>
            </w:pPr>
            <w:r>
              <w:rPr>
                <w:rFonts w:ascii="Times New Roman" w:hAnsi="Times New Roman" w:eastAsia="Times New Roman" w:cs="Times New Roman"/>
                <w:color w:val="000000"/>
                <w:u w:val="single"/>
              </w:rPr>
              <w:tab/>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Indepedência: história e historiografia</w:t>
            </w:r>
            <w:r>
              <w:rPr>
                <w:rFonts w:ascii="Times New Roman" w:hAnsi="Times New Roman" w:eastAsia="Times New Roman" w:cs="Times New Roman"/>
                <w:color w:val="000000"/>
              </w:rPr>
              <w:t xml:space="preserve">. São Paulo: FAPESP, HUCITEC, 2005. MAMIGONIAN, Beatriz Gallotti. Revisitando a “transição para o trabalho livre”: a experiência dos africanos livres. In: FLORENTINO, Manolo (org.). </w:t>
            </w:r>
            <w:r>
              <w:rPr>
                <w:rFonts w:ascii="Times New Roman" w:hAnsi="Times New Roman" w:eastAsia="Times New Roman" w:cs="Times New Roman"/>
                <w:i/>
                <w:color w:val="000000"/>
              </w:rPr>
              <w:t xml:space="preserve">Tráfico, cativeiro e liberdade: Rio de Janeiro, séculos XVII-XIX. </w:t>
            </w:r>
            <w:r>
              <w:rPr>
                <w:rFonts w:ascii="Times New Roman" w:hAnsi="Times New Roman" w:eastAsia="Times New Roman" w:cs="Times New Roman"/>
                <w:color w:val="000000"/>
              </w:rPr>
              <w:t>Rio de Janeiro: Civilização Brasileira, 2005,p.389-417.</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4"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MARQUESE, Rafael Bivar; BERBEL, Márcia Regina. A ausência da raça: escravidão, cidadania e ideologia pró-escravista nas Cortes de Lisboa e na Assembléia Constituinte do Rio de Janeiro (1821-1824). In: CHAVES, Cláudia Maria das Graças e SILVEIRA, Marco Antônio (orgs.). </w:t>
            </w:r>
            <w:r>
              <w:rPr>
                <w:rFonts w:ascii="Times New Roman" w:hAnsi="Times New Roman" w:eastAsia="Times New Roman" w:cs="Times New Roman"/>
                <w:i/>
                <w:color w:val="000000"/>
              </w:rPr>
              <w:t>Território conflito e identidade</w:t>
            </w:r>
            <w:r>
              <w:rPr>
                <w:rFonts w:ascii="Times New Roman" w:hAnsi="Times New Roman" w:eastAsia="Times New Roman" w:cs="Times New Roman"/>
                <w:color w:val="000000"/>
              </w:rPr>
              <w:t>. Belo Horizonte: Argvmetvm, 2007, p.63-88.</w:t>
            </w:r>
          </w:p>
          <w:p>
            <w:pPr>
              <w:widowControl w:val="0"/>
              <w:pBdr>
                <w:top w:val="none" w:color="auto" w:sz="0" w:space="0"/>
                <w:left w:val="none" w:color="auto" w:sz="0" w:space="0"/>
                <w:bottom w:val="none" w:color="auto" w:sz="0" w:space="0"/>
                <w:right w:val="none" w:color="auto" w:sz="0" w:space="0"/>
                <w:between w:val="none" w:color="auto" w:sz="0" w:space="0"/>
              </w:pBdr>
              <w:spacing w:before="2"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MOREL, Marco. </w:t>
            </w:r>
            <w:r>
              <w:rPr>
                <w:rFonts w:ascii="Times New Roman" w:hAnsi="Times New Roman" w:eastAsia="Times New Roman" w:cs="Times New Roman"/>
                <w:i/>
                <w:color w:val="000000"/>
              </w:rPr>
              <w:t xml:space="preserve">O período das Regências </w:t>
            </w:r>
            <w:r>
              <w:rPr>
                <w:rFonts w:ascii="Times New Roman" w:hAnsi="Times New Roman" w:eastAsia="Times New Roman" w:cs="Times New Roman"/>
                <w:color w:val="000000"/>
              </w:rPr>
              <w:t xml:space="preserve">(1831-1840). Rio de Janeiro: Zahar, 2003. NOVAIS, Fernando A. </w:t>
            </w:r>
            <w:r>
              <w:rPr>
                <w:rFonts w:ascii="Times New Roman" w:hAnsi="Times New Roman" w:eastAsia="Times New Roman" w:cs="Times New Roman"/>
                <w:i/>
                <w:color w:val="000000"/>
              </w:rPr>
              <w:t xml:space="preserve">Portugal e Brasil na crise do Antigo Sistema Colonial </w:t>
            </w:r>
            <w:r>
              <w:rPr>
                <w:rFonts w:ascii="Times New Roman" w:hAnsi="Times New Roman" w:eastAsia="Times New Roman" w:cs="Times New Roman"/>
                <w:color w:val="000000"/>
              </w:rPr>
              <w:t>(1777- 1808). São Paulo: HUCITEC, 1983.</w:t>
            </w:r>
          </w:p>
          <w:p>
            <w:pPr>
              <w:widowControl w:val="0"/>
              <w:pBdr>
                <w:top w:val="none" w:color="auto" w:sz="0" w:space="0"/>
                <w:left w:val="none" w:color="auto" w:sz="0" w:space="0"/>
                <w:bottom w:val="none" w:color="auto" w:sz="0" w:space="0"/>
                <w:right w:val="none" w:color="auto" w:sz="0" w:space="0"/>
                <w:between w:val="none" w:color="auto" w:sz="0" w:space="0"/>
              </w:pBdr>
              <w:tabs>
                <w:tab w:val="left" w:pos="1006"/>
              </w:tabs>
              <w:spacing w:line="360" w:lineRule="auto"/>
              <w:ind w:left="0" w:right="58"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NOVAIS, Fernando A. (coordenador geral) &amp; ALENCASTRO, Luiz Felipe de (organizador do volume). </w:t>
            </w:r>
            <w:r>
              <w:rPr>
                <w:rFonts w:ascii="Times New Roman" w:hAnsi="Times New Roman" w:eastAsia="Times New Roman" w:cs="Times New Roman"/>
                <w:i/>
                <w:color w:val="000000"/>
              </w:rPr>
              <w:t xml:space="preserve">História da vida privada no Brasil: </w:t>
            </w:r>
            <w:r>
              <w:rPr>
                <w:rFonts w:ascii="Times New Roman" w:hAnsi="Times New Roman" w:eastAsia="Times New Roman" w:cs="Times New Roman"/>
                <w:color w:val="000000"/>
              </w:rPr>
              <w:t>Império: a corte e a modernidade nacional. São Paulo: Companhia das Letras, 1997.</w:t>
            </w:r>
          </w:p>
        </w:tc>
        <w:tc>
          <w:tcPr>
            <w:tcW w:w="47" w:type="dxa"/>
            <w:tcBorders>
              <w:left w:val="single" w:color="000000" w:sz="18" w:space="0"/>
            </w:tcBorders>
          </w:tcPr>
          <w:p>
            <w:pPr>
              <w:ind w:left="0" w:hanging="2"/>
              <w:rPr>
                <w:rFonts w:ascii="Times New Roman" w:hAnsi="Times New Roman" w:cs="Times New Roman"/>
              </w:rPr>
            </w:pPr>
          </w:p>
        </w:tc>
        <w:tc>
          <w:tcPr>
            <w:tcW w:w="47" w:type="dxa"/>
          </w:tcPr>
          <w:p>
            <w:pPr>
              <w:ind w:left="0" w:hanging="2"/>
              <w:rPr>
                <w:rFonts w:ascii="Times New Roman" w:hAnsi="Times New Roman" w:cs="Times New Roman"/>
              </w:rPr>
            </w:pPr>
          </w:p>
        </w:tc>
      </w:tr>
    </w:tbl>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tbl>
      <w:tblPr>
        <w:tblStyle w:val="488"/>
        <w:tblW w:w="9161" w:type="dxa"/>
        <w:tblInd w:w="2" w:type="dxa"/>
        <w:tblLayout w:type="fixed"/>
        <w:tblCellMar>
          <w:top w:w="0" w:type="dxa"/>
          <w:left w:w="22" w:type="dxa"/>
          <w:bottom w:w="0" w:type="dxa"/>
          <w:right w:w="22" w:type="dxa"/>
        </w:tblCellMar>
      </w:tblPr>
      <w:tblGrid>
        <w:gridCol w:w="2901"/>
        <w:gridCol w:w="3119"/>
        <w:gridCol w:w="284"/>
        <w:gridCol w:w="2857"/>
      </w:tblGrid>
      <w:tr>
        <w:tblPrEx>
          <w:tblCellMar>
            <w:top w:w="0" w:type="dxa"/>
            <w:left w:w="22" w:type="dxa"/>
            <w:bottom w:w="0" w:type="dxa"/>
            <w:right w:w="22" w:type="dxa"/>
          </w:tblCellMar>
        </w:tblPrEx>
        <w:trPr>
          <w:trHeight w:val="2072" w:hRule="atLeast"/>
        </w:trPr>
        <w:tc>
          <w:tcPr>
            <w:tcW w:w="6305" w:type="dxa"/>
            <w:gridSpan w:val="3"/>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4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História da América I</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14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History of America I</w:t>
            </w:r>
          </w:p>
        </w:tc>
        <w:tc>
          <w:tcPr>
            <w:tcW w:w="2857"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HIS068</w:t>
            </w:r>
          </w:p>
        </w:tc>
      </w:tr>
      <w:tr>
        <w:tblPrEx>
          <w:tblCellMar>
            <w:top w:w="0" w:type="dxa"/>
            <w:left w:w="22" w:type="dxa"/>
            <w:bottom w:w="0" w:type="dxa"/>
            <w:right w:w="22" w:type="dxa"/>
          </w:tblCellMar>
        </w:tblPrEx>
        <w:trPr>
          <w:trHeight w:val="830" w:hRule="atLeast"/>
        </w:trPr>
        <w:tc>
          <w:tcPr>
            <w:tcW w:w="6305" w:type="dxa"/>
            <w:gridSpan w:val="3"/>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 História</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DEHIS</w:t>
            </w:r>
          </w:p>
        </w:tc>
        <w:tc>
          <w:tcPr>
            <w:tcW w:w="2857"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35" w:hRule="atLeast"/>
        </w:trPr>
        <w:tc>
          <w:tcPr>
            <w:tcW w:w="2902"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0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96"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3119"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3141" w:type="dxa"/>
            <w:gridSpan w:val="2"/>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 02 horas/aula</w:t>
            </w:r>
          </w:p>
        </w:tc>
      </w:tr>
      <w:tr>
        <w:tblPrEx>
          <w:tblCellMar>
            <w:top w:w="0" w:type="dxa"/>
            <w:left w:w="22" w:type="dxa"/>
            <w:bottom w:w="0" w:type="dxa"/>
            <w:right w:w="22" w:type="dxa"/>
          </w:tblCellMar>
        </w:tblPrEx>
        <w:trPr>
          <w:trHeight w:val="2208" w:hRule="atLeast"/>
        </w:trPr>
        <w:tc>
          <w:tcPr>
            <w:tcW w:w="9162" w:type="dxa"/>
            <w:gridSpan w:val="4"/>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O curso tem como eixos centrais, para a formação das Américas espanhola e inglesa: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 a reflexão sobre a convivência e construção dos discursos sobre a alteridade indígena;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 a criação de um espaço de convivências, negociações e resistências, bem como o mapeamento da historiografia sobre o tema;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 a análise de narrativas coloniais e seus diversos autores e propósitos;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0" w:hanging="2"/>
              <w:jc w:val="both"/>
              <w:rPr>
                <w:rFonts w:ascii="Times New Roman" w:hAnsi="Times New Roman" w:eastAsia="Times New Roman" w:cs="Times New Roman"/>
              </w:rPr>
            </w:pPr>
            <w:r>
              <w:rPr>
                <w:rFonts w:ascii="Times New Roman" w:hAnsi="Times New Roman" w:eastAsia="Times New Roman" w:cs="Times New Roman"/>
                <w:color w:val="000000"/>
              </w:rPr>
              <w:t>d) a Conquista militar e a Conquista espiritual.</w:t>
            </w:r>
          </w:p>
        </w:tc>
      </w:tr>
      <w:tr>
        <w:tblPrEx>
          <w:tblCellMar>
            <w:top w:w="0" w:type="dxa"/>
            <w:left w:w="22" w:type="dxa"/>
            <w:bottom w:w="0" w:type="dxa"/>
            <w:right w:w="22" w:type="dxa"/>
          </w:tblCellMar>
        </w:tblPrEx>
        <w:trPr>
          <w:trHeight w:val="2899" w:hRule="atLeast"/>
        </w:trPr>
        <w:tc>
          <w:tcPr>
            <w:tcW w:w="9162" w:type="dxa"/>
            <w:gridSpan w:val="4"/>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before="14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 América Pré-Colombiana</w:t>
            </w:r>
          </w:p>
          <w:p>
            <w:pPr>
              <w:widowControl w:val="0"/>
              <w:numPr>
                <w:ilvl w:val="0"/>
                <w:numId w:val="15"/>
              </w:numPr>
              <w:pBdr>
                <w:top w:val="none" w:color="auto" w:sz="0" w:space="0"/>
                <w:left w:val="none" w:color="auto" w:sz="0" w:space="0"/>
                <w:bottom w:val="none" w:color="auto" w:sz="0" w:space="0"/>
                <w:right w:val="none" w:color="auto" w:sz="0" w:space="0"/>
                <w:between w:val="none" w:color="auto" w:sz="0" w:space="0"/>
              </w:pBdr>
              <w:tabs>
                <w:tab w:val="left" w:pos="0"/>
                <w:tab w:val="left" w:pos="395"/>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Alteridade e a invenção da América</w:t>
            </w:r>
          </w:p>
          <w:p>
            <w:pPr>
              <w:widowControl w:val="0"/>
              <w:numPr>
                <w:ilvl w:val="0"/>
                <w:numId w:val="15"/>
              </w:numPr>
              <w:pBdr>
                <w:top w:val="none" w:color="auto" w:sz="0" w:space="0"/>
                <w:left w:val="none" w:color="auto" w:sz="0" w:space="0"/>
                <w:bottom w:val="none" w:color="auto" w:sz="0" w:space="0"/>
                <w:right w:val="none" w:color="auto" w:sz="0" w:space="0"/>
                <w:between w:val="none" w:color="auto" w:sz="0" w:space="0"/>
              </w:pBdr>
              <w:tabs>
                <w:tab w:val="left" w:pos="0"/>
                <w:tab w:val="left" w:pos="476"/>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O Período de conquistas</w:t>
            </w:r>
          </w:p>
          <w:p>
            <w:pPr>
              <w:widowControl w:val="0"/>
              <w:numPr>
                <w:ilvl w:val="0"/>
                <w:numId w:val="15"/>
              </w:numPr>
              <w:pBdr>
                <w:top w:val="none" w:color="auto" w:sz="0" w:space="0"/>
                <w:left w:val="none" w:color="auto" w:sz="0" w:space="0"/>
                <w:bottom w:val="none" w:color="auto" w:sz="0" w:space="0"/>
                <w:right w:val="none" w:color="auto" w:sz="0" w:space="0"/>
                <w:between w:val="none" w:color="auto" w:sz="0" w:space="0"/>
              </w:pBdr>
              <w:tabs>
                <w:tab w:val="left" w:pos="0"/>
                <w:tab w:val="left" w:pos="491"/>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Colonização, Conquista espiritual e Ocidentalização</w:t>
            </w:r>
          </w:p>
          <w:p>
            <w:pPr>
              <w:widowControl w:val="0"/>
              <w:numPr>
                <w:ilvl w:val="0"/>
                <w:numId w:val="15"/>
              </w:numPr>
              <w:pBdr>
                <w:top w:val="none" w:color="auto" w:sz="0" w:space="0"/>
                <w:left w:val="none" w:color="auto" w:sz="0" w:space="0"/>
                <w:bottom w:val="none" w:color="auto" w:sz="0" w:space="0"/>
                <w:right w:val="none" w:color="auto" w:sz="0" w:space="0"/>
                <w:between w:val="none" w:color="auto" w:sz="0" w:space="0"/>
              </w:pBdr>
              <w:tabs>
                <w:tab w:val="left" w:pos="0"/>
                <w:tab w:val="left" w:pos="410"/>
              </w:tabs>
              <w:spacing w:before="142"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América Barroca: Os séculos XVII e o XVIII</w:t>
            </w:r>
          </w:p>
          <w:p>
            <w:pPr>
              <w:widowControl w:val="0"/>
              <w:numPr>
                <w:ilvl w:val="0"/>
                <w:numId w:val="15"/>
              </w:numPr>
              <w:pBdr>
                <w:top w:val="none" w:color="auto" w:sz="0" w:space="0"/>
                <w:left w:val="none" w:color="auto" w:sz="0" w:space="0"/>
                <w:bottom w:val="none" w:color="auto" w:sz="0" w:space="0"/>
                <w:right w:val="none" w:color="auto" w:sz="0" w:space="0"/>
                <w:between w:val="none" w:color="auto" w:sz="0" w:space="0"/>
              </w:pBdr>
              <w:tabs>
                <w:tab w:val="left" w:pos="0"/>
                <w:tab w:val="left" w:pos="491"/>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América inglesa: da colonização à independência</w:t>
            </w:r>
          </w:p>
        </w:tc>
      </w:tr>
      <w:tr>
        <w:tblPrEx>
          <w:tblCellMar>
            <w:top w:w="0" w:type="dxa"/>
            <w:left w:w="22" w:type="dxa"/>
            <w:bottom w:w="0" w:type="dxa"/>
            <w:right w:w="22" w:type="dxa"/>
          </w:tblCellMar>
        </w:tblPrEx>
        <w:trPr>
          <w:trHeight w:val="4387" w:hRule="atLeast"/>
        </w:trPr>
        <w:tc>
          <w:tcPr>
            <w:tcW w:w="9162" w:type="dxa"/>
            <w:gridSpan w:val="4"/>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1"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before="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ARMITAGE, David. </w:t>
            </w:r>
            <w:r>
              <w:rPr>
                <w:rFonts w:ascii="Times New Roman" w:hAnsi="Times New Roman" w:eastAsia="Times New Roman" w:cs="Times New Roman"/>
                <w:i/>
                <w:color w:val="000000"/>
              </w:rPr>
              <w:t>Declaração de Independência</w:t>
            </w:r>
            <w:r>
              <w:rPr>
                <w:rFonts w:ascii="Times New Roman" w:hAnsi="Times New Roman" w:eastAsia="Times New Roman" w:cs="Times New Roman"/>
                <w:color w:val="000000"/>
              </w:rPr>
              <w:t>: uma história global. São Paulo: Companhia das Letras, 2011.</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BRUIT</w:t>
            </w:r>
            <w:r>
              <w:rPr>
                <w:rFonts w:ascii="Times New Roman" w:hAnsi="Times New Roman" w:eastAsia="Times New Roman" w:cs="Times New Roman"/>
                <w:i/>
                <w:color w:val="000000"/>
              </w:rPr>
              <w:t xml:space="preserve">, </w:t>
            </w:r>
            <w:r>
              <w:rPr>
                <w:rFonts w:ascii="Times New Roman" w:hAnsi="Times New Roman" w:eastAsia="Times New Roman" w:cs="Times New Roman"/>
                <w:color w:val="000000"/>
              </w:rPr>
              <w:t xml:space="preserve">Héctor H. </w:t>
            </w:r>
            <w:r>
              <w:rPr>
                <w:rFonts w:ascii="Times New Roman" w:hAnsi="Times New Roman" w:eastAsia="Times New Roman" w:cs="Times New Roman"/>
                <w:i/>
                <w:color w:val="000000"/>
              </w:rPr>
              <w:t>Bartolomé de Las Casase a simulação dos vencidos</w:t>
            </w:r>
            <w:r>
              <w:rPr>
                <w:rFonts w:ascii="Times New Roman" w:hAnsi="Times New Roman" w:eastAsia="Times New Roman" w:cs="Times New Roman"/>
                <w:color w:val="000000"/>
              </w:rPr>
              <w:t>. São Paulo, Iluminuras, 1995.</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KARNAL, Leandro et al. História dos Estados Unidos. São Paulo: Contexto, 2007. SEED, Patricia. Cerimônias de Posse na Conquista Européia do Novo Mundo. São Paulo: Unesp/Cambridge, 1999.</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TODOROV, Tzvetan. </w:t>
            </w:r>
            <w:r>
              <w:rPr>
                <w:rFonts w:ascii="Times New Roman" w:hAnsi="Times New Roman" w:eastAsia="Times New Roman" w:cs="Times New Roman"/>
                <w:i/>
                <w:color w:val="000000"/>
              </w:rPr>
              <w:t>A conquista da América</w:t>
            </w:r>
            <w:r>
              <w:rPr>
                <w:rFonts w:ascii="Times New Roman" w:hAnsi="Times New Roman" w:eastAsia="Times New Roman" w:cs="Times New Roman"/>
                <w:color w:val="000000"/>
              </w:rPr>
              <w:t>: a questão do outro. São Paulo: Martins</w:t>
            </w:r>
          </w:p>
          <w:p>
            <w:pPr>
              <w:widowControl w:val="0"/>
              <w:pBdr>
                <w:top w:val="none" w:color="auto" w:sz="0" w:space="0"/>
                <w:left w:val="none" w:color="auto" w:sz="0" w:space="0"/>
                <w:bottom w:val="none" w:color="auto" w:sz="0" w:space="0"/>
                <w:right w:val="none" w:color="auto" w:sz="0" w:space="0"/>
                <w:between w:val="none" w:color="auto" w:sz="0" w:space="0"/>
              </w:pBdr>
              <w:spacing w:before="128"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Fontes, 1999.</w:t>
            </w:r>
          </w:p>
        </w:tc>
      </w:tr>
      <w:tr>
        <w:tblPrEx>
          <w:tblCellMar>
            <w:top w:w="0" w:type="dxa"/>
            <w:left w:w="22" w:type="dxa"/>
            <w:bottom w:w="0" w:type="dxa"/>
            <w:right w:w="22" w:type="dxa"/>
          </w:tblCellMar>
        </w:tblPrEx>
        <w:trPr>
          <w:trHeight w:val="5626" w:hRule="atLeast"/>
        </w:trPr>
        <w:tc>
          <w:tcPr>
            <w:tcW w:w="9162" w:type="dxa"/>
            <w:gridSpan w:val="4"/>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9"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COLOMBO, Cristóvão. Diários da Descoberta da América: as quatro viagens e o testamento. Porto Alegre: L&amp;PM, 1998.</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CORTEZ, Hernán. A conquista do México. Porto Alegre: L&amp;PM, 1986</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FERNANDES, L.E.O. “O franciscanismo espanhol em terras americanas: Os irmãos menores na Nova-Espanha do século XVI”. Campinas: </w:t>
            </w:r>
            <w:r>
              <w:rPr>
                <w:rFonts w:ascii="Times New Roman" w:hAnsi="Times New Roman" w:eastAsia="Times New Roman" w:cs="Times New Roman"/>
                <w:i/>
                <w:color w:val="000000"/>
              </w:rPr>
              <w:t>Revista Aulas</w:t>
            </w:r>
            <w:r>
              <w:rPr>
                <w:rFonts w:ascii="Times New Roman" w:hAnsi="Times New Roman" w:eastAsia="Times New Roman" w:cs="Times New Roman"/>
                <w:color w:val="000000"/>
              </w:rPr>
              <w:t>, 2007</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GERBI, Antonello. </w:t>
            </w:r>
            <w:r>
              <w:rPr>
                <w:rFonts w:ascii="Times New Roman" w:hAnsi="Times New Roman" w:eastAsia="Times New Roman" w:cs="Times New Roman"/>
                <w:i/>
                <w:color w:val="000000"/>
              </w:rPr>
              <w:t>O Novo Mundo</w:t>
            </w:r>
            <w:r>
              <w:rPr>
                <w:rFonts w:ascii="Times New Roman" w:hAnsi="Times New Roman" w:eastAsia="Times New Roman" w:cs="Times New Roman"/>
                <w:color w:val="000000"/>
              </w:rPr>
              <w:t>. História de uma polêmica (1750-1900). São Paulo: Cia das Letras, 1996.</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GIUCCI, G. </w:t>
            </w:r>
            <w:r>
              <w:rPr>
                <w:rFonts w:ascii="Times New Roman" w:hAnsi="Times New Roman" w:eastAsia="Times New Roman" w:cs="Times New Roman"/>
                <w:i/>
                <w:color w:val="000000"/>
              </w:rPr>
              <w:t>Viajantes do maravilhoso</w:t>
            </w:r>
            <w:r>
              <w:rPr>
                <w:rFonts w:ascii="Times New Roman" w:hAnsi="Times New Roman" w:eastAsia="Times New Roman" w:cs="Times New Roman"/>
                <w:color w:val="000000"/>
              </w:rPr>
              <w:t>: o novo mundo. São Paulo: Companhia das Letras, 1992.</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MAAMARI, Adriana. </w:t>
            </w:r>
            <w:r>
              <w:rPr>
                <w:rFonts w:ascii="Times New Roman" w:hAnsi="Times New Roman" w:eastAsia="Times New Roman" w:cs="Times New Roman"/>
                <w:i/>
                <w:color w:val="000000"/>
              </w:rPr>
              <w:t>A República e a Democracia em Thomas Paine</w:t>
            </w:r>
            <w:r>
              <w:rPr>
                <w:rFonts w:ascii="Times New Roman" w:hAnsi="Times New Roman" w:eastAsia="Times New Roman" w:cs="Times New Roman"/>
                <w:color w:val="000000"/>
              </w:rPr>
              <w:t>. Tese de Doutorado (USP), 2007.</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MORAIS, Marcus Vinícius de. </w:t>
            </w:r>
            <w:r>
              <w:rPr>
                <w:rFonts w:ascii="Times New Roman" w:hAnsi="Times New Roman" w:eastAsia="Times New Roman" w:cs="Times New Roman"/>
                <w:i/>
                <w:color w:val="000000"/>
              </w:rPr>
              <w:t>Hernán Cortés</w:t>
            </w:r>
            <w:r>
              <w:rPr>
                <w:rFonts w:ascii="Times New Roman" w:hAnsi="Times New Roman" w:eastAsia="Times New Roman" w:cs="Times New Roman"/>
                <w:color w:val="000000"/>
              </w:rPr>
              <w:t>. São Paulo: Contexto, 2011.</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489"/>
        <w:tblW w:w="9140" w:type="dxa"/>
        <w:tblInd w:w="2" w:type="dxa"/>
        <w:tblLayout w:type="fixed"/>
        <w:tblCellMar>
          <w:top w:w="0" w:type="dxa"/>
          <w:left w:w="22" w:type="dxa"/>
          <w:bottom w:w="0" w:type="dxa"/>
          <w:right w:w="5" w:type="dxa"/>
        </w:tblCellMar>
      </w:tblPr>
      <w:tblGrid>
        <w:gridCol w:w="2755"/>
        <w:gridCol w:w="3319"/>
        <w:gridCol w:w="3066"/>
      </w:tblGrid>
      <w:tr>
        <w:tblPrEx>
          <w:tblCellMar>
            <w:top w:w="0" w:type="dxa"/>
            <w:left w:w="22" w:type="dxa"/>
            <w:bottom w:w="0" w:type="dxa"/>
            <w:right w:w="5" w:type="dxa"/>
          </w:tblCellMar>
        </w:tblPrEx>
        <w:trPr>
          <w:trHeight w:val="1900" w:hRule="atLeast"/>
        </w:trPr>
        <w:tc>
          <w:tcPr>
            <w:tcW w:w="6074"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318"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História da Historiografia Brasileira</w:t>
            </w:r>
          </w:p>
          <w:p>
            <w:pPr>
              <w:widowControl w:val="0"/>
              <w:pBdr>
                <w:top w:val="none" w:color="auto" w:sz="0" w:space="0"/>
                <w:left w:val="none" w:color="auto" w:sz="0" w:space="0"/>
                <w:bottom w:val="none" w:color="auto" w:sz="0" w:space="0"/>
                <w:right w:val="none" w:color="auto" w:sz="0" w:space="0"/>
                <w:between w:val="none" w:color="auto" w:sz="0" w:space="0"/>
              </w:pBdr>
              <w:spacing w:before="100" w:line="240" w:lineRule="auto"/>
              <w:ind w:left="0" w:right="318"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History of Brazilian Historiography</w:t>
            </w:r>
          </w:p>
        </w:tc>
        <w:tc>
          <w:tcPr>
            <w:tcW w:w="3066"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HIS069</w:t>
            </w:r>
          </w:p>
        </w:tc>
      </w:tr>
      <w:tr>
        <w:tblPrEx>
          <w:tblCellMar>
            <w:top w:w="0" w:type="dxa"/>
            <w:left w:w="22" w:type="dxa"/>
            <w:bottom w:w="0" w:type="dxa"/>
            <w:right w:w="5" w:type="dxa"/>
          </w:tblCellMar>
        </w:tblPrEx>
        <w:trPr>
          <w:trHeight w:val="825" w:hRule="atLeast"/>
        </w:trPr>
        <w:tc>
          <w:tcPr>
            <w:tcW w:w="6074"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História - DEHIS</w:t>
            </w:r>
          </w:p>
        </w:tc>
        <w:tc>
          <w:tcPr>
            <w:tcW w:w="306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5" w:type="dxa"/>
          </w:tblCellMar>
        </w:tblPrEx>
        <w:trPr>
          <w:trHeight w:val="1243" w:hRule="atLeast"/>
        </w:trPr>
        <w:tc>
          <w:tcPr>
            <w:tcW w:w="2755"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353"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353"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3319"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306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 02 horas/aula</w:t>
            </w:r>
          </w:p>
        </w:tc>
      </w:tr>
      <w:tr>
        <w:tblPrEx>
          <w:tblCellMar>
            <w:top w:w="0" w:type="dxa"/>
            <w:left w:w="22" w:type="dxa"/>
            <w:bottom w:w="0" w:type="dxa"/>
            <w:right w:w="5" w:type="dxa"/>
          </w:tblCellMar>
        </w:tblPrEx>
        <w:trPr>
          <w:trHeight w:val="1238" w:hRule="atLeast"/>
        </w:trPr>
        <w:tc>
          <w:tcPr>
            <w:tcW w:w="9140" w:type="dxa"/>
            <w:gridSpan w:val="3"/>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Ementa: Análise e discussão da produção historiográfica brasileira. Fundamentos</w:t>
            </w:r>
          </w:p>
          <w:p>
            <w:pPr>
              <w:widowControl w:val="0"/>
              <w:pBdr>
                <w:top w:val="none" w:color="auto" w:sz="0" w:space="0"/>
                <w:left w:val="none" w:color="auto" w:sz="0" w:space="0"/>
                <w:bottom w:val="none" w:color="auto" w:sz="0" w:space="0"/>
                <w:right w:val="none" w:color="auto" w:sz="0" w:space="0"/>
                <w:between w:val="none" w:color="auto" w:sz="0" w:space="0"/>
              </w:pBdr>
              <w:tabs>
                <w:tab w:val="left" w:pos="952"/>
                <w:tab w:val="left" w:pos="2131"/>
                <w:tab w:val="left" w:pos="2491"/>
                <w:tab w:val="left" w:pos="3877"/>
                <w:tab w:val="left" w:pos="4889"/>
                <w:tab w:val="left" w:pos="5239"/>
                <w:tab w:val="left" w:pos="6011"/>
                <w:tab w:val="left" w:pos="7157"/>
              </w:tabs>
              <w:spacing w:before="3" w:line="240" w:lineRule="auto"/>
              <w:ind w:left="0" w:right="69" w:hanging="2"/>
              <w:rPr>
                <w:rFonts w:ascii="Times New Roman" w:hAnsi="Times New Roman" w:eastAsia="Times New Roman" w:cs="Times New Roman"/>
                <w:color w:val="000000"/>
              </w:rPr>
            </w:pPr>
            <w:r>
              <w:rPr>
                <w:rFonts w:ascii="Times New Roman" w:hAnsi="Times New Roman" w:eastAsia="Times New Roman" w:cs="Times New Roman"/>
                <w:color w:val="000000"/>
              </w:rPr>
              <w:t>sócio-</w:t>
            </w:r>
            <w:r>
              <w:rPr>
                <w:rFonts w:ascii="Times New Roman" w:hAnsi="Times New Roman" w:eastAsia="Times New Roman" w:cs="Times New Roman"/>
                <w:color w:val="000000"/>
              </w:rPr>
              <w:tab/>
            </w:r>
            <w:r>
              <w:rPr>
                <w:rFonts w:ascii="Times New Roman" w:hAnsi="Times New Roman" w:eastAsia="Times New Roman" w:cs="Times New Roman"/>
                <w:color w:val="000000"/>
              </w:rPr>
              <w:t>históricos</w:t>
            </w:r>
            <w:r>
              <w:rPr>
                <w:rFonts w:ascii="Times New Roman" w:hAnsi="Times New Roman" w:eastAsia="Times New Roman" w:cs="Times New Roman"/>
                <w:color w:val="000000"/>
              </w:rPr>
              <w:tab/>
            </w:r>
            <w:r>
              <w:rPr>
                <w:rFonts w:ascii="Times New Roman" w:hAnsi="Times New Roman" w:eastAsia="Times New Roman" w:cs="Times New Roman"/>
                <w:color w:val="000000"/>
              </w:rPr>
              <w:t>e</w:t>
            </w:r>
            <w:r>
              <w:rPr>
                <w:rFonts w:ascii="Times New Roman" w:hAnsi="Times New Roman" w:eastAsia="Times New Roman" w:cs="Times New Roman"/>
                <w:color w:val="000000"/>
              </w:rPr>
              <w:tab/>
            </w:r>
            <w:r>
              <w:rPr>
                <w:rFonts w:ascii="Times New Roman" w:hAnsi="Times New Roman" w:eastAsia="Times New Roman" w:cs="Times New Roman"/>
                <w:color w:val="000000"/>
              </w:rPr>
              <w:t>conceituais.</w:t>
            </w:r>
            <w:r>
              <w:rPr>
                <w:rFonts w:ascii="Times New Roman" w:hAnsi="Times New Roman" w:eastAsia="Times New Roman" w:cs="Times New Roman"/>
                <w:color w:val="000000"/>
              </w:rPr>
              <w:tab/>
            </w:r>
            <w:r>
              <w:rPr>
                <w:rFonts w:ascii="Times New Roman" w:hAnsi="Times New Roman" w:eastAsia="Times New Roman" w:cs="Times New Roman"/>
                <w:color w:val="000000"/>
              </w:rPr>
              <w:t>Autores</w:t>
            </w:r>
            <w:r>
              <w:rPr>
                <w:rFonts w:ascii="Times New Roman" w:hAnsi="Times New Roman" w:eastAsia="Times New Roman" w:cs="Times New Roman"/>
                <w:color w:val="000000"/>
              </w:rPr>
              <w:tab/>
            </w:r>
            <w:r>
              <w:rPr>
                <w:rFonts w:ascii="Times New Roman" w:hAnsi="Times New Roman" w:eastAsia="Times New Roman" w:cs="Times New Roman"/>
                <w:color w:val="000000"/>
              </w:rPr>
              <w:t>e</w:t>
            </w:r>
            <w:r>
              <w:rPr>
                <w:rFonts w:ascii="Times New Roman" w:hAnsi="Times New Roman" w:eastAsia="Times New Roman" w:cs="Times New Roman"/>
                <w:color w:val="000000"/>
              </w:rPr>
              <w:tab/>
            </w:r>
            <w:r>
              <w:rPr>
                <w:rFonts w:ascii="Times New Roman" w:hAnsi="Times New Roman" w:eastAsia="Times New Roman" w:cs="Times New Roman"/>
                <w:color w:val="000000"/>
              </w:rPr>
              <w:t>obras</w:t>
            </w:r>
            <w:r>
              <w:rPr>
                <w:rFonts w:ascii="Times New Roman" w:hAnsi="Times New Roman" w:eastAsia="Times New Roman" w:cs="Times New Roman"/>
                <w:color w:val="000000"/>
              </w:rPr>
              <w:tab/>
            </w:r>
            <w:r>
              <w:rPr>
                <w:rFonts w:ascii="Times New Roman" w:hAnsi="Times New Roman" w:eastAsia="Times New Roman" w:cs="Times New Roman"/>
                <w:color w:val="000000"/>
              </w:rPr>
              <w:t>clássicas.</w:t>
            </w:r>
            <w:r>
              <w:rPr>
                <w:rFonts w:ascii="Times New Roman" w:hAnsi="Times New Roman" w:eastAsia="Times New Roman" w:cs="Times New Roman"/>
                <w:color w:val="000000"/>
              </w:rPr>
              <w:tab/>
            </w:r>
            <w:r>
              <w:rPr>
                <w:rFonts w:ascii="Times New Roman" w:hAnsi="Times New Roman" w:eastAsia="Times New Roman" w:cs="Times New Roman"/>
                <w:color w:val="000000"/>
              </w:rPr>
              <w:t>Tendências contemporâneas.</w:t>
            </w:r>
          </w:p>
        </w:tc>
      </w:tr>
      <w:tr>
        <w:tblPrEx>
          <w:tblCellMar>
            <w:top w:w="0" w:type="dxa"/>
            <w:left w:w="22" w:type="dxa"/>
            <w:bottom w:w="0" w:type="dxa"/>
            <w:right w:w="5" w:type="dxa"/>
          </w:tblCellMar>
        </w:tblPrEx>
        <w:trPr>
          <w:trHeight w:val="2280" w:hRule="atLeast"/>
        </w:trPr>
        <w:tc>
          <w:tcPr>
            <w:tcW w:w="9140" w:type="dxa"/>
            <w:gridSpan w:val="3"/>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Excurso: A história da historiografia brasileira como campo de investigações: breve panorama.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Modulo I: A crônica moderna e a escrita da história.</w:t>
            </w:r>
          </w:p>
          <w:p>
            <w:pPr>
              <w:widowControl w:val="0"/>
              <w:pBdr>
                <w:top w:val="none" w:color="auto" w:sz="0" w:space="0"/>
                <w:left w:val="none" w:color="auto" w:sz="0" w:space="0"/>
                <w:bottom w:val="none" w:color="auto" w:sz="0" w:space="0"/>
                <w:right w:val="none" w:color="auto" w:sz="0" w:space="0"/>
                <w:between w:val="none" w:color="auto" w:sz="0" w:space="0"/>
              </w:pBdr>
              <w:spacing w:before="141" w:line="360" w:lineRule="auto"/>
              <w:ind w:left="0" w:right="1984" w:hanging="2"/>
              <w:rPr>
                <w:rFonts w:ascii="Times New Roman" w:hAnsi="Times New Roman" w:eastAsia="Times New Roman" w:cs="Times New Roman"/>
                <w:color w:val="000000"/>
              </w:rPr>
            </w:pPr>
            <w:r>
              <w:rPr>
                <w:rFonts w:ascii="Times New Roman" w:hAnsi="Times New Roman" w:eastAsia="Times New Roman" w:cs="Times New Roman"/>
                <w:color w:val="000000"/>
              </w:rPr>
              <w:t>Módulo II: retórica, ilustração e escrita da história (1750-1808). Módulo III: A escrita da história em época de crise (1808-1831).</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43" w:hanging="2"/>
              <w:rPr>
                <w:rFonts w:ascii="Times New Roman" w:hAnsi="Times New Roman" w:eastAsia="Times New Roman" w:cs="Times New Roman"/>
                <w:color w:val="000000"/>
              </w:rPr>
            </w:pPr>
            <w:r>
              <w:rPr>
                <w:rFonts w:ascii="Times New Roman" w:hAnsi="Times New Roman" w:eastAsia="Times New Roman" w:cs="Times New Roman"/>
                <w:color w:val="000000"/>
              </w:rPr>
              <w:t>Módulo IV: Cultura histórica, romantismo e política, os anos heróicos (1831-1840). Módulo V: O IHGB, sob a imediata proteção de SMI.</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356" w:hanging="2"/>
              <w:rPr>
                <w:rFonts w:ascii="Times New Roman" w:hAnsi="Times New Roman" w:eastAsia="Times New Roman" w:cs="Times New Roman"/>
                <w:color w:val="000000"/>
              </w:rPr>
            </w:pPr>
            <w:r>
              <w:rPr>
                <w:rFonts w:ascii="Times New Roman" w:hAnsi="Times New Roman" w:eastAsia="Times New Roman" w:cs="Times New Roman"/>
                <w:color w:val="000000"/>
              </w:rPr>
              <w:t>Módulo VI: Da geração de 1870 até os anos de 1930. Módulo VII: Os anos em torno de 1930.</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Módulo VIII: A historiografia e o tempo presente inacabado.</w:t>
            </w:r>
          </w:p>
        </w:tc>
      </w:tr>
      <w:tr>
        <w:tblPrEx>
          <w:tblCellMar>
            <w:top w:w="0" w:type="dxa"/>
            <w:left w:w="22" w:type="dxa"/>
            <w:bottom w:w="0" w:type="dxa"/>
            <w:right w:w="5" w:type="dxa"/>
          </w:tblCellMar>
        </w:tblPrEx>
        <w:trPr>
          <w:trHeight w:val="2603" w:hRule="atLeast"/>
        </w:trPr>
        <w:tc>
          <w:tcPr>
            <w:tcW w:w="9140" w:type="dxa"/>
            <w:gridSpan w:val="3"/>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2"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3"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ALCIDES, Sérgio. “Os letrados e a tópica”. In.  </w:t>
            </w:r>
            <w:r>
              <w:rPr>
                <w:rFonts w:ascii="Times New Roman" w:hAnsi="Times New Roman" w:eastAsia="Times New Roman" w:cs="Times New Roman"/>
                <w:b/>
                <w:color w:val="000000"/>
              </w:rPr>
              <w:t>Estes penhascos</w:t>
            </w:r>
            <w:r>
              <w:rPr>
                <w:rFonts w:ascii="Times New Roman" w:hAnsi="Times New Roman" w:eastAsia="Times New Roman" w:cs="Times New Roman"/>
                <w:color w:val="000000"/>
              </w:rPr>
              <w:t>.  Claudio Manoel da Costa e a paisagem das Minas, 1753-1773. São Paulo: Hucitec, 2003, pp.121-136.</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9"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AMED, F. J. A Configuração de um Deslocamento: a Prática de Escrita de Cartas de Capistrano de Abreu. </w:t>
            </w:r>
            <w:r>
              <w:rPr>
                <w:rFonts w:ascii="Times New Roman" w:hAnsi="Times New Roman" w:eastAsia="Times New Roman" w:cs="Times New Roman"/>
                <w:b/>
                <w:color w:val="000000"/>
              </w:rPr>
              <w:t xml:space="preserve">Revista de História </w:t>
            </w:r>
            <w:r>
              <w:rPr>
                <w:rFonts w:ascii="Times New Roman" w:hAnsi="Times New Roman" w:eastAsia="Times New Roman" w:cs="Times New Roman"/>
                <w:color w:val="000000"/>
              </w:rPr>
              <w:t>(USP), São Paulo, v. 151, n. 151, p. 53-71, 2004.</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3"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ARAUJO, Valdei Lopes de. “Cairu e a emergência da consciência historiográfica no Brasil (1808-1830). In Lúcia M. B. P. das Neves ET alii. (Orgs.). </w:t>
            </w:r>
            <w:r>
              <w:rPr>
                <w:rFonts w:ascii="Times New Roman" w:hAnsi="Times New Roman" w:eastAsia="Times New Roman" w:cs="Times New Roman"/>
                <w:b/>
                <w:color w:val="000000"/>
              </w:rPr>
              <w:t>Estudos de Historiografia Brasileira</w:t>
            </w:r>
            <w:r>
              <w:rPr>
                <w:rFonts w:ascii="Times New Roman" w:hAnsi="Times New Roman" w:eastAsia="Times New Roman" w:cs="Times New Roman"/>
                <w:color w:val="000000"/>
              </w:rPr>
              <w:t>. Rio de Janeiro: FGV, 2011, pp.75-92.</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5"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ARAUJO, Valdei Lopes de. </w:t>
            </w:r>
            <w:r>
              <w:rPr>
                <w:rFonts w:ascii="Times New Roman" w:hAnsi="Times New Roman" w:eastAsia="Times New Roman" w:cs="Times New Roman"/>
                <w:b/>
                <w:color w:val="000000"/>
              </w:rPr>
              <w:t>A experiência do tempo</w:t>
            </w:r>
            <w:r>
              <w:rPr>
                <w:rFonts w:ascii="Times New Roman" w:hAnsi="Times New Roman" w:eastAsia="Times New Roman" w:cs="Times New Roman"/>
                <w:color w:val="000000"/>
              </w:rPr>
              <w:t>: conceitos e narrativas na formação nacional brasileira (1813-1845). São Paulo: Hucitec, 2008.</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ARAUJO, Valdei Lopes de. </w:t>
            </w:r>
            <w:r>
              <w:rPr>
                <w:rFonts w:ascii="Times New Roman" w:hAnsi="Times New Roman" w:eastAsia="Times New Roman" w:cs="Times New Roman"/>
                <w:b/>
                <w:color w:val="000000"/>
              </w:rPr>
              <w:t>Observando a observação: sobre a descoberta do Clima Histórico e a emergência do cronótopo historicista</w:t>
            </w:r>
            <w:r>
              <w:rPr>
                <w:rFonts w:ascii="Times New Roman" w:hAnsi="Times New Roman" w:eastAsia="Times New Roman" w:cs="Times New Roman"/>
                <w:color w:val="000000"/>
              </w:rPr>
              <w:t>, c. 1820 (mimeo.)</w:t>
            </w:r>
          </w:p>
        </w:tc>
      </w:tr>
      <w:tr>
        <w:tblPrEx>
          <w:tblCellMar>
            <w:top w:w="0" w:type="dxa"/>
            <w:left w:w="22" w:type="dxa"/>
            <w:bottom w:w="0" w:type="dxa"/>
            <w:right w:w="5" w:type="dxa"/>
          </w:tblCellMar>
        </w:tblPrEx>
        <w:trPr>
          <w:trHeight w:val="2602" w:hRule="atLeast"/>
        </w:trPr>
        <w:tc>
          <w:tcPr>
            <w:tcW w:w="9140" w:type="dxa"/>
            <w:gridSpan w:val="3"/>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GIANEZ, Bruno &amp; ARAUJO, Valdei L. de. [2006]: </w:t>
            </w:r>
            <w:r>
              <w:rPr>
                <w:rFonts w:ascii="Times New Roman" w:hAnsi="Times New Roman" w:eastAsia="Times New Roman" w:cs="Times New Roman"/>
                <w:b/>
                <w:color w:val="000000"/>
              </w:rPr>
              <w:t>A emergência do discurso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b/>
                <w:color w:val="000000"/>
              </w:rPr>
              <w:t xml:space="preserve"> histórico na crônica de Fernão Lopes. </w:t>
            </w:r>
            <w:r>
              <w:rPr>
                <w:rFonts w:ascii="Times New Roman" w:hAnsi="Times New Roman" w:eastAsia="Times New Roman" w:cs="Times New Roman"/>
                <w:color w:val="000000"/>
              </w:rPr>
              <w:t>Fênix (Uberlândia), v. 3, p. 1-20.</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right="57"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GONÇALVES, Márcia de Almeida. “Em tempos de epidemia biográfica: Octávio Tarquínio de Sousa e sua busca pelos homens históricos. </w:t>
            </w:r>
            <w:r>
              <w:rPr>
                <w:rFonts w:ascii="Times New Roman" w:hAnsi="Times New Roman" w:eastAsia="Times New Roman" w:cs="Times New Roman"/>
                <w:i/>
                <w:color w:val="000000"/>
              </w:rPr>
              <w:t xml:space="preserve">In </w:t>
            </w:r>
            <w:r>
              <w:rPr>
                <w:rFonts w:ascii="Times New Roman" w:hAnsi="Times New Roman" w:eastAsia="Times New Roman" w:cs="Times New Roman"/>
                <w:color w:val="000000"/>
              </w:rPr>
              <w:t xml:space="preserve">NEVES, Lúcia Maria Bastos Pereira das; GUIMARÃES, Lúcia Maria Paschoal; GONÇALVES, Márcia de Almeida; GONTIJO, Rebeca. (Org.). </w:t>
            </w:r>
            <w:r>
              <w:rPr>
                <w:rFonts w:ascii="Times New Roman" w:hAnsi="Times New Roman" w:eastAsia="Times New Roman" w:cs="Times New Roman"/>
                <w:b/>
                <w:color w:val="000000"/>
              </w:rPr>
              <w:t>Estudos de historiografia brasileira</w:t>
            </w:r>
            <w:r>
              <w:rPr>
                <w:rFonts w:ascii="Times New Roman" w:hAnsi="Times New Roman" w:eastAsia="Times New Roman" w:cs="Times New Roman"/>
                <w:color w:val="000000"/>
              </w:rPr>
              <w:t>. Rio de Janeiro: FGV, 2011,pp. 293-304.</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GONTIJO, Rebeca . Capistrano de Abreu, viajante. </w:t>
            </w:r>
            <w:r>
              <w:rPr>
                <w:rFonts w:ascii="Times New Roman" w:hAnsi="Times New Roman" w:eastAsia="Times New Roman" w:cs="Times New Roman"/>
                <w:b/>
                <w:color w:val="000000"/>
              </w:rPr>
              <w:t>Revista Brasileira de História</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(Impresso), v. 30, p. 15-36, 2010.</w:t>
            </w:r>
          </w:p>
          <w:p>
            <w:pPr>
              <w:widowControl w:val="0"/>
              <w:pBdr>
                <w:top w:val="none" w:color="auto" w:sz="0" w:space="0"/>
                <w:left w:val="none" w:color="auto" w:sz="0" w:space="0"/>
                <w:bottom w:val="none" w:color="auto" w:sz="0" w:space="0"/>
                <w:right w:val="none" w:color="auto" w:sz="0" w:space="0"/>
                <w:between w:val="none" w:color="auto" w:sz="0" w:space="0"/>
              </w:pBdr>
              <w:spacing w:before="142" w:line="360" w:lineRule="auto"/>
              <w:ind w:left="0" w:right="102"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GUIMARÃES, Manoel Luiz Salgado. “Entre as luzes e o romantismo: as tensões da escrita da história no Brasil oitocentista”. In. </w:t>
            </w:r>
            <w:r>
              <w:rPr>
                <w:rFonts w:ascii="Times New Roman" w:hAnsi="Times New Roman" w:eastAsia="Times New Roman" w:cs="Times New Roman"/>
                <w:b/>
                <w:color w:val="000000"/>
              </w:rPr>
              <w:t>Estudos sobre a escrita da história</w:t>
            </w:r>
            <w:r>
              <w:rPr>
                <w:rFonts w:ascii="Times New Roman" w:hAnsi="Times New Roman" w:eastAsia="Times New Roman" w:cs="Times New Roman"/>
                <w:color w:val="000000"/>
              </w:rPr>
              <w:t>. Rio de Janeiro: 7Letras, 2006, pp. 68-85.</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6"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MEDEIROS, B. F. &amp; ARAUJO, Valdei L. de. A história de Minas como história do Brasil: o projeto historiográfico do APM. </w:t>
            </w:r>
            <w:r>
              <w:rPr>
                <w:rFonts w:ascii="Times New Roman" w:hAnsi="Times New Roman" w:eastAsia="Times New Roman" w:cs="Times New Roman"/>
                <w:b/>
                <w:color w:val="000000"/>
              </w:rPr>
              <w:t>Revista do Arquivo Público Mineiro</w:t>
            </w:r>
            <w:r>
              <w:rPr>
                <w:rFonts w:ascii="Times New Roman" w:hAnsi="Times New Roman" w:eastAsia="Times New Roman" w:cs="Times New Roman"/>
                <w:color w:val="000000"/>
              </w:rPr>
              <w:t>, v. XLIII, 2007, p. 22-37.</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3" w:hanging="2"/>
              <w:rPr>
                <w:rFonts w:ascii="Times New Roman" w:hAnsi="Times New Roman" w:eastAsia="Times New Roman" w:cs="Times New Roman"/>
                <w:color w:val="000000"/>
              </w:rPr>
            </w:pPr>
            <w:r>
              <w:rPr>
                <w:rFonts w:ascii="Times New Roman" w:hAnsi="Times New Roman" w:eastAsia="Times New Roman" w:cs="Times New Roman"/>
                <w:color w:val="000000"/>
              </w:rPr>
              <w:t>PEREIRA, Mateus. H. F. “</w:t>
            </w:r>
            <w:r>
              <w:rPr>
                <w:rFonts w:ascii="Times New Roman" w:hAnsi="Times New Roman" w:eastAsia="Times New Roman" w:cs="Times New Roman"/>
                <w:i/>
                <w:color w:val="000000"/>
              </w:rPr>
              <w:t xml:space="preserve">Almanaque Abril, acontecimento e história do tempo presente inacabado” In. </w:t>
            </w:r>
            <w:r>
              <w:rPr>
                <w:rFonts w:ascii="Times New Roman" w:hAnsi="Times New Roman" w:eastAsia="Times New Roman" w:cs="Times New Roman"/>
                <w:b/>
                <w:color w:val="000000"/>
              </w:rPr>
              <w:t>A Máquina da Memória/Almanaque Abril</w:t>
            </w:r>
            <w:r>
              <w:rPr>
                <w:rFonts w:ascii="Times New Roman" w:hAnsi="Times New Roman" w:eastAsia="Times New Roman" w:cs="Times New Roman"/>
                <w:color w:val="000000"/>
              </w:rPr>
              <w:t>: o tempo presente entre a história e o jornalismo. Bauru: EDUSC, 2009, pp. 219- 264.</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12"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TURIN, Rodrigo. </w:t>
            </w:r>
            <w:r>
              <w:rPr>
                <w:rFonts w:ascii="Times New Roman" w:hAnsi="Times New Roman" w:eastAsia="Times New Roman" w:cs="Times New Roman"/>
                <w:b/>
                <w:color w:val="000000"/>
              </w:rPr>
              <w:t xml:space="preserve">Os </w:t>
            </w:r>
            <w:r>
              <w:rPr>
                <w:rFonts w:ascii="Times New Roman" w:hAnsi="Times New Roman" w:eastAsia="Times New Roman" w:cs="Times New Roman"/>
                <w:b/>
                <w:i/>
                <w:color w:val="000000"/>
              </w:rPr>
              <w:t xml:space="preserve">antigos </w:t>
            </w:r>
            <w:r>
              <w:rPr>
                <w:rFonts w:ascii="Times New Roman" w:hAnsi="Times New Roman" w:eastAsia="Times New Roman" w:cs="Times New Roman"/>
                <w:color w:val="000000"/>
              </w:rPr>
              <w:t>e a nação: algumas reflexões sobre os usos da antiguidade clássica no IHGB (1840-1860). L'Atelier du Centre de Recherches</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Historiques, v. 7, p. ---, 2011.</w:t>
            </w:r>
          </w:p>
        </w:tc>
      </w:tr>
    </w:tbl>
    <w:p>
      <w:pPr>
        <w:ind w:left="0" w:hanging="2"/>
        <w:rPr>
          <w:rFonts w:ascii="Times New Roman" w:hAnsi="Times New Roman" w:eastAsia="Times New Roman" w:cs="Times New Roman"/>
        </w:rPr>
      </w:pPr>
    </w:p>
    <w:tbl>
      <w:tblPr>
        <w:tblStyle w:val="490"/>
        <w:tblW w:w="9021" w:type="dxa"/>
        <w:tblInd w:w="2" w:type="dxa"/>
        <w:tblLayout w:type="fixed"/>
        <w:tblCellMar>
          <w:top w:w="0" w:type="dxa"/>
          <w:left w:w="22" w:type="dxa"/>
          <w:bottom w:w="0" w:type="dxa"/>
          <w:right w:w="5" w:type="dxa"/>
        </w:tblCellMar>
      </w:tblPr>
      <w:tblGrid>
        <w:gridCol w:w="2932"/>
        <w:gridCol w:w="3408"/>
        <w:gridCol w:w="17"/>
        <w:gridCol w:w="2664"/>
      </w:tblGrid>
      <w:tr>
        <w:tblPrEx>
          <w:tblCellMar>
            <w:top w:w="0" w:type="dxa"/>
            <w:left w:w="22" w:type="dxa"/>
            <w:bottom w:w="0" w:type="dxa"/>
            <w:right w:w="5" w:type="dxa"/>
          </w:tblCellMar>
        </w:tblPrEx>
        <w:trPr>
          <w:trHeight w:val="2068" w:hRule="atLeast"/>
        </w:trPr>
        <w:tc>
          <w:tcPr>
            <w:tcW w:w="6340"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História das Áfricas</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14"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History of Africas</w:t>
            </w:r>
          </w:p>
        </w:tc>
        <w:tc>
          <w:tcPr>
            <w:tcW w:w="2681" w:type="dxa"/>
            <w:gridSpan w:val="2"/>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HIS070</w:t>
            </w:r>
          </w:p>
        </w:tc>
      </w:tr>
      <w:tr>
        <w:tblPrEx>
          <w:tblCellMar>
            <w:top w:w="0" w:type="dxa"/>
            <w:left w:w="22" w:type="dxa"/>
            <w:bottom w:w="0" w:type="dxa"/>
            <w:right w:w="5" w:type="dxa"/>
          </w:tblCellMar>
        </w:tblPrEx>
        <w:trPr>
          <w:trHeight w:val="830" w:hRule="atLeast"/>
        </w:trPr>
        <w:tc>
          <w:tcPr>
            <w:tcW w:w="6340"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História -</w:t>
            </w:r>
          </w:p>
          <w:p>
            <w:pPr>
              <w:widowControl w:val="0"/>
              <w:pBdr>
                <w:top w:val="none" w:color="auto" w:sz="0" w:space="0"/>
                <w:left w:val="none" w:color="auto" w:sz="0" w:space="0"/>
                <w:bottom w:val="none" w:color="auto" w:sz="0" w:space="0"/>
                <w:right w:val="none" w:color="auto" w:sz="0" w:space="0"/>
                <w:between w:val="none" w:color="auto" w:sz="0" w:space="0"/>
              </w:pBdr>
              <w:spacing w:before="14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DEHIS</w:t>
            </w:r>
          </w:p>
        </w:tc>
        <w:tc>
          <w:tcPr>
            <w:tcW w:w="2681" w:type="dxa"/>
            <w:gridSpan w:val="2"/>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5" w:type="dxa"/>
          </w:tblCellMar>
        </w:tblPrEx>
        <w:trPr>
          <w:trHeight w:val="1238" w:hRule="atLeast"/>
        </w:trPr>
        <w:tc>
          <w:tcPr>
            <w:tcW w:w="2932" w:type="dxa"/>
            <w:tcBorders>
              <w:top w:val="single" w:color="000000" w:sz="18" w:space="0"/>
              <w:left w:val="single" w:color="000000" w:sz="18" w:space="0"/>
              <w:bottom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536"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3" w:line="240" w:lineRule="auto"/>
              <w:ind w:left="0" w:right="751"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semestral 90 horas</w:t>
            </w:r>
          </w:p>
        </w:tc>
        <w:tc>
          <w:tcPr>
            <w:tcW w:w="3425"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2664" w:type="dxa"/>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02 horas/aula</w:t>
            </w:r>
          </w:p>
        </w:tc>
      </w:tr>
      <w:tr>
        <w:tblPrEx>
          <w:tblCellMar>
            <w:top w:w="0" w:type="dxa"/>
            <w:left w:w="22" w:type="dxa"/>
            <w:bottom w:w="0" w:type="dxa"/>
            <w:right w:w="5" w:type="dxa"/>
          </w:tblCellMar>
        </w:tblPrEx>
        <w:trPr>
          <w:trHeight w:val="1245" w:hRule="atLeast"/>
        </w:trPr>
        <w:tc>
          <w:tcPr>
            <w:tcW w:w="9021" w:type="dxa"/>
            <w:gridSpan w:val="4"/>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4"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Especificidades relativas ao uso de nomenclaturas e conceitos, fontes em seus diferentes suportes, produção e revisão de discursos racistas, evolucionistas e eurocêntricos. Diversidades e especificidades que recobrem o continente e suas múltiplas configurações sociais, políticas, econômicas, culturais e geográficas observando as temporalidades próprias aos processos endógenos e as relações com</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outros espaços.</w:t>
            </w:r>
          </w:p>
        </w:tc>
      </w:tr>
      <w:tr>
        <w:tblPrEx>
          <w:tblCellMar>
            <w:top w:w="0" w:type="dxa"/>
            <w:left w:w="22" w:type="dxa"/>
            <w:bottom w:w="0" w:type="dxa"/>
            <w:right w:w="5" w:type="dxa"/>
          </w:tblCellMar>
        </w:tblPrEx>
        <w:trPr>
          <w:trHeight w:val="3818" w:hRule="atLeast"/>
        </w:trPr>
        <w:tc>
          <w:tcPr>
            <w:tcW w:w="9021" w:type="dxa"/>
            <w:gridSpan w:val="4"/>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tabs>
                <w:tab w:val="left" w:pos="0"/>
              </w:tabs>
              <w:spacing w:line="360" w:lineRule="auto"/>
              <w:ind w:left="0" w:right="2845" w:hanging="2"/>
              <w:rPr>
                <w:rFonts w:ascii="Times New Roman" w:hAnsi="Times New Roman" w:eastAsia="Times New Roman" w:cs="Times New Roman"/>
              </w:rPr>
            </w:pPr>
            <w:r>
              <w:rPr>
                <w:rFonts w:ascii="Times New Roman" w:hAnsi="Times New Roman" w:eastAsia="Times New Roman" w:cs="Times New Roman"/>
              </w:rPr>
              <w:t>O continente e sua diversidade</w:t>
            </w:r>
          </w:p>
          <w:p>
            <w:pPr>
              <w:widowControl w:val="0"/>
              <w:pBdr>
                <w:top w:val="none" w:color="auto" w:sz="0" w:space="0"/>
                <w:left w:val="none" w:color="auto" w:sz="0" w:space="0"/>
                <w:bottom w:val="none" w:color="auto" w:sz="0" w:space="0"/>
                <w:right w:val="none" w:color="auto" w:sz="0" w:space="0"/>
                <w:between w:val="none" w:color="auto" w:sz="0" w:space="0"/>
              </w:pBdr>
              <w:tabs>
                <w:tab w:val="left" w:pos="0"/>
              </w:tabs>
              <w:spacing w:line="360" w:lineRule="auto"/>
              <w:ind w:left="0" w:right="2845" w:hanging="2"/>
              <w:rPr>
                <w:rFonts w:ascii="Times New Roman" w:hAnsi="Times New Roman" w:eastAsia="Times New Roman" w:cs="Times New Roman"/>
              </w:rPr>
            </w:pPr>
            <w:r>
              <w:rPr>
                <w:rFonts w:ascii="Times New Roman" w:hAnsi="Times New Roman" w:eastAsia="Times New Roman" w:cs="Times New Roman"/>
              </w:rPr>
              <w:t>2- Fontes</w:t>
            </w:r>
          </w:p>
          <w:p>
            <w:pPr>
              <w:widowControl w:val="0"/>
              <w:pBdr>
                <w:top w:val="none" w:color="auto" w:sz="0" w:space="0"/>
                <w:left w:val="none" w:color="auto" w:sz="0" w:space="0"/>
                <w:bottom w:val="none" w:color="auto" w:sz="0" w:space="0"/>
                <w:right w:val="none" w:color="auto" w:sz="0" w:space="0"/>
                <w:between w:val="none" w:color="auto" w:sz="0" w:space="0"/>
              </w:pBdr>
              <w:tabs>
                <w:tab w:val="left" w:pos="0"/>
              </w:tabs>
              <w:spacing w:line="360" w:lineRule="auto"/>
              <w:ind w:left="0" w:right="2845" w:hanging="2"/>
              <w:rPr>
                <w:rFonts w:ascii="Times New Roman" w:hAnsi="Times New Roman" w:eastAsia="Times New Roman" w:cs="Times New Roman"/>
              </w:rPr>
            </w:pPr>
            <w:r>
              <w:rPr>
                <w:rFonts w:ascii="Times New Roman" w:hAnsi="Times New Roman" w:eastAsia="Times New Roman" w:cs="Times New Roman"/>
              </w:rPr>
              <w:t>3- Metodologia I</w:t>
            </w:r>
          </w:p>
          <w:p>
            <w:pPr>
              <w:widowControl w:val="0"/>
              <w:pBdr>
                <w:top w:val="none" w:color="auto" w:sz="0" w:space="0"/>
                <w:left w:val="none" w:color="auto" w:sz="0" w:space="0"/>
                <w:bottom w:val="none" w:color="auto" w:sz="0" w:space="0"/>
                <w:right w:val="none" w:color="auto" w:sz="0" w:space="0"/>
                <w:between w:val="none" w:color="auto" w:sz="0" w:space="0"/>
              </w:pBdr>
              <w:tabs>
                <w:tab w:val="left" w:pos="0"/>
              </w:tabs>
              <w:spacing w:line="360" w:lineRule="auto"/>
              <w:ind w:left="0" w:right="2845" w:hanging="2"/>
              <w:rPr>
                <w:rFonts w:ascii="Times New Roman" w:hAnsi="Times New Roman" w:eastAsia="Times New Roman" w:cs="Times New Roman"/>
              </w:rPr>
            </w:pPr>
            <w:r>
              <w:rPr>
                <w:rFonts w:ascii="Times New Roman" w:hAnsi="Times New Roman" w:eastAsia="Times New Roman" w:cs="Times New Roman"/>
              </w:rPr>
              <w:t>4- Metodologia II</w:t>
            </w:r>
          </w:p>
          <w:p>
            <w:pPr>
              <w:widowControl w:val="0"/>
              <w:pBdr>
                <w:top w:val="none" w:color="auto" w:sz="0" w:space="0"/>
                <w:left w:val="none" w:color="auto" w:sz="0" w:space="0"/>
                <w:bottom w:val="none" w:color="auto" w:sz="0" w:space="0"/>
                <w:right w:val="none" w:color="auto" w:sz="0" w:space="0"/>
                <w:between w:val="none" w:color="auto" w:sz="0" w:space="0"/>
              </w:pBdr>
              <w:tabs>
                <w:tab w:val="left" w:pos="0"/>
              </w:tabs>
              <w:spacing w:line="360" w:lineRule="auto"/>
              <w:ind w:left="0" w:right="2845" w:hanging="2"/>
              <w:rPr>
                <w:rFonts w:ascii="Times New Roman" w:hAnsi="Times New Roman" w:eastAsia="Times New Roman" w:cs="Times New Roman"/>
              </w:rPr>
            </w:pPr>
            <w:r>
              <w:rPr>
                <w:rFonts w:ascii="Times New Roman" w:hAnsi="Times New Roman" w:eastAsia="Times New Roman" w:cs="Times New Roman"/>
              </w:rPr>
              <w:t>5- Historiografia I</w:t>
            </w:r>
          </w:p>
          <w:p>
            <w:pPr>
              <w:widowControl w:val="0"/>
              <w:pBdr>
                <w:top w:val="none" w:color="auto" w:sz="0" w:space="0"/>
                <w:left w:val="none" w:color="auto" w:sz="0" w:space="0"/>
                <w:bottom w:val="none" w:color="auto" w:sz="0" w:space="0"/>
                <w:right w:val="none" w:color="auto" w:sz="0" w:space="0"/>
                <w:between w:val="none" w:color="auto" w:sz="0" w:space="0"/>
              </w:pBdr>
              <w:tabs>
                <w:tab w:val="left" w:pos="0"/>
              </w:tabs>
              <w:spacing w:line="360" w:lineRule="auto"/>
              <w:ind w:left="0" w:right="2845" w:hanging="2"/>
              <w:rPr>
                <w:rFonts w:ascii="Times New Roman" w:hAnsi="Times New Roman" w:eastAsia="Times New Roman" w:cs="Times New Roman"/>
              </w:rPr>
            </w:pPr>
            <w:r>
              <w:rPr>
                <w:rFonts w:ascii="Times New Roman" w:hAnsi="Times New Roman" w:eastAsia="Times New Roman" w:cs="Times New Roman"/>
              </w:rPr>
              <w:t>6-Historiografia II</w:t>
            </w:r>
          </w:p>
          <w:p>
            <w:pPr>
              <w:widowControl w:val="0"/>
              <w:pBdr>
                <w:top w:val="none" w:color="auto" w:sz="0" w:space="0"/>
                <w:left w:val="none" w:color="auto" w:sz="0" w:space="0"/>
                <w:bottom w:val="none" w:color="auto" w:sz="0" w:space="0"/>
                <w:right w:val="none" w:color="auto" w:sz="0" w:space="0"/>
                <w:between w:val="none" w:color="auto" w:sz="0" w:space="0"/>
              </w:pBdr>
              <w:tabs>
                <w:tab w:val="left" w:pos="0"/>
              </w:tabs>
              <w:spacing w:line="360" w:lineRule="auto"/>
              <w:ind w:left="0" w:right="2845" w:hanging="2"/>
              <w:rPr>
                <w:rFonts w:ascii="Times New Roman" w:hAnsi="Times New Roman" w:eastAsia="Times New Roman" w:cs="Times New Roman"/>
              </w:rPr>
            </w:pPr>
            <w:r>
              <w:rPr>
                <w:rFonts w:ascii="Times New Roman" w:hAnsi="Times New Roman" w:eastAsia="Times New Roman" w:cs="Times New Roman"/>
              </w:rPr>
              <w:t>7- Temporalidades e processos internos I</w:t>
            </w:r>
          </w:p>
          <w:p>
            <w:pPr>
              <w:widowControl w:val="0"/>
              <w:pBdr>
                <w:top w:val="none" w:color="auto" w:sz="0" w:space="0"/>
                <w:left w:val="none" w:color="auto" w:sz="0" w:space="0"/>
                <w:bottom w:val="none" w:color="auto" w:sz="0" w:space="0"/>
                <w:right w:val="none" w:color="auto" w:sz="0" w:space="0"/>
                <w:between w:val="none" w:color="auto" w:sz="0" w:space="0"/>
              </w:pBdr>
              <w:tabs>
                <w:tab w:val="left" w:pos="0"/>
              </w:tabs>
              <w:spacing w:line="360" w:lineRule="auto"/>
              <w:ind w:left="0" w:right="2845" w:hanging="2"/>
              <w:rPr>
                <w:rFonts w:ascii="Times New Roman" w:hAnsi="Times New Roman" w:eastAsia="Times New Roman" w:cs="Times New Roman"/>
              </w:rPr>
            </w:pPr>
            <w:r>
              <w:rPr>
                <w:rFonts w:ascii="Times New Roman" w:hAnsi="Times New Roman" w:eastAsia="Times New Roman" w:cs="Times New Roman"/>
              </w:rPr>
              <w:t>8-Tradições do pensamento</w:t>
            </w:r>
          </w:p>
          <w:p>
            <w:pPr>
              <w:widowControl w:val="0"/>
              <w:pBdr>
                <w:top w:val="none" w:color="auto" w:sz="0" w:space="0"/>
                <w:left w:val="none" w:color="auto" w:sz="0" w:space="0"/>
                <w:bottom w:val="none" w:color="auto" w:sz="0" w:space="0"/>
                <w:right w:val="none" w:color="auto" w:sz="0" w:space="0"/>
                <w:between w:val="none" w:color="auto" w:sz="0" w:space="0"/>
              </w:pBdr>
              <w:tabs>
                <w:tab w:val="left" w:pos="0"/>
              </w:tabs>
              <w:spacing w:line="360" w:lineRule="auto"/>
              <w:ind w:left="0" w:right="2845" w:hanging="2"/>
              <w:rPr>
                <w:rFonts w:ascii="Times New Roman" w:hAnsi="Times New Roman" w:eastAsia="Times New Roman" w:cs="Times New Roman"/>
              </w:rPr>
            </w:pPr>
            <w:r>
              <w:rPr>
                <w:rFonts w:ascii="Times New Roman" w:hAnsi="Times New Roman" w:eastAsia="Times New Roman" w:cs="Times New Roman"/>
              </w:rPr>
              <w:t>9- Migrações bantu</w:t>
            </w:r>
          </w:p>
          <w:p>
            <w:pPr>
              <w:widowControl w:val="0"/>
              <w:pBdr>
                <w:top w:val="none" w:color="auto" w:sz="0" w:space="0"/>
                <w:left w:val="none" w:color="auto" w:sz="0" w:space="0"/>
                <w:bottom w:val="none" w:color="auto" w:sz="0" w:space="0"/>
                <w:right w:val="none" w:color="auto" w:sz="0" w:space="0"/>
                <w:between w:val="none" w:color="auto" w:sz="0" w:space="0"/>
              </w:pBdr>
              <w:tabs>
                <w:tab w:val="left" w:pos="0"/>
              </w:tabs>
              <w:spacing w:line="360" w:lineRule="auto"/>
              <w:ind w:left="0" w:right="2845" w:hanging="2"/>
              <w:rPr>
                <w:rFonts w:ascii="Times New Roman" w:hAnsi="Times New Roman" w:eastAsia="Times New Roman" w:cs="Times New Roman"/>
              </w:rPr>
            </w:pPr>
            <w:r>
              <w:rPr>
                <w:rFonts w:ascii="Times New Roman" w:hAnsi="Times New Roman" w:eastAsia="Times New Roman" w:cs="Times New Roman"/>
              </w:rPr>
              <w:t>10- Arabização ou islamização</w:t>
            </w:r>
          </w:p>
          <w:p>
            <w:pPr>
              <w:widowControl w:val="0"/>
              <w:pBdr>
                <w:top w:val="none" w:color="auto" w:sz="0" w:space="0"/>
                <w:left w:val="none" w:color="auto" w:sz="0" w:space="0"/>
                <w:bottom w:val="none" w:color="auto" w:sz="0" w:space="0"/>
                <w:right w:val="none" w:color="auto" w:sz="0" w:space="0"/>
                <w:between w:val="none" w:color="auto" w:sz="0" w:space="0"/>
              </w:pBdr>
              <w:tabs>
                <w:tab w:val="left" w:pos="0"/>
              </w:tabs>
              <w:spacing w:line="360" w:lineRule="auto"/>
              <w:ind w:left="0" w:right="2845" w:hanging="2"/>
              <w:rPr>
                <w:rFonts w:ascii="Times New Roman" w:hAnsi="Times New Roman" w:eastAsia="Times New Roman" w:cs="Times New Roman"/>
              </w:rPr>
            </w:pPr>
            <w:r>
              <w:rPr>
                <w:rFonts w:ascii="Times New Roman" w:hAnsi="Times New Roman" w:eastAsia="Times New Roman" w:cs="Times New Roman"/>
              </w:rPr>
              <w:t>11- África até o século VII</w:t>
            </w:r>
          </w:p>
          <w:p>
            <w:pPr>
              <w:widowControl w:val="0"/>
              <w:pBdr>
                <w:top w:val="none" w:color="auto" w:sz="0" w:space="0"/>
                <w:left w:val="none" w:color="auto" w:sz="0" w:space="0"/>
                <w:bottom w:val="none" w:color="auto" w:sz="0" w:space="0"/>
                <w:right w:val="none" w:color="auto" w:sz="0" w:space="0"/>
                <w:between w:val="none" w:color="auto" w:sz="0" w:space="0"/>
              </w:pBdr>
              <w:tabs>
                <w:tab w:val="left" w:pos="0"/>
              </w:tabs>
              <w:spacing w:line="360" w:lineRule="auto"/>
              <w:ind w:left="0" w:right="2845" w:hanging="2"/>
              <w:rPr>
                <w:rFonts w:ascii="Times New Roman" w:hAnsi="Times New Roman" w:eastAsia="Times New Roman" w:cs="Times New Roman"/>
              </w:rPr>
            </w:pPr>
            <w:r>
              <w:rPr>
                <w:rFonts w:ascii="Times New Roman" w:hAnsi="Times New Roman" w:eastAsia="Times New Roman" w:cs="Times New Roman"/>
              </w:rPr>
              <w:t>12- África entre os séculos VII e XI</w:t>
            </w:r>
          </w:p>
          <w:p>
            <w:pPr>
              <w:widowControl w:val="0"/>
              <w:pBdr>
                <w:top w:val="none" w:color="auto" w:sz="0" w:space="0"/>
                <w:left w:val="none" w:color="auto" w:sz="0" w:space="0"/>
                <w:bottom w:val="none" w:color="auto" w:sz="0" w:space="0"/>
                <w:right w:val="none" w:color="auto" w:sz="0" w:space="0"/>
                <w:between w:val="none" w:color="auto" w:sz="0" w:space="0"/>
              </w:pBdr>
              <w:tabs>
                <w:tab w:val="left" w:pos="0"/>
              </w:tabs>
              <w:spacing w:line="360" w:lineRule="auto"/>
              <w:ind w:left="0" w:right="2845" w:hanging="2"/>
              <w:rPr>
                <w:rFonts w:ascii="Times New Roman" w:hAnsi="Times New Roman" w:eastAsia="Times New Roman" w:cs="Times New Roman"/>
              </w:rPr>
            </w:pPr>
            <w:r>
              <w:rPr>
                <w:rFonts w:ascii="Times New Roman" w:hAnsi="Times New Roman" w:eastAsia="Times New Roman" w:cs="Times New Roman"/>
              </w:rPr>
              <w:t>13- África entre os séculos XII e XVI</w:t>
            </w:r>
          </w:p>
          <w:p>
            <w:pPr>
              <w:widowControl w:val="0"/>
              <w:pBdr>
                <w:top w:val="none" w:color="auto" w:sz="0" w:space="0"/>
                <w:left w:val="none" w:color="auto" w:sz="0" w:space="0"/>
                <w:bottom w:val="none" w:color="auto" w:sz="0" w:space="0"/>
                <w:right w:val="none" w:color="auto" w:sz="0" w:space="0"/>
                <w:between w:val="none" w:color="auto" w:sz="0" w:space="0"/>
              </w:pBdr>
              <w:tabs>
                <w:tab w:val="left" w:pos="0"/>
              </w:tabs>
              <w:spacing w:line="360" w:lineRule="auto"/>
              <w:ind w:left="0" w:right="2845" w:hanging="2"/>
              <w:rPr>
                <w:rFonts w:ascii="Times New Roman" w:hAnsi="Times New Roman" w:eastAsia="Times New Roman" w:cs="Times New Roman"/>
              </w:rPr>
            </w:pPr>
            <w:r>
              <w:rPr>
                <w:rFonts w:ascii="Times New Roman" w:hAnsi="Times New Roman" w:eastAsia="Times New Roman" w:cs="Times New Roman"/>
              </w:rPr>
              <w:t>14- Encontros</w:t>
            </w:r>
          </w:p>
          <w:p>
            <w:pPr>
              <w:widowControl w:val="0"/>
              <w:pBdr>
                <w:top w:val="none" w:color="auto" w:sz="0" w:space="0"/>
                <w:left w:val="none" w:color="auto" w:sz="0" w:space="0"/>
                <w:bottom w:val="none" w:color="auto" w:sz="0" w:space="0"/>
                <w:right w:val="none" w:color="auto" w:sz="0" w:space="0"/>
                <w:between w:val="none" w:color="auto" w:sz="0" w:space="0"/>
              </w:pBdr>
              <w:tabs>
                <w:tab w:val="left" w:pos="0"/>
              </w:tabs>
              <w:spacing w:line="360" w:lineRule="auto"/>
              <w:ind w:left="0" w:right="2845" w:hanging="2"/>
              <w:rPr>
                <w:rFonts w:ascii="Times New Roman" w:hAnsi="Times New Roman" w:eastAsia="Times New Roman" w:cs="Times New Roman"/>
              </w:rPr>
            </w:pPr>
            <w:r>
              <w:rPr>
                <w:rFonts w:ascii="Times New Roman" w:hAnsi="Times New Roman" w:eastAsia="Times New Roman" w:cs="Times New Roman"/>
              </w:rPr>
              <w:t>15 -Tráfico Atlântico</w:t>
            </w:r>
          </w:p>
          <w:p>
            <w:pPr>
              <w:widowControl w:val="0"/>
              <w:pBdr>
                <w:top w:val="none" w:color="auto" w:sz="0" w:space="0"/>
                <w:left w:val="none" w:color="auto" w:sz="0" w:space="0"/>
                <w:bottom w:val="none" w:color="auto" w:sz="0" w:space="0"/>
                <w:right w:val="none" w:color="auto" w:sz="0" w:space="0"/>
                <w:between w:val="none" w:color="auto" w:sz="0" w:space="0"/>
              </w:pBdr>
              <w:tabs>
                <w:tab w:val="left" w:pos="0"/>
              </w:tabs>
              <w:spacing w:line="360" w:lineRule="auto"/>
              <w:ind w:left="0" w:right="2845" w:hanging="2"/>
              <w:rPr>
                <w:rFonts w:ascii="Times New Roman" w:hAnsi="Times New Roman" w:eastAsia="Times New Roman" w:cs="Times New Roman"/>
              </w:rPr>
            </w:pPr>
            <w:r>
              <w:rPr>
                <w:rFonts w:ascii="Times New Roman" w:hAnsi="Times New Roman" w:eastAsia="Times New Roman" w:cs="Times New Roman"/>
              </w:rPr>
              <w:t>16 -Imperialismo</w:t>
            </w:r>
          </w:p>
          <w:p>
            <w:pPr>
              <w:widowControl w:val="0"/>
              <w:pBdr>
                <w:top w:val="none" w:color="auto" w:sz="0" w:space="0"/>
                <w:left w:val="none" w:color="auto" w:sz="0" w:space="0"/>
                <w:bottom w:val="none" w:color="auto" w:sz="0" w:space="0"/>
                <w:right w:val="none" w:color="auto" w:sz="0" w:space="0"/>
                <w:between w:val="none" w:color="auto" w:sz="0" w:space="0"/>
              </w:pBdr>
              <w:tabs>
                <w:tab w:val="left" w:pos="0"/>
              </w:tabs>
              <w:spacing w:line="360" w:lineRule="auto"/>
              <w:ind w:left="0" w:right="2845" w:hanging="2"/>
              <w:rPr>
                <w:rFonts w:ascii="Times New Roman" w:hAnsi="Times New Roman" w:eastAsia="Times New Roman" w:cs="Times New Roman"/>
              </w:rPr>
            </w:pPr>
            <w:r>
              <w:rPr>
                <w:rFonts w:ascii="Times New Roman" w:hAnsi="Times New Roman" w:eastAsia="Times New Roman" w:cs="Times New Roman"/>
              </w:rPr>
              <w:t>17 -Imperialismo</w:t>
            </w:r>
          </w:p>
          <w:p>
            <w:pPr>
              <w:widowControl w:val="0"/>
              <w:pBdr>
                <w:top w:val="none" w:color="auto" w:sz="0" w:space="0"/>
                <w:left w:val="none" w:color="auto" w:sz="0" w:space="0"/>
                <w:bottom w:val="none" w:color="auto" w:sz="0" w:space="0"/>
                <w:right w:val="none" w:color="auto" w:sz="0" w:space="0"/>
                <w:between w:val="none" w:color="auto" w:sz="0" w:space="0"/>
              </w:pBdr>
              <w:tabs>
                <w:tab w:val="left" w:pos="0"/>
              </w:tabs>
              <w:spacing w:line="360" w:lineRule="auto"/>
              <w:ind w:left="0" w:right="2845" w:hanging="2"/>
              <w:rPr>
                <w:rFonts w:ascii="Times New Roman" w:hAnsi="Times New Roman" w:eastAsia="Times New Roman" w:cs="Times New Roman"/>
              </w:rPr>
            </w:pPr>
            <w:r>
              <w:rPr>
                <w:rFonts w:ascii="Times New Roman" w:hAnsi="Times New Roman" w:eastAsia="Times New Roman" w:cs="Times New Roman"/>
              </w:rPr>
              <w:t>18- Colonialismo</w:t>
            </w:r>
          </w:p>
          <w:p>
            <w:pPr>
              <w:widowControl w:val="0"/>
              <w:pBdr>
                <w:top w:val="none" w:color="auto" w:sz="0" w:space="0"/>
                <w:left w:val="none" w:color="auto" w:sz="0" w:space="0"/>
                <w:bottom w:val="none" w:color="auto" w:sz="0" w:space="0"/>
                <w:right w:val="none" w:color="auto" w:sz="0" w:space="0"/>
                <w:between w:val="none" w:color="auto" w:sz="0" w:space="0"/>
              </w:pBdr>
              <w:tabs>
                <w:tab w:val="left" w:pos="0"/>
              </w:tabs>
              <w:spacing w:line="360" w:lineRule="auto"/>
              <w:ind w:left="0" w:right="2845" w:hanging="2"/>
              <w:rPr>
                <w:rFonts w:ascii="Times New Roman" w:hAnsi="Times New Roman" w:eastAsia="Times New Roman" w:cs="Times New Roman"/>
              </w:rPr>
            </w:pPr>
            <w:r>
              <w:rPr>
                <w:rFonts w:ascii="Times New Roman" w:hAnsi="Times New Roman" w:eastAsia="Times New Roman" w:cs="Times New Roman"/>
              </w:rPr>
              <w:t>19- Resistências</w:t>
            </w:r>
          </w:p>
          <w:p>
            <w:pPr>
              <w:widowControl w:val="0"/>
              <w:pBdr>
                <w:top w:val="none" w:color="auto" w:sz="0" w:space="0"/>
                <w:left w:val="none" w:color="auto" w:sz="0" w:space="0"/>
                <w:bottom w:val="none" w:color="auto" w:sz="0" w:space="0"/>
                <w:right w:val="none" w:color="auto" w:sz="0" w:space="0"/>
                <w:between w:val="none" w:color="auto" w:sz="0" w:space="0"/>
              </w:pBdr>
              <w:tabs>
                <w:tab w:val="left" w:pos="0"/>
              </w:tabs>
              <w:spacing w:line="360" w:lineRule="auto"/>
              <w:ind w:left="0" w:right="2845" w:hanging="2"/>
              <w:rPr>
                <w:rFonts w:ascii="Times New Roman" w:hAnsi="Times New Roman" w:eastAsia="Times New Roman" w:cs="Times New Roman"/>
              </w:rPr>
            </w:pPr>
            <w:r>
              <w:rPr>
                <w:rFonts w:ascii="Times New Roman" w:hAnsi="Times New Roman" w:eastAsia="Times New Roman" w:cs="Times New Roman"/>
              </w:rPr>
              <w:t>20- Resistências</w:t>
            </w:r>
          </w:p>
          <w:p>
            <w:pPr>
              <w:widowControl w:val="0"/>
              <w:pBdr>
                <w:top w:val="none" w:color="auto" w:sz="0" w:space="0"/>
                <w:left w:val="none" w:color="auto" w:sz="0" w:space="0"/>
                <w:bottom w:val="none" w:color="auto" w:sz="0" w:space="0"/>
                <w:right w:val="none" w:color="auto" w:sz="0" w:space="0"/>
                <w:between w:val="none" w:color="auto" w:sz="0" w:space="0"/>
              </w:pBdr>
              <w:tabs>
                <w:tab w:val="left" w:pos="0"/>
              </w:tabs>
              <w:spacing w:line="360" w:lineRule="auto"/>
              <w:ind w:left="0" w:right="2845" w:hanging="2"/>
              <w:rPr>
                <w:rFonts w:ascii="Times New Roman" w:hAnsi="Times New Roman" w:eastAsia="Times New Roman" w:cs="Times New Roman"/>
              </w:rPr>
            </w:pPr>
            <w:r>
              <w:rPr>
                <w:rFonts w:ascii="Times New Roman" w:hAnsi="Times New Roman" w:eastAsia="Times New Roman" w:cs="Times New Roman"/>
              </w:rPr>
              <w:t>21- Nacionalismo em África</w:t>
            </w:r>
          </w:p>
          <w:p>
            <w:pPr>
              <w:widowControl w:val="0"/>
              <w:pBdr>
                <w:top w:val="none" w:color="auto" w:sz="0" w:space="0"/>
                <w:left w:val="none" w:color="auto" w:sz="0" w:space="0"/>
                <w:bottom w:val="none" w:color="auto" w:sz="0" w:space="0"/>
                <w:right w:val="none" w:color="auto" w:sz="0" w:space="0"/>
                <w:between w:val="none" w:color="auto" w:sz="0" w:space="0"/>
              </w:pBdr>
              <w:tabs>
                <w:tab w:val="left" w:pos="0"/>
              </w:tabs>
              <w:spacing w:line="360" w:lineRule="auto"/>
              <w:ind w:left="0" w:right="2845" w:hanging="2"/>
              <w:rPr>
                <w:rFonts w:ascii="Times New Roman" w:hAnsi="Times New Roman" w:eastAsia="Times New Roman" w:cs="Times New Roman"/>
              </w:rPr>
            </w:pPr>
            <w:r>
              <w:rPr>
                <w:rFonts w:ascii="Times New Roman" w:hAnsi="Times New Roman" w:eastAsia="Times New Roman" w:cs="Times New Roman"/>
              </w:rPr>
              <w:t>22 -Movimentos nacionalistas</w:t>
            </w:r>
          </w:p>
          <w:p>
            <w:pPr>
              <w:widowControl w:val="0"/>
              <w:pBdr>
                <w:top w:val="none" w:color="auto" w:sz="0" w:space="0"/>
                <w:left w:val="none" w:color="auto" w:sz="0" w:space="0"/>
                <w:bottom w:val="none" w:color="auto" w:sz="0" w:space="0"/>
                <w:right w:val="none" w:color="auto" w:sz="0" w:space="0"/>
                <w:between w:val="none" w:color="auto" w:sz="0" w:space="0"/>
              </w:pBdr>
              <w:tabs>
                <w:tab w:val="left" w:pos="0"/>
              </w:tabs>
              <w:spacing w:line="360" w:lineRule="auto"/>
              <w:ind w:left="0" w:right="2845" w:hanging="2"/>
              <w:rPr>
                <w:rFonts w:ascii="Times New Roman" w:hAnsi="Times New Roman" w:eastAsia="Times New Roman" w:cs="Times New Roman"/>
              </w:rPr>
            </w:pPr>
            <w:r>
              <w:rPr>
                <w:rFonts w:ascii="Times New Roman" w:hAnsi="Times New Roman" w:eastAsia="Times New Roman" w:cs="Times New Roman"/>
              </w:rPr>
              <w:t>23- Crimes de guerra, Campos de Concentração e silêncio</w:t>
            </w:r>
          </w:p>
          <w:p>
            <w:pPr>
              <w:widowControl w:val="0"/>
              <w:pBdr>
                <w:top w:val="none" w:color="auto" w:sz="0" w:space="0"/>
                <w:left w:val="none" w:color="auto" w:sz="0" w:space="0"/>
                <w:bottom w:val="none" w:color="auto" w:sz="0" w:space="0"/>
                <w:right w:val="none" w:color="auto" w:sz="0" w:space="0"/>
                <w:between w:val="none" w:color="auto" w:sz="0" w:space="0"/>
              </w:pBdr>
              <w:tabs>
                <w:tab w:val="left" w:pos="0"/>
              </w:tabs>
              <w:spacing w:line="360" w:lineRule="auto"/>
              <w:ind w:left="0" w:right="2845" w:hanging="2"/>
              <w:rPr>
                <w:rFonts w:ascii="Times New Roman" w:hAnsi="Times New Roman" w:eastAsia="Times New Roman" w:cs="Times New Roman"/>
              </w:rPr>
            </w:pPr>
            <w:r>
              <w:rPr>
                <w:rFonts w:ascii="Times New Roman" w:hAnsi="Times New Roman" w:eastAsia="Times New Roman" w:cs="Times New Roman"/>
              </w:rPr>
              <w:t>24 -Independências</w:t>
            </w:r>
          </w:p>
          <w:p>
            <w:pPr>
              <w:widowControl w:val="0"/>
              <w:pBdr>
                <w:top w:val="none" w:color="auto" w:sz="0" w:space="0"/>
                <w:left w:val="none" w:color="auto" w:sz="0" w:space="0"/>
                <w:bottom w:val="none" w:color="auto" w:sz="0" w:space="0"/>
                <w:right w:val="none" w:color="auto" w:sz="0" w:space="0"/>
                <w:between w:val="none" w:color="auto" w:sz="0" w:space="0"/>
              </w:pBdr>
              <w:tabs>
                <w:tab w:val="left" w:pos="0"/>
              </w:tabs>
              <w:spacing w:line="360" w:lineRule="auto"/>
              <w:ind w:left="0" w:right="2845" w:hanging="2"/>
              <w:rPr>
                <w:rFonts w:ascii="Times New Roman" w:hAnsi="Times New Roman" w:eastAsia="Times New Roman" w:cs="Times New Roman"/>
              </w:rPr>
            </w:pPr>
            <w:r>
              <w:rPr>
                <w:rFonts w:ascii="Times New Roman" w:hAnsi="Times New Roman" w:eastAsia="Times New Roman" w:cs="Times New Roman"/>
              </w:rPr>
              <w:t>25- Independências</w:t>
            </w:r>
          </w:p>
          <w:p>
            <w:pPr>
              <w:widowControl w:val="0"/>
              <w:pBdr>
                <w:top w:val="none" w:color="auto" w:sz="0" w:space="0"/>
                <w:left w:val="none" w:color="auto" w:sz="0" w:space="0"/>
                <w:bottom w:val="none" w:color="auto" w:sz="0" w:space="0"/>
                <w:right w:val="none" w:color="auto" w:sz="0" w:space="0"/>
                <w:between w:val="none" w:color="auto" w:sz="0" w:space="0"/>
              </w:pBdr>
              <w:tabs>
                <w:tab w:val="left" w:pos="0"/>
              </w:tabs>
              <w:spacing w:line="360" w:lineRule="auto"/>
              <w:ind w:left="0" w:right="2845" w:hanging="2"/>
              <w:rPr>
                <w:rFonts w:ascii="Times New Roman" w:hAnsi="Times New Roman" w:eastAsia="Times New Roman" w:cs="Times New Roman"/>
              </w:rPr>
            </w:pPr>
            <w:r>
              <w:rPr>
                <w:rFonts w:ascii="Times New Roman" w:hAnsi="Times New Roman" w:eastAsia="Times New Roman" w:cs="Times New Roman"/>
              </w:rPr>
              <w:t>26 -Consolidação dos Estados</w:t>
            </w:r>
          </w:p>
          <w:p>
            <w:pPr>
              <w:widowControl w:val="0"/>
              <w:pBdr>
                <w:top w:val="none" w:color="auto" w:sz="0" w:space="0"/>
                <w:left w:val="none" w:color="auto" w:sz="0" w:space="0"/>
                <w:bottom w:val="none" w:color="auto" w:sz="0" w:space="0"/>
                <w:right w:val="none" w:color="auto" w:sz="0" w:space="0"/>
                <w:between w:val="none" w:color="auto" w:sz="0" w:space="0"/>
              </w:pBdr>
              <w:tabs>
                <w:tab w:val="left" w:pos="0"/>
              </w:tabs>
              <w:spacing w:line="360" w:lineRule="auto"/>
              <w:ind w:left="0" w:right="2845" w:hanging="2"/>
              <w:rPr>
                <w:rFonts w:ascii="Times New Roman" w:hAnsi="Times New Roman" w:eastAsia="Times New Roman" w:cs="Times New Roman"/>
              </w:rPr>
            </w:pPr>
            <w:r>
              <w:rPr>
                <w:rFonts w:ascii="Times New Roman" w:hAnsi="Times New Roman" w:eastAsia="Times New Roman" w:cs="Times New Roman"/>
              </w:rPr>
              <w:t>27- Pan-Africanismo</w:t>
            </w:r>
          </w:p>
          <w:p>
            <w:pPr>
              <w:widowControl w:val="0"/>
              <w:pBdr>
                <w:top w:val="none" w:color="auto" w:sz="0" w:space="0"/>
                <w:left w:val="none" w:color="auto" w:sz="0" w:space="0"/>
                <w:bottom w:val="none" w:color="auto" w:sz="0" w:space="0"/>
                <w:right w:val="none" w:color="auto" w:sz="0" w:space="0"/>
                <w:between w:val="none" w:color="auto" w:sz="0" w:space="0"/>
              </w:pBdr>
              <w:tabs>
                <w:tab w:val="left" w:pos="0"/>
              </w:tabs>
              <w:spacing w:line="360" w:lineRule="auto"/>
              <w:ind w:left="0" w:right="2845" w:hanging="2"/>
              <w:rPr>
                <w:rFonts w:ascii="Times New Roman" w:hAnsi="Times New Roman" w:eastAsia="Times New Roman" w:cs="Times New Roman"/>
              </w:rPr>
            </w:pPr>
            <w:r>
              <w:rPr>
                <w:rFonts w:ascii="Times New Roman" w:hAnsi="Times New Roman" w:eastAsia="Times New Roman" w:cs="Times New Roman"/>
              </w:rPr>
              <w:t>28 -Negritudinismo</w:t>
            </w:r>
          </w:p>
          <w:p>
            <w:pPr>
              <w:widowControl w:val="0"/>
              <w:pBdr>
                <w:top w:val="none" w:color="auto" w:sz="0" w:space="0"/>
                <w:left w:val="none" w:color="auto" w:sz="0" w:space="0"/>
                <w:bottom w:val="none" w:color="auto" w:sz="0" w:space="0"/>
                <w:right w:val="none" w:color="auto" w:sz="0" w:space="0"/>
                <w:between w:val="none" w:color="auto" w:sz="0" w:space="0"/>
              </w:pBdr>
              <w:tabs>
                <w:tab w:val="left" w:pos="0"/>
              </w:tabs>
              <w:spacing w:line="360" w:lineRule="auto"/>
              <w:ind w:left="0" w:right="2845" w:hanging="2"/>
              <w:rPr>
                <w:rFonts w:ascii="Times New Roman" w:hAnsi="Times New Roman" w:eastAsia="Times New Roman" w:cs="Times New Roman"/>
              </w:rPr>
            </w:pPr>
            <w:r>
              <w:rPr>
                <w:rFonts w:ascii="Times New Roman" w:hAnsi="Times New Roman" w:eastAsia="Times New Roman" w:cs="Times New Roman"/>
              </w:rPr>
              <w:t>29- Pós colonialismo</w:t>
            </w:r>
          </w:p>
          <w:p>
            <w:pPr>
              <w:widowControl w:val="0"/>
              <w:pBdr>
                <w:top w:val="none" w:color="auto" w:sz="0" w:space="0"/>
                <w:left w:val="none" w:color="auto" w:sz="0" w:space="0"/>
                <w:bottom w:val="none" w:color="auto" w:sz="0" w:space="0"/>
                <w:right w:val="none" w:color="auto" w:sz="0" w:space="0"/>
                <w:between w:val="none" w:color="auto" w:sz="0" w:space="0"/>
              </w:pBdr>
              <w:tabs>
                <w:tab w:val="left" w:pos="0"/>
              </w:tabs>
              <w:spacing w:line="360" w:lineRule="auto"/>
              <w:ind w:left="0" w:right="2845" w:hanging="2"/>
              <w:rPr>
                <w:rFonts w:ascii="Times New Roman" w:hAnsi="Times New Roman" w:eastAsia="Times New Roman" w:cs="Times New Roman"/>
              </w:rPr>
            </w:pPr>
            <w:r>
              <w:rPr>
                <w:rFonts w:ascii="Times New Roman" w:hAnsi="Times New Roman" w:eastAsia="Times New Roman" w:cs="Times New Roman"/>
              </w:rPr>
              <w:t>30- Decolonialismo</w:t>
            </w:r>
          </w:p>
          <w:p>
            <w:pPr>
              <w:widowControl w:val="0"/>
              <w:pBdr>
                <w:top w:val="none" w:color="auto" w:sz="0" w:space="0"/>
                <w:left w:val="none" w:color="auto" w:sz="0" w:space="0"/>
                <w:bottom w:val="none" w:color="auto" w:sz="0" w:space="0"/>
                <w:right w:val="none" w:color="auto" w:sz="0" w:space="0"/>
                <w:between w:val="none" w:color="auto" w:sz="0" w:space="0"/>
              </w:pBdr>
              <w:tabs>
                <w:tab w:val="left" w:pos="0"/>
              </w:tabs>
              <w:spacing w:line="360" w:lineRule="auto"/>
              <w:ind w:left="0" w:right="2845" w:hanging="2"/>
              <w:rPr>
                <w:rFonts w:ascii="Times New Roman" w:hAnsi="Times New Roman" w:eastAsia="Times New Roman" w:cs="Times New Roman"/>
              </w:rPr>
            </w:pPr>
          </w:p>
          <w:p>
            <w:pPr>
              <w:tabs>
                <w:tab w:val="left" w:pos="2176"/>
              </w:tabs>
              <w:ind w:left="0" w:hanging="2"/>
              <w:rPr>
                <w:rFonts w:ascii="Times New Roman" w:hAnsi="Times New Roman" w:cs="Times New Roman"/>
              </w:rPr>
            </w:pPr>
          </w:p>
        </w:tc>
      </w:tr>
      <w:tr>
        <w:tblPrEx>
          <w:tblCellMar>
            <w:top w:w="0" w:type="dxa"/>
            <w:left w:w="22" w:type="dxa"/>
            <w:bottom w:w="0" w:type="dxa"/>
            <w:right w:w="5" w:type="dxa"/>
          </w:tblCellMar>
        </w:tblPrEx>
        <w:trPr>
          <w:trHeight w:val="3435" w:hRule="atLeast"/>
        </w:trPr>
        <w:tc>
          <w:tcPr>
            <w:tcW w:w="9021" w:type="dxa"/>
            <w:gridSpan w:val="4"/>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9"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tabs>
                <w:tab w:val="left" w:pos="1206"/>
                <w:tab w:val="left" w:pos="2353"/>
                <w:tab w:val="left" w:pos="3678"/>
                <w:tab w:val="left" w:pos="4768"/>
                <w:tab w:val="left" w:pos="6416"/>
                <w:tab w:val="left" w:pos="8249"/>
              </w:tabs>
              <w:spacing w:line="360" w:lineRule="auto"/>
              <w:ind w:left="0" w:right="64"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MBEMBE, Achile. </w:t>
            </w:r>
            <w:r>
              <w:rPr>
                <w:rFonts w:ascii="Times New Roman" w:hAnsi="Times New Roman" w:eastAsia="Times New Roman" w:cs="Times New Roman"/>
                <w:i/>
                <w:color w:val="000000"/>
              </w:rPr>
              <w:t>As formas africanas de auto-inscrição</w:t>
            </w:r>
            <w:r>
              <w:rPr>
                <w:rFonts w:ascii="Times New Roman" w:hAnsi="Times New Roman" w:eastAsia="Times New Roman" w:cs="Times New Roman"/>
                <w:color w:val="000000"/>
              </w:rPr>
              <w:t>. Estudos Afro Asiáticos. Ano 23,</w:t>
            </w:r>
            <w:r>
              <w:rPr>
                <w:rFonts w:ascii="Times New Roman" w:hAnsi="Times New Roman" w:eastAsia="Times New Roman" w:cs="Times New Roman"/>
                <w:color w:val="000000"/>
              </w:rPr>
              <w:tab/>
            </w:r>
            <w:r>
              <w:rPr>
                <w:rFonts w:ascii="Times New Roman" w:hAnsi="Times New Roman" w:eastAsia="Times New Roman" w:cs="Times New Roman"/>
                <w:color w:val="000000"/>
              </w:rPr>
              <w:t>n.1,</w:t>
            </w:r>
            <w:r>
              <w:rPr>
                <w:rFonts w:ascii="Times New Roman" w:hAnsi="Times New Roman" w:eastAsia="Times New Roman" w:cs="Times New Roman"/>
                <w:color w:val="000000"/>
              </w:rPr>
              <w:tab/>
            </w:r>
            <w:r>
              <w:rPr>
                <w:rFonts w:ascii="Times New Roman" w:hAnsi="Times New Roman" w:eastAsia="Times New Roman" w:cs="Times New Roman"/>
                <w:color w:val="000000"/>
              </w:rPr>
              <w:t>2001,</w:t>
            </w:r>
            <w:r>
              <w:rPr>
                <w:rFonts w:ascii="Times New Roman" w:hAnsi="Times New Roman" w:eastAsia="Times New Roman" w:cs="Times New Roman"/>
                <w:color w:val="000000"/>
              </w:rPr>
              <w:tab/>
            </w:r>
            <w:r>
              <w:rPr>
                <w:rFonts w:ascii="Times New Roman" w:hAnsi="Times New Roman" w:eastAsia="Times New Roman" w:cs="Times New Roman"/>
                <w:color w:val="000000"/>
              </w:rPr>
              <w:t>pp.</w:t>
            </w:r>
            <w:r>
              <w:rPr>
                <w:rFonts w:ascii="Times New Roman" w:hAnsi="Times New Roman" w:eastAsia="Times New Roman" w:cs="Times New Roman"/>
                <w:color w:val="000000"/>
              </w:rPr>
              <w:tab/>
            </w:r>
            <w:r>
              <w:rPr>
                <w:rFonts w:ascii="Times New Roman" w:hAnsi="Times New Roman" w:eastAsia="Times New Roman" w:cs="Times New Roman"/>
                <w:color w:val="000000"/>
              </w:rPr>
              <w:t>171-209.</w:t>
            </w:r>
            <w:r>
              <w:rPr>
                <w:rFonts w:ascii="Times New Roman" w:hAnsi="Times New Roman" w:eastAsia="Times New Roman" w:cs="Times New Roman"/>
                <w:color w:val="000000"/>
              </w:rPr>
              <w:tab/>
            </w:r>
            <w:r>
              <w:rPr>
                <w:rFonts w:ascii="Times New Roman" w:hAnsi="Times New Roman" w:eastAsia="Times New Roman" w:cs="Times New Roman"/>
                <w:color w:val="000000"/>
              </w:rPr>
              <w:t>Disponível</w:t>
            </w:r>
            <w:r>
              <w:rPr>
                <w:rFonts w:ascii="Times New Roman" w:hAnsi="Times New Roman" w:eastAsia="Times New Roman" w:cs="Times New Roman"/>
                <w:color w:val="000000"/>
              </w:rPr>
              <w:tab/>
            </w:r>
            <w:r>
              <w:rPr>
                <w:rFonts w:ascii="Times New Roman" w:hAnsi="Times New Roman" w:eastAsia="Times New Roman" w:cs="Times New Roman"/>
                <w:color w:val="000000"/>
              </w:rPr>
              <w:t>em:</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&lt;</w:t>
            </w:r>
            <w:r>
              <w:fldChar w:fldCharType="begin"/>
            </w:r>
            <w:r>
              <w:instrText xml:space="preserve"> HYPERLINK "http://www.scielo.br/pdf/eaa/v23n1/a07v23n1.pdf" \h </w:instrText>
            </w:r>
            <w:r>
              <w:fldChar w:fldCharType="separate"/>
            </w:r>
            <w:r>
              <w:rPr>
                <w:rFonts w:ascii="Times New Roman" w:hAnsi="Times New Roman" w:eastAsia="Times New Roman" w:cs="Times New Roman"/>
                <w:color w:val="0000FF"/>
                <w:u w:val="single"/>
              </w:rPr>
              <w:t>http://www.scielo.br/pdf/eaa/v23n1/a07v23n1.pdf</w:t>
            </w:r>
            <w:r>
              <w:rPr>
                <w:rFonts w:ascii="Times New Roman" w:hAnsi="Times New Roman" w:eastAsia="Times New Roman" w:cs="Times New Roman"/>
                <w:color w:val="0000FF"/>
                <w:u w:val="single"/>
              </w:rPr>
              <w:fldChar w:fldCharType="end"/>
            </w:r>
            <w:r>
              <w:rPr>
                <w:rFonts w:ascii="Times New Roman" w:hAnsi="Times New Roman" w:eastAsia="Times New Roman" w:cs="Times New Roman"/>
                <w:color w:val="000000"/>
              </w:rPr>
              <w:t xml:space="preserve">&gt; Acesso em: 11 de set. 2017. BARBOSA, Muryatan Santana. </w:t>
            </w:r>
            <w:r>
              <w:rPr>
                <w:rFonts w:ascii="Times New Roman" w:hAnsi="Times New Roman" w:eastAsia="Times New Roman" w:cs="Times New Roman"/>
                <w:i/>
                <w:color w:val="000000"/>
              </w:rPr>
              <w:t>A África por ela mesma</w:t>
            </w:r>
            <w:r>
              <w:rPr>
                <w:rFonts w:ascii="Times New Roman" w:hAnsi="Times New Roman" w:eastAsia="Times New Roman" w:cs="Times New Roman"/>
                <w:color w:val="000000"/>
              </w:rPr>
              <w:t>: a perspectiva africana na História Geral da África (UNESCO), São Paulo, 2012.</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FARIAS, P. F. De Moraes. Afrocentrismo: entre uma contranarrativa histórica universalista e o realismo cultural. </w:t>
            </w:r>
            <w:r>
              <w:rPr>
                <w:rFonts w:ascii="Times New Roman" w:hAnsi="Times New Roman" w:eastAsia="Times New Roman" w:cs="Times New Roman"/>
                <w:i/>
                <w:color w:val="000000"/>
              </w:rPr>
              <w:t xml:space="preserve">Afro-Ásia. </w:t>
            </w:r>
            <w:r>
              <w:rPr>
                <w:rFonts w:ascii="Times New Roman" w:hAnsi="Times New Roman" w:eastAsia="Times New Roman" w:cs="Times New Roman"/>
                <w:color w:val="000000"/>
              </w:rPr>
              <w:t>Salvador, n.29/30, p. 317-343, 2003.</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FADE, J. D.A evolução da historiografia da África. </w:t>
            </w:r>
            <w:r>
              <w:rPr>
                <w:rFonts w:ascii="Times New Roman" w:hAnsi="Times New Roman" w:eastAsia="Times New Roman" w:cs="Times New Roman"/>
                <w:i/>
                <w:color w:val="000000"/>
              </w:rPr>
              <w:t>História Geral da África I</w:t>
            </w:r>
            <w:r>
              <w:rPr>
                <w:rFonts w:ascii="Times New Roman" w:hAnsi="Times New Roman" w:eastAsia="Times New Roman" w:cs="Times New Roman"/>
                <w:color w:val="000000"/>
              </w:rPr>
              <w:t>.Unesco,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2000.</w:t>
            </w:r>
          </w:p>
        </w:tc>
      </w:tr>
      <w:tr>
        <w:tblPrEx>
          <w:tblCellMar>
            <w:top w:w="0" w:type="dxa"/>
            <w:left w:w="22" w:type="dxa"/>
            <w:bottom w:w="0" w:type="dxa"/>
            <w:right w:w="5" w:type="dxa"/>
          </w:tblCellMar>
        </w:tblPrEx>
        <w:trPr>
          <w:trHeight w:val="1824" w:hRule="atLeast"/>
        </w:trPr>
        <w:tc>
          <w:tcPr>
            <w:tcW w:w="9021" w:type="dxa"/>
            <w:gridSpan w:val="4"/>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2"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APPIAH, Kuame Anthony. </w:t>
            </w:r>
            <w:r>
              <w:rPr>
                <w:rFonts w:ascii="Times New Roman" w:hAnsi="Times New Roman" w:eastAsia="Times New Roman" w:cs="Times New Roman"/>
                <w:i/>
                <w:color w:val="000000"/>
              </w:rPr>
              <w:t>Na casa de meu pai</w:t>
            </w:r>
            <w:r>
              <w:rPr>
                <w:rFonts w:ascii="Times New Roman" w:hAnsi="Times New Roman" w:eastAsia="Times New Roman" w:cs="Times New Roman"/>
                <w:color w:val="000000"/>
              </w:rPr>
              <w:t>: a África na filosofia da cultura. Rio de Janeiro: Contraponto,1997.</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GILROY, P. Uma história para não se passar adiante. A memória viva e o sublime escravo.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i/>
                <w:color w:val="000000"/>
              </w:rPr>
              <w:t>Atlântico Negro</w:t>
            </w:r>
            <w:r>
              <w:rPr>
                <w:rFonts w:ascii="Times New Roman" w:hAnsi="Times New Roman" w:eastAsia="Times New Roman" w:cs="Times New Roman"/>
                <w:color w:val="000000"/>
              </w:rPr>
              <w:t>. SP: Ed 34, 2008.</w:t>
            </w:r>
          </w:p>
          <w:p>
            <w:pPr>
              <w:widowControl w:val="0"/>
              <w:pBdr>
                <w:top w:val="none" w:color="auto" w:sz="0" w:space="0"/>
                <w:left w:val="none" w:color="auto" w:sz="0" w:space="0"/>
                <w:bottom w:val="none" w:color="auto" w:sz="0" w:space="0"/>
                <w:right w:val="none" w:color="auto" w:sz="0" w:space="0"/>
                <w:between w:val="none" w:color="auto" w:sz="0" w:space="0"/>
              </w:pBdr>
              <w:spacing w:before="140"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SILVA, A. C. Expansão Banta. </w:t>
            </w:r>
            <w:r>
              <w:rPr>
                <w:rFonts w:ascii="Times New Roman" w:hAnsi="Times New Roman" w:eastAsia="Times New Roman" w:cs="Times New Roman"/>
                <w:i/>
                <w:color w:val="000000"/>
              </w:rPr>
              <w:t>Enxada e a Lança</w:t>
            </w:r>
            <w:r>
              <w:rPr>
                <w:rFonts w:ascii="Times New Roman" w:hAnsi="Times New Roman" w:eastAsia="Times New Roman" w:cs="Times New Roman"/>
                <w:color w:val="000000"/>
              </w:rPr>
              <w:t xml:space="preserve">. RJ: Nova Fronteira, 2006. MBOKOLO, E. A África do Norte. </w:t>
            </w:r>
            <w:r>
              <w:rPr>
                <w:rFonts w:ascii="Times New Roman" w:hAnsi="Times New Roman" w:eastAsia="Times New Roman" w:cs="Times New Roman"/>
                <w:i/>
                <w:color w:val="000000"/>
              </w:rPr>
              <w:t>África Negra. História e Civilizações</w:t>
            </w:r>
            <w:r>
              <w:rPr>
                <w:rFonts w:ascii="Times New Roman" w:hAnsi="Times New Roman" w:eastAsia="Times New Roman" w:cs="Times New Roman"/>
                <w:color w:val="000000"/>
              </w:rPr>
              <w:t>. Salvador: UFBA, 2009.</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DEVIVISSE, J</w:t>
            </w:r>
            <w:r>
              <w:rPr>
                <w:rFonts w:ascii="Times New Roman" w:hAnsi="Times New Roman" w:eastAsia="Times New Roman" w:cs="Times New Roman"/>
                <w:i/>
                <w:color w:val="000000"/>
              </w:rPr>
              <w:t xml:space="preserve">. </w:t>
            </w:r>
            <w:r>
              <w:rPr>
                <w:rFonts w:ascii="Times New Roman" w:hAnsi="Times New Roman" w:eastAsia="Times New Roman" w:cs="Times New Roman"/>
                <w:color w:val="000000"/>
              </w:rPr>
              <w:t xml:space="preserve">A África nas relações intercontinentais. </w:t>
            </w:r>
            <w:r>
              <w:rPr>
                <w:rFonts w:ascii="Times New Roman" w:hAnsi="Times New Roman" w:eastAsia="Times New Roman" w:cs="Times New Roman"/>
                <w:i/>
                <w:color w:val="000000"/>
              </w:rPr>
              <w:t>História Geral da África IV.</w:t>
            </w:r>
          </w:p>
          <w:p>
            <w:pPr>
              <w:widowControl w:val="0"/>
              <w:pBdr>
                <w:top w:val="none" w:color="auto" w:sz="0" w:space="0"/>
                <w:left w:val="none" w:color="auto" w:sz="0" w:space="0"/>
                <w:bottom w:val="none" w:color="auto" w:sz="0" w:space="0"/>
                <w:right w:val="none" w:color="auto" w:sz="0" w:space="0"/>
                <w:between w:val="none" w:color="auto" w:sz="0" w:space="0"/>
              </w:pBdr>
              <w:spacing w:before="142"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Unesco, 2000.</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SAID, E. </w:t>
            </w:r>
            <w:r>
              <w:rPr>
                <w:rFonts w:ascii="Times New Roman" w:hAnsi="Times New Roman" w:eastAsia="Times New Roman" w:cs="Times New Roman"/>
                <w:i/>
                <w:color w:val="000000"/>
              </w:rPr>
              <w:t>Cultura e Imperialismo</w:t>
            </w:r>
            <w:r>
              <w:rPr>
                <w:rFonts w:ascii="Times New Roman" w:hAnsi="Times New Roman" w:eastAsia="Times New Roman" w:cs="Times New Roman"/>
                <w:color w:val="000000"/>
              </w:rPr>
              <w:t>. SP: Cia das Letras, 1995.</w:t>
            </w:r>
          </w:p>
        </w:tc>
      </w:tr>
    </w:tbl>
    <w:p>
      <w:pPr>
        <w:spacing w:before="90"/>
        <w:ind w:left="0" w:hanging="2"/>
        <w:rPr>
          <w:rFonts w:ascii="Times New Roman" w:hAnsi="Times New Roman" w:eastAsia="Times New Roman" w:cs="Times New Roman"/>
        </w:rPr>
      </w:pPr>
    </w:p>
    <w:p>
      <w:pPr>
        <w:spacing w:before="90"/>
        <w:ind w:left="0" w:hanging="2"/>
        <w:rPr>
          <w:rFonts w:ascii="Times New Roman" w:hAnsi="Times New Roman" w:cs="Times New Roman"/>
        </w:rPr>
      </w:pPr>
      <w:r>
        <w:rPr>
          <w:rFonts w:ascii="Times New Roman" w:hAnsi="Times New Roman" w:eastAsia="Times New Roman" w:cs="Times New Roman"/>
          <w:b/>
        </w:rPr>
        <w:t>3° Período</w:t>
      </w:r>
    </w:p>
    <w:p>
      <w:pPr>
        <w:spacing w:before="90"/>
        <w:ind w:left="0" w:hanging="2"/>
        <w:rPr>
          <w:rFonts w:ascii="Times New Roman" w:hAnsi="Times New Roman" w:eastAsia="Times New Roman" w:cs="Times New Roman"/>
        </w:rPr>
      </w:pPr>
    </w:p>
    <w:tbl>
      <w:tblPr>
        <w:tblStyle w:val="491"/>
        <w:tblW w:w="9021" w:type="dxa"/>
        <w:tblInd w:w="2" w:type="dxa"/>
        <w:tblLayout w:type="fixed"/>
        <w:tblCellMar>
          <w:top w:w="0" w:type="dxa"/>
          <w:left w:w="22" w:type="dxa"/>
          <w:bottom w:w="0" w:type="dxa"/>
          <w:right w:w="5" w:type="dxa"/>
        </w:tblCellMar>
      </w:tblPr>
      <w:tblGrid>
        <w:gridCol w:w="2932"/>
        <w:gridCol w:w="3408"/>
        <w:gridCol w:w="17"/>
        <w:gridCol w:w="2664"/>
      </w:tblGrid>
      <w:tr>
        <w:tblPrEx>
          <w:tblCellMar>
            <w:top w:w="0" w:type="dxa"/>
            <w:left w:w="22" w:type="dxa"/>
            <w:bottom w:w="0" w:type="dxa"/>
            <w:right w:w="5" w:type="dxa"/>
          </w:tblCellMar>
        </w:tblPrEx>
        <w:trPr>
          <w:trHeight w:val="1242" w:hRule="atLeast"/>
        </w:trPr>
        <w:tc>
          <w:tcPr>
            <w:tcW w:w="6340"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Disciplina: Estudos Históricos sobre Educação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before="9"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Historical Studies on Education</w:t>
            </w:r>
          </w:p>
        </w:tc>
        <w:tc>
          <w:tcPr>
            <w:tcW w:w="2681" w:type="dxa"/>
            <w:gridSpan w:val="2"/>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EDU252</w:t>
            </w:r>
          </w:p>
        </w:tc>
      </w:tr>
      <w:tr>
        <w:tblPrEx>
          <w:tblCellMar>
            <w:top w:w="0" w:type="dxa"/>
            <w:left w:w="22" w:type="dxa"/>
            <w:bottom w:w="0" w:type="dxa"/>
            <w:right w:w="5" w:type="dxa"/>
          </w:tblCellMar>
        </w:tblPrEx>
        <w:trPr>
          <w:trHeight w:val="642" w:hRule="atLeast"/>
        </w:trPr>
        <w:tc>
          <w:tcPr>
            <w:tcW w:w="6340"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Departamento de Educação – DEEDU</w:t>
            </w:r>
          </w:p>
        </w:tc>
        <w:tc>
          <w:tcPr>
            <w:tcW w:w="2681" w:type="dxa"/>
            <w:gridSpan w:val="2"/>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5" w:type="dxa"/>
          </w:tblCellMar>
        </w:tblPrEx>
        <w:trPr>
          <w:trHeight w:val="1243" w:hRule="atLeast"/>
        </w:trPr>
        <w:tc>
          <w:tcPr>
            <w:tcW w:w="2932"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3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531"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60h</w:t>
            </w:r>
          </w:p>
        </w:tc>
        <w:tc>
          <w:tcPr>
            <w:tcW w:w="3425" w:type="dxa"/>
            <w:gridSpan w:val="2"/>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04h/a</w:t>
            </w:r>
          </w:p>
        </w:tc>
        <w:tc>
          <w:tcPr>
            <w:tcW w:w="2664"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Carga horária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00h/a</w:t>
            </w:r>
          </w:p>
        </w:tc>
      </w:tr>
      <w:tr>
        <w:tblPrEx>
          <w:tblCellMar>
            <w:top w:w="0" w:type="dxa"/>
            <w:left w:w="22" w:type="dxa"/>
            <w:bottom w:w="0" w:type="dxa"/>
            <w:right w:w="5" w:type="dxa"/>
          </w:tblCellMar>
        </w:tblPrEx>
        <w:trPr>
          <w:trHeight w:val="2068" w:hRule="atLeast"/>
        </w:trPr>
        <w:tc>
          <w:tcPr>
            <w:tcW w:w="9021" w:type="dxa"/>
            <w:gridSpan w:val="4"/>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Ementa:</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right="67"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Constituição da história da educação enquanto disciplina escolar e campo de conhecimento, abordando as tendências de pesquisa. História da Educação no Brasil, com ênfase no processo de escolarização a partir do século XIX, destacando as relações</w:t>
            </w:r>
          </w:p>
          <w:p>
            <w:pPr>
              <w:widowControl w:val="0"/>
              <w:pBdr>
                <w:top w:val="none" w:color="auto" w:sz="0" w:space="0"/>
                <w:left w:val="none" w:color="auto" w:sz="0" w:space="0"/>
                <w:bottom w:val="none" w:color="auto" w:sz="0" w:space="0"/>
                <w:right w:val="none" w:color="auto" w:sz="0" w:space="0"/>
                <w:between w:val="none" w:color="auto" w:sz="0" w:space="0"/>
              </w:pBdr>
              <w:spacing w:before="1"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entre os sujeitos, os saberes e as instituições presentes nesse processo.</w:t>
            </w:r>
          </w:p>
        </w:tc>
      </w:tr>
      <w:tr>
        <w:tblPrEx>
          <w:tblCellMar>
            <w:top w:w="0" w:type="dxa"/>
            <w:left w:w="22" w:type="dxa"/>
            <w:bottom w:w="0" w:type="dxa"/>
            <w:right w:w="5" w:type="dxa"/>
          </w:tblCellMar>
        </w:tblPrEx>
        <w:trPr>
          <w:trHeight w:val="2486" w:hRule="atLeast"/>
        </w:trPr>
        <w:tc>
          <w:tcPr>
            <w:tcW w:w="9021" w:type="dxa"/>
            <w:gridSpan w:val="4"/>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numPr>
                <w:ilvl w:val="0"/>
                <w:numId w:val="16"/>
              </w:numPr>
              <w:pBdr>
                <w:top w:val="none" w:color="auto" w:sz="0" w:space="0"/>
                <w:left w:val="none" w:color="auto" w:sz="0" w:space="0"/>
                <w:bottom w:val="none" w:color="auto" w:sz="0" w:space="0"/>
                <w:right w:val="none" w:color="auto" w:sz="0" w:space="0"/>
                <w:between w:val="none" w:color="auto" w:sz="0" w:space="0"/>
              </w:pBdr>
              <w:tabs>
                <w:tab w:val="left" w:pos="0"/>
                <w:tab w:val="left" w:pos="357"/>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Educação e cultura na América Portuguesa.</w:t>
            </w:r>
          </w:p>
          <w:p>
            <w:pPr>
              <w:widowControl w:val="0"/>
              <w:numPr>
                <w:ilvl w:val="0"/>
                <w:numId w:val="16"/>
              </w:numPr>
              <w:pBdr>
                <w:top w:val="none" w:color="auto" w:sz="0" w:space="0"/>
                <w:left w:val="none" w:color="auto" w:sz="0" w:space="0"/>
                <w:bottom w:val="none" w:color="auto" w:sz="0" w:space="0"/>
                <w:right w:val="none" w:color="auto" w:sz="0" w:space="0"/>
                <w:between w:val="none" w:color="auto" w:sz="0" w:space="0"/>
              </w:pBdr>
              <w:tabs>
                <w:tab w:val="left" w:pos="0"/>
                <w:tab w:val="left" w:pos="357"/>
              </w:tabs>
              <w:spacing w:before="142"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O processo de escolarização no Brasil durante o século XIX.</w:t>
            </w:r>
          </w:p>
          <w:p>
            <w:pPr>
              <w:widowControl w:val="0"/>
              <w:numPr>
                <w:ilvl w:val="0"/>
                <w:numId w:val="16"/>
              </w:numPr>
              <w:pBdr>
                <w:top w:val="none" w:color="auto" w:sz="0" w:space="0"/>
                <w:left w:val="none" w:color="auto" w:sz="0" w:space="0"/>
                <w:bottom w:val="none" w:color="auto" w:sz="0" w:space="0"/>
                <w:right w:val="none" w:color="auto" w:sz="0" w:space="0"/>
                <w:between w:val="none" w:color="auto" w:sz="0" w:space="0"/>
              </w:pBdr>
              <w:tabs>
                <w:tab w:val="left" w:pos="0"/>
                <w:tab w:val="left" w:pos="357"/>
              </w:tabs>
              <w:spacing w:before="136"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 escola moderna dos republicanos.</w:t>
            </w:r>
          </w:p>
          <w:p>
            <w:pPr>
              <w:widowControl w:val="0"/>
              <w:numPr>
                <w:ilvl w:val="0"/>
                <w:numId w:val="16"/>
              </w:numPr>
              <w:pBdr>
                <w:top w:val="none" w:color="auto" w:sz="0" w:space="0"/>
                <w:left w:val="none" w:color="auto" w:sz="0" w:space="0"/>
                <w:bottom w:val="none" w:color="auto" w:sz="0" w:space="0"/>
                <w:right w:val="none" w:color="auto" w:sz="0" w:space="0"/>
                <w:between w:val="none" w:color="auto" w:sz="0" w:space="0"/>
              </w:pBdr>
              <w:tabs>
                <w:tab w:val="left" w:pos="0"/>
                <w:tab w:val="left" w:pos="357"/>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 Escola Nova.</w:t>
            </w:r>
          </w:p>
          <w:p>
            <w:pPr>
              <w:widowControl w:val="0"/>
              <w:numPr>
                <w:ilvl w:val="0"/>
                <w:numId w:val="16"/>
              </w:numPr>
              <w:pBdr>
                <w:top w:val="none" w:color="auto" w:sz="0" w:space="0"/>
                <w:left w:val="none" w:color="auto" w:sz="0" w:space="0"/>
                <w:bottom w:val="none" w:color="auto" w:sz="0" w:space="0"/>
                <w:right w:val="none" w:color="auto" w:sz="0" w:space="0"/>
                <w:between w:val="none" w:color="auto" w:sz="0" w:space="0"/>
              </w:pBdr>
              <w:tabs>
                <w:tab w:val="left" w:pos="0"/>
                <w:tab w:val="left" w:pos="357"/>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 educação na ditadura civil-militar.</w:t>
            </w:r>
          </w:p>
        </w:tc>
      </w:tr>
      <w:tr>
        <w:tblPrEx>
          <w:tblCellMar>
            <w:top w:w="0" w:type="dxa"/>
            <w:left w:w="22" w:type="dxa"/>
            <w:bottom w:w="0" w:type="dxa"/>
            <w:right w:w="5" w:type="dxa"/>
          </w:tblCellMar>
        </w:tblPrEx>
        <w:trPr>
          <w:trHeight w:val="3135" w:hRule="atLeast"/>
        </w:trPr>
        <w:tc>
          <w:tcPr>
            <w:tcW w:w="9021" w:type="dxa"/>
            <w:gridSpan w:val="4"/>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HILSDORF, Maria Lucia Spedo. </w:t>
            </w:r>
            <w:r>
              <w:rPr>
                <w:rFonts w:ascii="Times New Roman" w:hAnsi="Times New Roman" w:eastAsia="Times New Roman" w:cs="Times New Roman"/>
                <w:b/>
                <w:color w:val="000000"/>
              </w:rPr>
              <w:t>História da educação brasileira</w:t>
            </w:r>
            <w:r>
              <w:rPr>
                <w:rFonts w:ascii="Times New Roman" w:hAnsi="Times New Roman" w:eastAsia="Times New Roman" w:cs="Times New Roman"/>
                <w:color w:val="000000"/>
              </w:rPr>
              <w:t>: leituras. São Paulo: Pioneira Thomson Learning, 2003.</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LOPES, E. M. T.; FARIA FILHO, L. M. </w:t>
            </w:r>
            <w:r>
              <w:rPr>
                <w:rFonts w:ascii="Times New Roman" w:hAnsi="Times New Roman" w:eastAsia="Times New Roman" w:cs="Times New Roman"/>
                <w:b/>
                <w:color w:val="000000"/>
              </w:rPr>
              <w:t>500 anos de educação no Brasil</w:t>
            </w:r>
            <w:r>
              <w:rPr>
                <w:rFonts w:ascii="Times New Roman" w:hAnsi="Times New Roman" w:eastAsia="Times New Roman" w:cs="Times New Roman"/>
                <w:color w:val="000000"/>
              </w:rPr>
              <w:t>. 3ª. ed. Belo Horizonte: Autêntica, 2003.</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STHEPHANOU, Maria; BASTOS, Maria Helena Câmara (Orgs.). </w:t>
            </w:r>
            <w:r>
              <w:rPr>
                <w:rFonts w:ascii="Times New Roman" w:hAnsi="Times New Roman" w:eastAsia="Times New Roman" w:cs="Times New Roman"/>
                <w:b/>
                <w:color w:val="000000"/>
              </w:rPr>
              <w:t>Histórias e</w:t>
            </w:r>
          </w:p>
          <w:p>
            <w:pPr>
              <w:widowControl w:val="0"/>
              <w:pBdr>
                <w:top w:val="none" w:color="auto" w:sz="0" w:space="0"/>
                <w:left w:val="none" w:color="auto" w:sz="0" w:space="0"/>
                <w:bottom w:val="none" w:color="auto" w:sz="0" w:space="0"/>
                <w:right w:val="none" w:color="auto" w:sz="0" w:space="0"/>
                <w:between w:val="none" w:color="auto" w:sz="0" w:space="0"/>
              </w:pBdr>
              <w:spacing w:before="134"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b/>
                <w:color w:val="000000"/>
              </w:rPr>
              <w:t>memórias da educação no Brasil</w:t>
            </w:r>
            <w:r>
              <w:rPr>
                <w:rFonts w:ascii="Times New Roman" w:hAnsi="Times New Roman" w:eastAsia="Times New Roman" w:cs="Times New Roman"/>
                <w:color w:val="000000"/>
              </w:rPr>
              <w:t>. 2. ed. Petrópolis, RJ: Vozes, 2005. 3 v.</w:t>
            </w:r>
          </w:p>
        </w:tc>
      </w:tr>
      <w:tr>
        <w:tblPrEx>
          <w:tblCellMar>
            <w:top w:w="0" w:type="dxa"/>
            <w:left w:w="22" w:type="dxa"/>
            <w:bottom w:w="0" w:type="dxa"/>
            <w:right w:w="5" w:type="dxa"/>
          </w:tblCellMar>
        </w:tblPrEx>
        <w:trPr>
          <w:trHeight w:val="1483" w:hRule="atLeast"/>
        </w:trPr>
        <w:tc>
          <w:tcPr>
            <w:tcW w:w="9021" w:type="dxa"/>
            <w:gridSpan w:val="4"/>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CAMBI, Franco. </w:t>
            </w:r>
            <w:r>
              <w:rPr>
                <w:rFonts w:ascii="Times New Roman" w:hAnsi="Times New Roman" w:eastAsia="Times New Roman" w:cs="Times New Roman"/>
                <w:b/>
                <w:color w:val="000000"/>
              </w:rPr>
              <w:t>História da pedagogia</w:t>
            </w:r>
            <w:r>
              <w:rPr>
                <w:rFonts w:ascii="Times New Roman" w:hAnsi="Times New Roman" w:eastAsia="Times New Roman" w:cs="Times New Roman"/>
                <w:color w:val="000000"/>
              </w:rPr>
              <w:t>. São Paulo: Unesp, 2001.</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FARIA FILHO, Luciano Mendes de (Org.). </w:t>
            </w:r>
            <w:r>
              <w:rPr>
                <w:rFonts w:ascii="Times New Roman" w:hAnsi="Times New Roman" w:eastAsia="Times New Roman" w:cs="Times New Roman"/>
                <w:b/>
                <w:color w:val="000000"/>
              </w:rPr>
              <w:t>A infância e sua educação</w:t>
            </w:r>
            <w:r>
              <w:rPr>
                <w:rFonts w:ascii="Times New Roman" w:hAnsi="Times New Roman" w:eastAsia="Times New Roman" w:cs="Times New Roman"/>
                <w:color w:val="000000"/>
              </w:rPr>
              <w:t xml:space="preserve">: materiais, práticas e representações (Portugal e Brasil). Belo Horizonte: Autêntica, 2004. GAULTIER, Clermont; TARDIF, Maurice (Orgs.). </w:t>
            </w:r>
            <w:r>
              <w:rPr>
                <w:rFonts w:ascii="Times New Roman" w:hAnsi="Times New Roman" w:eastAsia="Times New Roman" w:cs="Times New Roman"/>
                <w:b/>
                <w:color w:val="000000"/>
              </w:rPr>
              <w:t>A pedagogia</w:t>
            </w:r>
            <w:r>
              <w:rPr>
                <w:rFonts w:ascii="Times New Roman" w:hAnsi="Times New Roman" w:eastAsia="Times New Roman" w:cs="Times New Roman"/>
                <w:color w:val="000000"/>
              </w:rPr>
              <w:t>: teorias e práticas da Antiguidade aos nossos dias. Petrópolis, RJ: Vozes, 2010.</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SAVIANI, Dermeval. </w:t>
            </w:r>
            <w:r>
              <w:rPr>
                <w:rFonts w:ascii="Times New Roman" w:hAnsi="Times New Roman" w:eastAsia="Times New Roman" w:cs="Times New Roman"/>
                <w:b/>
                <w:color w:val="000000"/>
              </w:rPr>
              <w:t>História das ideias pedagógicas no Brasil</w:t>
            </w:r>
            <w:r>
              <w:rPr>
                <w:rFonts w:ascii="Times New Roman" w:hAnsi="Times New Roman" w:eastAsia="Times New Roman" w:cs="Times New Roman"/>
                <w:color w:val="000000"/>
              </w:rPr>
              <w:t>. Campinas, SP: Autores Associados, 2007.</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VEIGA, Cynthia Greive. </w:t>
            </w:r>
            <w:r>
              <w:rPr>
                <w:rFonts w:ascii="Times New Roman" w:hAnsi="Times New Roman" w:eastAsia="Times New Roman" w:cs="Times New Roman"/>
                <w:b/>
                <w:color w:val="000000"/>
              </w:rPr>
              <w:t>História da educação</w:t>
            </w:r>
            <w:r>
              <w:rPr>
                <w:rFonts w:ascii="Times New Roman" w:hAnsi="Times New Roman" w:eastAsia="Times New Roman" w:cs="Times New Roman"/>
                <w:color w:val="000000"/>
              </w:rPr>
              <w:t>. São Paulo: Ática, 2007.</w:t>
            </w:r>
          </w:p>
        </w:tc>
      </w:tr>
    </w:tbl>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ind w:left="0" w:hanging="2"/>
        <w:rPr>
          <w:rFonts w:ascii="Times New Roman" w:hAnsi="Times New Roman" w:eastAsia="Times New Roman" w:cs="Times New Roman"/>
        </w:rPr>
      </w:pPr>
    </w:p>
    <w:tbl>
      <w:tblPr>
        <w:tblStyle w:val="492"/>
        <w:tblW w:w="9021" w:type="dxa"/>
        <w:tblInd w:w="2" w:type="dxa"/>
        <w:tblLayout w:type="fixed"/>
        <w:tblCellMar>
          <w:top w:w="0" w:type="dxa"/>
          <w:left w:w="22" w:type="dxa"/>
          <w:bottom w:w="0" w:type="dxa"/>
          <w:right w:w="5" w:type="dxa"/>
        </w:tblCellMar>
      </w:tblPr>
      <w:tblGrid>
        <w:gridCol w:w="3132"/>
        <w:gridCol w:w="3225"/>
        <w:gridCol w:w="2664"/>
      </w:tblGrid>
      <w:tr>
        <w:tblPrEx>
          <w:tblCellMar>
            <w:top w:w="0" w:type="dxa"/>
            <w:left w:w="22" w:type="dxa"/>
            <w:bottom w:w="0" w:type="dxa"/>
            <w:right w:w="5" w:type="dxa"/>
          </w:tblCellMar>
        </w:tblPrEx>
        <w:trPr>
          <w:trHeight w:val="1655" w:hRule="atLeast"/>
        </w:trPr>
        <w:tc>
          <w:tcPr>
            <w:tcW w:w="6357"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912"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História Antiga</w:t>
            </w:r>
          </w:p>
          <w:p>
            <w:pPr>
              <w:widowControl w:val="0"/>
              <w:pBdr>
                <w:top w:val="none" w:color="auto" w:sz="0" w:space="0"/>
                <w:left w:val="none" w:color="auto" w:sz="0" w:space="0"/>
                <w:bottom w:val="none" w:color="auto" w:sz="0" w:space="0"/>
                <w:right w:val="none" w:color="auto" w:sz="0" w:space="0"/>
                <w:between w:val="none" w:color="auto" w:sz="0" w:space="0"/>
              </w:pBdr>
              <w:spacing w:before="2"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30" w:lineRule="auto"/>
              <w:ind w:left="0" w:right="912"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Ancient History</w:t>
            </w:r>
          </w:p>
        </w:tc>
        <w:tc>
          <w:tcPr>
            <w:tcW w:w="2664"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HIS071</w:t>
            </w:r>
          </w:p>
        </w:tc>
      </w:tr>
      <w:tr>
        <w:tblPrEx>
          <w:tblCellMar>
            <w:top w:w="0" w:type="dxa"/>
            <w:left w:w="22" w:type="dxa"/>
            <w:bottom w:w="0" w:type="dxa"/>
            <w:right w:w="5" w:type="dxa"/>
          </w:tblCellMar>
        </w:tblPrEx>
        <w:trPr>
          <w:trHeight w:val="830" w:hRule="atLeast"/>
        </w:trPr>
        <w:tc>
          <w:tcPr>
            <w:tcW w:w="6357"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2518"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 História - DEHIS</w:t>
            </w:r>
          </w:p>
        </w:tc>
        <w:tc>
          <w:tcPr>
            <w:tcW w:w="2664"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5" w:type="dxa"/>
          </w:tblCellMar>
        </w:tblPrEx>
        <w:trPr>
          <w:trHeight w:val="825" w:hRule="atLeast"/>
        </w:trPr>
        <w:tc>
          <w:tcPr>
            <w:tcW w:w="3132"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30" w:lineRule="auto"/>
              <w:ind w:left="0" w:right="143"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Carga horária semestral </w:t>
            </w:r>
          </w:p>
          <w:p>
            <w:pPr>
              <w:widowControl w:val="0"/>
              <w:pBdr>
                <w:top w:val="none" w:color="auto" w:sz="0" w:space="0"/>
                <w:left w:val="none" w:color="auto" w:sz="0" w:space="0"/>
                <w:bottom w:val="none" w:color="auto" w:sz="0" w:space="0"/>
                <w:right w:val="none" w:color="auto" w:sz="0" w:space="0"/>
                <w:between w:val="none" w:color="auto" w:sz="0" w:space="0"/>
              </w:pBdr>
              <w:spacing w:line="230" w:lineRule="auto"/>
              <w:ind w:left="0" w:right="143" w:hanging="2"/>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3225"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3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2664"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30" w:lineRule="auto"/>
              <w:ind w:left="0" w:right="326"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326"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02 horas/aula</w:t>
            </w:r>
          </w:p>
        </w:tc>
      </w:tr>
      <w:tr>
        <w:tblPrEx>
          <w:tblCellMar>
            <w:top w:w="0" w:type="dxa"/>
            <w:left w:w="22" w:type="dxa"/>
            <w:bottom w:w="0" w:type="dxa"/>
            <w:right w:w="5" w:type="dxa"/>
          </w:tblCellMar>
        </w:tblPrEx>
        <w:trPr>
          <w:trHeight w:val="1448"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Ementa: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rPr>
              <w:t>Pré-história. Quadro cronológico e características fundamentais. 2. Egito e Mesopotâmia. Discussão do conceito de modo de produção asiático. 3. Grécia. A polis; imperialismo; escravidão; democracia e helenismo. 4. Roma. Estruturas republicanas; imperialismo; escravidão; a organização do império romano. 5. As transformações do mundo mediterrâneo nos séc. III a V d.C.</w:t>
            </w:r>
          </w:p>
        </w:tc>
      </w:tr>
      <w:tr>
        <w:tblPrEx>
          <w:tblCellMar>
            <w:top w:w="0" w:type="dxa"/>
            <w:left w:w="22" w:type="dxa"/>
            <w:bottom w:w="0" w:type="dxa"/>
            <w:right w:w="5" w:type="dxa"/>
          </w:tblCellMar>
        </w:tblPrEx>
        <w:trPr>
          <w:trHeight w:val="1447"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31"/>
                <w:tab w:val="left" w:pos="832"/>
              </w:tabs>
              <w:spacing w:line="240" w:lineRule="auto"/>
              <w:ind w:left="0" w:hanging="2"/>
              <w:rPr>
                <w:rFonts w:ascii="Times New Roman" w:hAnsi="Times New Roman" w:eastAsia="Times New Roman" w:cs="Times New Roman"/>
              </w:rPr>
            </w:pPr>
            <w:r>
              <w:rPr>
                <w:rFonts w:ascii="Times New Roman" w:hAnsi="Times New Roman" w:eastAsia="Times New Roman" w:cs="Times New Roman"/>
              </w:rPr>
              <w:t>1) História Antiga, a tradição clássica e o trabalho com a documentação;</w:t>
            </w: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31"/>
                <w:tab w:val="left" w:pos="832"/>
              </w:tabs>
              <w:spacing w:line="240" w:lineRule="auto"/>
              <w:ind w:left="0" w:hanging="2"/>
              <w:rPr>
                <w:rFonts w:ascii="Times New Roman" w:hAnsi="Times New Roman" w:eastAsia="Times New Roman" w:cs="Times New Roman"/>
              </w:rPr>
            </w:pPr>
            <w:r>
              <w:rPr>
                <w:rFonts w:ascii="Times New Roman" w:hAnsi="Times New Roman" w:eastAsia="Times New Roman" w:cs="Times New Roman"/>
              </w:rPr>
              <w:t>2) A cidade antiga como problema historiográfico;</w:t>
            </w: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31"/>
                <w:tab w:val="left" w:pos="832"/>
              </w:tabs>
              <w:spacing w:line="240" w:lineRule="auto"/>
              <w:ind w:left="0" w:hanging="2"/>
              <w:rPr>
                <w:rFonts w:ascii="Times New Roman" w:hAnsi="Times New Roman" w:eastAsia="Times New Roman" w:cs="Times New Roman"/>
              </w:rPr>
            </w:pPr>
            <w:r>
              <w:rPr>
                <w:rFonts w:ascii="Times New Roman" w:hAnsi="Times New Roman" w:eastAsia="Times New Roman" w:cs="Times New Roman"/>
              </w:rPr>
              <w:t>3) O período arcaico grego e a formação das póleis;</w:t>
            </w: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31"/>
                <w:tab w:val="left" w:pos="832"/>
              </w:tabs>
              <w:spacing w:line="240" w:lineRule="auto"/>
              <w:ind w:left="0" w:hanging="2"/>
              <w:rPr>
                <w:rFonts w:ascii="Times New Roman" w:hAnsi="Times New Roman" w:eastAsia="Times New Roman" w:cs="Times New Roman"/>
              </w:rPr>
            </w:pPr>
            <w:r>
              <w:rPr>
                <w:rFonts w:ascii="Times New Roman" w:hAnsi="Times New Roman" w:eastAsia="Times New Roman" w:cs="Times New Roman"/>
              </w:rPr>
              <w:t>4) A pólis no período clássico: Atenas e Esparta;</w:t>
            </w: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31"/>
                <w:tab w:val="left" w:pos="832"/>
              </w:tabs>
              <w:spacing w:line="240" w:lineRule="auto"/>
              <w:ind w:left="0" w:hanging="2"/>
              <w:rPr>
                <w:rFonts w:ascii="Times New Roman" w:hAnsi="Times New Roman" w:eastAsia="Times New Roman" w:cs="Times New Roman"/>
              </w:rPr>
            </w:pPr>
            <w:r>
              <w:rPr>
                <w:rFonts w:ascii="Times New Roman" w:hAnsi="Times New Roman" w:eastAsia="Times New Roman" w:cs="Times New Roman"/>
              </w:rPr>
              <w:t>5) Roma: entre cidade-Estado e Império.</w:t>
            </w: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31"/>
                <w:tab w:val="left" w:pos="832"/>
              </w:tabs>
              <w:spacing w:line="240" w:lineRule="auto"/>
              <w:ind w:left="0" w:hanging="2"/>
              <w:rPr>
                <w:rFonts w:ascii="Times New Roman" w:hAnsi="Times New Roman" w:eastAsia="Times New Roman" w:cs="Times New Roman"/>
              </w:rPr>
            </w:pP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31"/>
                <w:tab w:val="left" w:pos="832"/>
              </w:tabs>
              <w:spacing w:line="240" w:lineRule="auto"/>
              <w:ind w:left="0" w:hanging="2"/>
              <w:rPr>
                <w:rFonts w:ascii="Times New Roman" w:hAnsi="Times New Roman" w:eastAsia="Times New Roman" w:cs="Times New Roman"/>
              </w:rPr>
            </w:pPr>
          </w:p>
        </w:tc>
      </w:tr>
      <w:tr>
        <w:tblPrEx>
          <w:tblCellMar>
            <w:top w:w="0" w:type="dxa"/>
            <w:left w:w="22" w:type="dxa"/>
            <w:bottom w:w="0" w:type="dxa"/>
            <w:right w:w="5" w:type="dxa"/>
          </w:tblCellMar>
        </w:tblPrEx>
        <w:trPr>
          <w:trHeight w:val="4275" w:hRule="atLeast"/>
        </w:trPr>
        <w:tc>
          <w:tcPr>
            <w:tcW w:w="9021" w:type="dxa"/>
            <w:gridSpan w:val="3"/>
            <w:tcBorders>
              <w:top w:val="single" w:color="000000" w:sz="4"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ALFÖLDY, G. </w:t>
            </w:r>
            <w:r>
              <w:rPr>
                <w:rFonts w:ascii="Times New Roman" w:hAnsi="Times New Roman" w:eastAsia="Times New Roman" w:cs="Times New Roman"/>
                <w:i/>
                <w:color w:val="000000"/>
              </w:rPr>
              <w:t>A História Social de Roma</w:t>
            </w:r>
            <w:r>
              <w:rPr>
                <w:rFonts w:ascii="Times New Roman" w:hAnsi="Times New Roman" w:eastAsia="Times New Roman" w:cs="Times New Roman"/>
                <w:color w:val="000000"/>
              </w:rPr>
              <w:t>. Lisboa: Presença, 1995.</w:t>
            </w:r>
          </w:p>
          <w:p>
            <w:pPr>
              <w:widowControl w:val="0"/>
              <w:pBdr>
                <w:top w:val="none" w:color="auto" w:sz="0" w:space="0"/>
                <w:left w:val="none" w:color="auto" w:sz="0" w:space="0"/>
                <w:bottom w:val="none" w:color="auto" w:sz="0" w:space="0"/>
                <w:right w:val="none" w:color="auto" w:sz="0" w:space="0"/>
                <w:between w:val="none" w:color="auto" w:sz="0" w:space="0"/>
              </w:pBdr>
              <w:spacing w:before="134" w:line="348" w:lineRule="auto"/>
              <w:ind w:left="0" w:right="349"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AUSTIN, Michel &amp; NAQUET, Pierre. </w:t>
            </w:r>
            <w:r>
              <w:rPr>
                <w:rFonts w:ascii="Times New Roman" w:hAnsi="Times New Roman" w:eastAsia="Times New Roman" w:cs="Times New Roman"/>
                <w:i/>
                <w:color w:val="000000"/>
              </w:rPr>
              <w:t>Economia e sociedade na Grécia Antiga</w:t>
            </w:r>
            <w:r>
              <w:rPr>
                <w:rFonts w:ascii="Times New Roman" w:hAnsi="Times New Roman" w:eastAsia="Times New Roman" w:cs="Times New Roman"/>
                <w:color w:val="000000"/>
              </w:rPr>
              <w:t>. Lisboa: Edições 70, 1986.</w:t>
            </w:r>
          </w:p>
          <w:p>
            <w:pPr>
              <w:widowControl w:val="0"/>
              <w:pBdr>
                <w:top w:val="none" w:color="auto" w:sz="0" w:space="0"/>
                <w:left w:val="none" w:color="auto" w:sz="0" w:space="0"/>
                <w:bottom w:val="none" w:color="auto" w:sz="0" w:space="0"/>
                <w:right w:val="none" w:color="auto" w:sz="0" w:space="0"/>
                <w:between w:val="none" w:color="auto" w:sz="0" w:space="0"/>
              </w:pBdr>
              <w:spacing w:before="4" w:line="360" w:lineRule="auto"/>
              <w:ind w:left="0" w:right="251"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DABDAB TRABULSI, J. A. </w:t>
            </w:r>
            <w:r>
              <w:rPr>
                <w:rFonts w:ascii="Times New Roman" w:hAnsi="Times New Roman" w:eastAsia="Times New Roman" w:cs="Times New Roman"/>
                <w:i/>
                <w:color w:val="000000"/>
              </w:rPr>
              <w:t>Ensaio sobre a mobilização política na Grécia antiga</w:t>
            </w:r>
            <w:r>
              <w:rPr>
                <w:rFonts w:ascii="Times New Roman" w:hAnsi="Times New Roman" w:eastAsia="Times New Roman" w:cs="Times New Roman"/>
                <w:color w:val="000000"/>
              </w:rPr>
              <w:t>. Belo Horizonte: Editora UFMG, 2001.</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14"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KINDER, Hermann; HILGEMANN, Werner. </w:t>
            </w:r>
            <w:r>
              <w:rPr>
                <w:rFonts w:ascii="Times New Roman" w:hAnsi="Times New Roman" w:eastAsia="Times New Roman" w:cs="Times New Roman"/>
                <w:i/>
                <w:color w:val="000000"/>
              </w:rPr>
              <w:t>Atlas histórico mundial</w:t>
            </w:r>
            <w:r>
              <w:rPr>
                <w:rFonts w:ascii="Times New Roman" w:hAnsi="Times New Roman" w:eastAsia="Times New Roman" w:cs="Times New Roman"/>
                <w:color w:val="000000"/>
              </w:rPr>
              <w:t>. De los orígenes a la Revolución Francesa. Madrid: Ediciones Istmo, s/d.</w:t>
            </w:r>
          </w:p>
          <w:p>
            <w:pPr>
              <w:widowControl w:val="0"/>
              <w:pBdr>
                <w:top w:val="none" w:color="auto" w:sz="0" w:space="0"/>
                <w:left w:val="none" w:color="auto" w:sz="0" w:space="0"/>
                <w:bottom w:val="none" w:color="auto" w:sz="0" w:space="0"/>
                <w:right w:val="none" w:color="auto" w:sz="0" w:space="0"/>
                <w:between w:val="none" w:color="auto" w:sz="0" w:space="0"/>
              </w:pBdr>
              <w:tabs>
                <w:tab w:val="left" w:pos="831"/>
                <w:tab w:val="left" w:pos="832"/>
              </w:tabs>
              <w:spacing w:line="240" w:lineRule="auto"/>
              <w:ind w:left="0" w:hanging="2"/>
              <w:rPr>
                <w:rFonts w:ascii="Times New Roman" w:hAnsi="Times New Roman" w:eastAsia="Times New Roman" w:cs="Times New Roman"/>
                <w:color w:val="000000"/>
              </w:rPr>
            </w:pPr>
          </w:p>
        </w:tc>
      </w:tr>
      <w:tr>
        <w:tblPrEx>
          <w:tblCellMar>
            <w:top w:w="0" w:type="dxa"/>
            <w:left w:w="22" w:type="dxa"/>
            <w:bottom w:w="0" w:type="dxa"/>
            <w:right w:w="5" w:type="dxa"/>
          </w:tblCellMar>
        </w:tblPrEx>
        <w:trPr>
          <w:trHeight w:val="2760" w:hRule="atLeast"/>
        </w:trPr>
        <w:tc>
          <w:tcPr>
            <w:tcW w:w="9021" w:type="dxa"/>
            <w:gridSpan w:val="3"/>
            <w:tcBorders>
              <w:top w:val="single" w:color="000000" w:sz="4"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FINLEY, M. </w:t>
            </w:r>
            <w:r>
              <w:rPr>
                <w:rFonts w:ascii="Times New Roman" w:hAnsi="Times New Roman" w:eastAsia="Times New Roman" w:cs="Times New Roman"/>
                <w:i/>
                <w:color w:val="000000"/>
              </w:rPr>
              <w:t xml:space="preserve">A economia antiga. </w:t>
            </w:r>
            <w:r>
              <w:rPr>
                <w:rFonts w:ascii="Times New Roman" w:hAnsi="Times New Roman" w:eastAsia="Times New Roman" w:cs="Times New Roman"/>
                <w:color w:val="000000"/>
              </w:rPr>
              <w:t>Porto: Afrontamento, 1986.</w:t>
            </w: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right="578"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FINLEY, M. </w:t>
            </w:r>
            <w:r>
              <w:rPr>
                <w:rFonts w:ascii="Times New Roman" w:hAnsi="Times New Roman" w:eastAsia="Times New Roman" w:cs="Times New Roman"/>
                <w:i/>
                <w:color w:val="000000"/>
              </w:rPr>
              <w:t xml:space="preserve">Escravidão antiga e ideologia moderna. </w:t>
            </w:r>
            <w:r>
              <w:rPr>
                <w:rFonts w:ascii="Times New Roman" w:hAnsi="Times New Roman" w:eastAsia="Times New Roman" w:cs="Times New Roman"/>
                <w:color w:val="000000"/>
              </w:rPr>
              <w:t xml:space="preserve">Rio de Janeiro: Graal, 1991. VERNANT, Jean-Pierre. </w:t>
            </w:r>
            <w:r>
              <w:rPr>
                <w:rFonts w:ascii="Times New Roman" w:hAnsi="Times New Roman" w:eastAsia="Times New Roman" w:cs="Times New Roman"/>
                <w:i/>
                <w:color w:val="000000"/>
              </w:rPr>
              <w:t>As origens do pensamento grego</w:t>
            </w:r>
            <w:r>
              <w:rPr>
                <w:rFonts w:ascii="Times New Roman" w:hAnsi="Times New Roman" w:eastAsia="Times New Roman" w:cs="Times New Roman"/>
                <w:color w:val="000000"/>
              </w:rPr>
              <w:t>. Rio de Janeiro: Bertrand Brasil,</w:t>
            </w:r>
            <w:r>
              <w:rPr>
                <w:rFonts w:ascii="Times New Roman" w:hAnsi="Times New Roman" w:eastAsia="Times New Roman" w:cs="Times New Roman"/>
              </w:rPr>
              <w:t xml:space="preserve"> </w:t>
            </w:r>
            <w:r>
              <w:rPr>
                <w:rFonts w:ascii="Times New Roman" w:hAnsi="Times New Roman" w:eastAsia="Times New Roman" w:cs="Times New Roman"/>
                <w:color w:val="000000"/>
              </w:rPr>
              <w:t>1994.</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493"/>
        <w:tblW w:w="9021" w:type="dxa"/>
        <w:tblInd w:w="2" w:type="dxa"/>
        <w:tblLayout w:type="fixed"/>
        <w:tblCellMar>
          <w:top w:w="0" w:type="dxa"/>
          <w:left w:w="22" w:type="dxa"/>
          <w:bottom w:w="0" w:type="dxa"/>
          <w:right w:w="5" w:type="dxa"/>
        </w:tblCellMar>
      </w:tblPr>
      <w:tblGrid>
        <w:gridCol w:w="2932"/>
        <w:gridCol w:w="3124"/>
        <w:gridCol w:w="2965"/>
      </w:tblGrid>
      <w:tr>
        <w:tblPrEx>
          <w:tblCellMar>
            <w:top w:w="0" w:type="dxa"/>
            <w:left w:w="22" w:type="dxa"/>
            <w:bottom w:w="0" w:type="dxa"/>
            <w:right w:w="5" w:type="dxa"/>
          </w:tblCellMar>
        </w:tblPrEx>
        <w:trPr>
          <w:trHeight w:val="2068" w:hRule="atLeast"/>
        </w:trPr>
        <w:tc>
          <w:tcPr>
            <w:tcW w:w="6056"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1"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História do Brasil III</w:t>
            </w:r>
          </w:p>
          <w:p>
            <w:pPr>
              <w:widowControl w:val="0"/>
              <w:pBdr>
                <w:top w:val="none" w:color="auto" w:sz="0" w:space="0"/>
                <w:left w:val="none" w:color="auto" w:sz="0" w:space="0"/>
                <w:bottom w:val="none" w:color="auto" w:sz="0" w:space="0"/>
                <w:right w:val="none" w:color="auto" w:sz="0" w:space="0"/>
                <w:between w:val="none" w:color="auto" w:sz="0" w:space="0"/>
              </w:pBdr>
              <w:spacing w:before="2"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14"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History of Brazil III</w:t>
            </w:r>
          </w:p>
        </w:tc>
        <w:tc>
          <w:tcPr>
            <w:tcW w:w="2965"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HIS072</w:t>
            </w:r>
          </w:p>
        </w:tc>
      </w:tr>
      <w:tr>
        <w:tblPrEx>
          <w:tblCellMar>
            <w:top w:w="0" w:type="dxa"/>
            <w:left w:w="22" w:type="dxa"/>
            <w:bottom w:w="0" w:type="dxa"/>
            <w:right w:w="5" w:type="dxa"/>
          </w:tblCellMar>
        </w:tblPrEx>
        <w:trPr>
          <w:trHeight w:val="829" w:hRule="atLeast"/>
        </w:trPr>
        <w:tc>
          <w:tcPr>
            <w:tcW w:w="6056"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 História</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DEHIS</w:t>
            </w:r>
          </w:p>
        </w:tc>
        <w:tc>
          <w:tcPr>
            <w:tcW w:w="2965"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5" w:type="dxa"/>
          </w:tblCellMar>
        </w:tblPrEx>
        <w:trPr>
          <w:trHeight w:val="873" w:hRule="atLeast"/>
        </w:trPr>
        <w:tc>
          <w:tcPr>
            <w:tcW w:w="2932"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3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53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3124"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2965"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Carga horária semanal prática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02 horas/aula</w:t>
            </w:r>
          </w:p>
        </w:tc>
      </w:tr>
      <w:tr>
        <w:tblPrEx>
          <w:tblCellMar>
            <w:top w:w="0" w:type="dxa"/>
            <w:left w:w="22" w:type="dxa"/>
            <w:bottom w:w="0" w:type="dxa"/>
            <w:right w:w="5" w:type="dxa"/>
          </w:tblCellMar>
        </w:tblPrEx>
        <w:trPr>
          <w:trHeight w:val="3725"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7"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Estudo da história do Brasil republicano em seus aspectos políticos, sociais, econômicos e culturais, através de discussão da historiografia e da análise de documentos. Crise da monarquia escravista e construção da ordem republicana; modernismo e nacionalismo na cultura; o debate sobre a “Revolução de 30”; o Estado Novo e a questão do autoritarismo; a Quarta República e a institucionalização do jogo político partidário; industrialização, desenvolvimentismo e políticas econômicas; trabalhismo e sindicatos; a questão racial; a questão agrária e as lutas sociais no campo; memória e historiografia da ditadura militar; o processo de redemocratização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brasileiro após 1985; questões para a história do presente.</w:t>
            </w:r>
          </w:p>
        </w:tc>
      </w:tr>
      <w:tr>
        <w:tblPrEx>
          <w:tblCellMar>
            <w:top w:w="0" w:type="dxa"/>
            <w:left w:w="22" w:type="dxa"/>
            <w:bottom w:w="0" w:type="dxa"/>
            <w:right w:w="5" w:type="dxa"/>
          </w:tblCellMar>
        </w:tblPrEx>
        <w:trPr>
          <w:trHeight w:val="4969"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before="3"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887" w:hanging="2"/>
              <w:rPr>
                <w:rFonts w:ascii="Times New Roman" w:hAnsi="Times New Roman" w:eastAsia="Times New Roman" w:cs="Times New Roman"/>
                <w:color w:val="000000"/>
              </w:rPr>
            </w:pPr>
            <w:r>
              <w:rPr>
                <w:rFonts w:ascii="Times New Roman" w:hAnsi="Times New Roman" w:eastAsia="Times New Roman" w:cs="Times New Roman"/>
                <w:color w:val="000000"/>
              </w:rPr>
              <w:t>Democracia e autoritarismo na história republicana brasileira. História intelectual, história da historiografia e história da cultura. Crise da monarquia escravista e construção da ordem republicana;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167" w:hanging="2"/>
              <w:rPr>
                <w:rFonts w:ascii="Times New Roman" w:hAnsi="Times New Roman" w:eastAsia="Times New Roman" w:cs="Times New Roman"/>
                <w:color w:val="000000"/>
              </w:rPr>
            </w:pPr>
            <w:r>
              <w:rPr>
                <w:rFonts w:ascii="Times New Roman" w:hAnsi="Times New Roman" w:eastAsia="Times New Roman" w:cs="Times New Roman"/>
                <w:color w:val="000000"/>
              </w:rPr>
              <w:t>Modernismo e nacionalismo na cultura; o debate sobre a “Revolução de 30”; Estado Novo e a questão do autoritarismo;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Industrialização, desenvolvimentismo e políticas econômicas;</w:t>
            </w:r>
          </w:p>
          <w:p>
            <w:pPr>
              <w:widowControl w:val="0"/>
              <w:pBdr>
                <w:top w:val="none" w:color="auto" w:sz="0" w:space="0"/>
                <w:left w:val="none" w:color="auto" w:sz="0" w:space="0"/>
                <w:bottom w:val="none" w:color="auto" w:sz="0" w:space="0"/>
                <w:right w:val="none" w:color="auto" w:sz="0" w:space="0"/>
                <w:between w:val="none" w:color="auto" w:sz="0" w:space="0"/>
              </w:pBdr>
              <w:spacing w:before="133"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Trabalhismo e sindicatos; a questão racial; a questão agrária e as lutas sociais no campo; Memória e historiografia da ditadura militar;</w:t>
            </w:r>
          </w:p>
          <w:p>
            <w:pPr>
              <w:widowControl w:val="0"/>
              <w:pBdr>
                <w:top w:val="none" w:color="auto" w:sz="0" w:space="0"/>
                <w:left w:val="none" w:color="auto" w:sz="0" w:space="0"/>
                <w:bottom w:val="none" w:color="auto" w:sz="0" w:space="0"/>
                <w:right w:val="none" w:color="auto" w:sz="0" w:space="0"/>
                <w:between w:val="none" w:color="auto" w:sz="0" w:space="0"/>
              </w:pBdr>
              <w:spacing w:before="4"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O processo de redemocratização brasileiro após 1985;</w:t>
            </w:r>
          </w:p>
          <w:p>
            <w:pPr>
              <w:widowControl w:val="0"/>
              <w:pBdr>
                <w:top w:val="none" w:color="auto" w:sz="0" w:space="0"/>
                <w:left w:val="none" w:color="auto" w:sz="0" w:space="0"/>
                <w:bottom w:val="none" w:color="auto" w:sz="0" w:space="0"/>
                <w:right w:val="none" w:color="auto" w:sz="0" w:space="0"/>
                <w:between w:val="none" w:color="auto" w:sz="0" w:space="0"/>
              </w:pBdr>
              <w:spacing w:before="136"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Questões para a história do presente: direitos humanos, democracia e autoritarismo.</w:t>
            </w:r>
          </w:p>
        </w:tc>
      </w:tr>
      <w:tr>
        <w:tblPrEx>
          <w:tblCellMar>
            <w:top w:w="0" w:type="dxa"/>
            <w:left w:w="22" w:type="dxa"/>
            <w:bottom w:w="0" w:type="dxa"/>
            <w:right w:w="5" w:type="dxa"/>
          </w:tblCellMar>
        </w:tblPrEx>
        <w:trPr>
          <w:trHeight w:val="4969" w:hRule="atLeast"/>
        </w:trPr>
        <w:tc>
          <w:tcPr>
            <w:tcW w:w="9021" w:type="dxa"/>
            <w:gridSpan w:val="3"/>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9"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FERREIRA, Jorge, NEVES, Lucília de Almeida Neves (orgs.). </w:t>
            </w:r>
            <w:r>
              <w:rPr>
                <w:rFonts w:ascii="Times New Roman" w:hAnsi="Times New Roman" w:eastAsia="Times New Roman" w:cs="Times New Roman"/>
                <w:i/>
                <w:color w:val="000000"/>
              </w:rPr>
              <w:t>O Brasil Republicano</w:t>
            </w:r>
            <w:r>
              <w:rPr>
                <w:rFonts w:ascii="Times New Roman" w:hAnsi="Times New Roman" w:eastAsia="Times New Roman" w:cs="Times New Roman"/>
                <w:color w:val="000000"/>
              </w:rPr>
              <w:t>. São Paulo: Civilização Brasileira, 2003. v.1.</w:t>
            </w:r>
          </w:p>
          <w:p>
            <w:pPr>
              <w:widowControl w:val="0"/>
              <w:pBdr>
                <w:top w:val="none" w:color="auto" w:sz="0" w:space="0"/>
                <w:left w:val="none" w:color="auto" w:sz="0" w:space="0"/>
                <w:bottom w:val="none" w:color="auto" w:sz="0" w:space="0"/>
                <w:right w:val="none" w:color="auto" w:sz="0" w:space="0"/>
                <w:between w:val="none" w:color="auto" w:sz="0" w:space="0"/>
              </w:pBdr>
              <w:spacing w:before="3"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FERREIRA, Jorge, NEVES, Lucília de Almeida Neves (orgs.). </w:t>
            </w:r>
            <w:r>
              <w:rPr>
                <w:rFonts w:ascii="Times New Roman" w:hAnsi="Times New Roman" w:eastAsia="Times New Roman" w:cs="Times New Roman"/>
                <w:i/>
                <w:color w:val="000000"/>
              </w:rPr>
              <w:t>O Brasil Republicano.</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São Paulo: Civilização Brasileira, 2003.v.2.</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FERREIRA, Jorge, NEVES, Lucília de Almeida Neves (orgs.). </w:t>
            </w:r>
            <w:r>
              <w:rPr>
                <w:rFonts w:ascii="Times New Roman" w:hAnsi="Times New Roman" w:eastAsia="Times New Roman" w:cs="Times New Roman"/>
                <w:i/>
                <w:color w:val="000000"/>
              </w:rPr>
              <w:t>O Brasil Republicano</w:t>
            </w:r>
            <w:r>
              <w:rPr>
                <w:rFonts w:ascii="Times New Roman" w:hAnsi="Times New Roman" w:eastAsia="Times New Roman" w:cs="Times New Roman"/>
                <w:color w:val="000000"/>
              </w:rPr>
              <w:t>. São Paulo: Civilização Brasileira, 2003.v.3.</w:t>
            </w:r>
          </w:p>
          <w:p>
            <w:pPr>
              <w:widowControl w:val="0"/>
              <w:pBdr>
                <w:top w:val="none" w:color="auto" w:sz="0" w:space="0"/>
                <w:left w:val="none" w:color="auto" w:sz="0" w:space="0"/>
                <w:bottom w:val="none" w:color="auto" w:sz="0" w:space="0"/>
                <w:right w:val="none" w:color="auto" w:sz="0" w:space="0"/>
                <w:between w:val="none" w:color="auto" w:sz="0" w:space="0"/>
              </w:pBdr>
              <w:spacing w:before="2"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FERREIRA, Jorge, NEVES, Lucília de Almeida Neves (orgs.). </w:t>
            </w:r>
            <w:r>
              <w:rPr>
                <w:rFonts w:ascii="Times New Roman" w:hAnsi="Times New Roman" w:eastAsia="Times New Roman" w:cs="Times New Roman"/>
                <w:i/>
                <w:color w:val="000000"/>
              </w:rPr>
              <w:t>O Brasil Republicano</w:t>
            </w:r>
            <w:r>
              <w:rPr>
                <w:rFonts w:ascii="Times New Roman" w:hAnsi="Times New Roman" w:eastAsia="Times New Roman" w:cs="Times New Roman"/>
                <w:color w:val="000000"/>
              </w:rPr>
              <w:t>. São Paulo: Civilização Brasileira, 2003.v.4.</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SCHWARCZ, Lilia Moritz (org.). </w:t>
            </w:r>
            <w:r>
              <w:rPr>
                <w:rFonts w:ascii="Times New Roman" w:hAnsi="Times New Roman" w:eastAsia="Times New Roman" w:cs="Times New Roman"/>
                <w:i/>
                <w:color w:val="000000"/>
              </w:rPr>
              <w:t xml:space="preserve">História da vida Provada no Brasil. </w:t>
            </w:r>
            <w:r>
              <w:rPr>
                <w:rFonts w:ascii="Times New Roman" w:hAnsi="Times New Roman" w:eastAsia="Times New Roman" w:cs="Times New Roman"/>
                <w:color w:val="000000"/>
              </w:rPr>
              <w:t>São Paulo: Cia.</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Das Letras, 1998.</w:t>
            </w:r>
          </w:p>
        </w:tc>
      </w:tr>
      <w:tr>
        <w:tblPrEx>
          <w:tblCellMar>
            <w:top w:w="0" w:type="dxa"/>
            <w:left w:w="22" w:type="dxa"/>
            <w:bottom w:w="0" w:type="dxa"/>
            <w:right w:w="5" w:type="dxa"/>
          </w:tblCellMar>
        </w:tblPrEx>
        <w:trPr>
          <w:trHeight w:val="2481" w:hRule="atLeast"/>
        </w:trPr>
        <w:tc>
          <w:tcPr>
            <w:tcW w:w="9021" w:type="dxa"/>
            <w:gridSpan w:val="3"/>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right="6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AARÃO REIS FILHO, D. (Org.); FERREIRA, J. (Org.) . As esquerdas no Brasil, 3º volume. </w:t>
            </w:r>
            <w:r>
              <w:rPr>
                <w:rFonts w:ascii="Times New Roman" w:hAnsi="Times New Roman" w:eastAsia="Times New Roman" w:cs="Times New Roman"/>
                <w:i/>
                <w:color w:val="000000"/>
              </w:rPr>
              <w:t xml:space="preserve">Revolução e democracia. </w:t>
            </w:r>
            <w:r>
              <w:rPr>
                <w:rFonts w:ascii="Times New Roman" w:hAnsi="Times New Roman" w:eastAsia="Times New Roman" w:cs="Times New Roman"/>
                <w:color w:val="000000"/>
              </w:rPr>
              <w:t>1964.... 1. ed. Rio de Janeiro: Civilização Brasileira, 2007.</w:t>
            </w:r>
          </w:p>
          <w:p>
            <w:pPr>
              <w:widowControl w:val="0"/>
              <w:pBdr>
                <w:top w:val="none" w:color="auto" w:sz="0" w:space="0"/>
                <w:left w:val="none" w:color="auto" w:sz="0" w:space="0"/>
                <w:bottom w:val="none" w:color="auto" w:sz="0" w:space="0"/>
                <w:right w:val="none" w:color="auto" w:sz="0" w:space="0"/>
                <w:between w:val="none" w:color="auto" w:sz="0" w:space="0"/>
              </w:pBdr>
              <w:spacing w:before="1"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FICO, Carlos . Além do golpe: versões e controvérsias sobre 1964 e a ditadura militar.</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1. ed. Rio de Janeiro: Record, 2004</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494"/>
        <w:tblW w:w="9021" w:type="dxa"/>
        <w:tblInd w:w="2" w:type="dxa"/>
        <w:tblLayout w:type="fixed"/>
        <w:tblCellMar>
          <w:top w:w="0" w:type="dxa"/>
          <w:left w:w="22" w:type="dxa"/>
          <w:bottom w:w="0" w:type="dxa"/>
          <w:right w:w="22" w:type="dxa"/>
        </w:tblCellMar>
      </w:tblPr>
      <w:tblGrid>
        <w:gridCol w:w="2865"/>
        <w:gridCol w:w="3116"/>
        <w:gridCol w:w="3040"/>
      </w:tblGrid>
      <w:tr>
        <w:tblPrEx>
          <w:tblCellMar>
            <w:top w:w="0" w:type="dxa"/>
            <w:left w:w="22" w:type="dxa"/>
            <w:bottom w:w="0" w:type="dxa"/>
            <w:right w:w="22" w:type="dxa"/>
          </w:tblCellMar>
        </w:tblPrEx>
        <w:trPr>
          <w:trHeight w:val="2068" w:hRule="atLeast"/>
        </w:trPr>
        <w:tc>
          <w:tcPr>
            <w:tcW w:w="5981"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História da América II</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274"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History of America II</w:t>
            </w:r>
          </w:p>
        </w:tc>
        <w:tc>
          <w:tcPr>
            <w:tcW w:w="3040"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HIS073</w:t>
            </w:r>
          </w:p>
        </w:tc>
      </w:tr>
      <w:tr>
        <w:tblPrEx>
          <w:tblCellMar>
            <w:top w:w="0" w:type="dxa"/>
            <w:left w:w="22" w:type="dxa"/>
            <w:bottom w:w="0" w:type="dxa"/>
            <w:right w:w="22" w:type="dxa"/>
          </w:tblCellMar>
        </w:tblPrEx>
        <w:trPr>
          <w:trHeight w:val="830" w:hRule="atLeast"/>
        </w:trPr>
        <w:tc>
          <w:tcPr>
            <w:tcW w:w="5981"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w:t>
            </w:r>
          </w:p>
          <w:p>
            <w:pPr>
              <w:widowControl w:val="0"/>
              <w:pBdr>
                <w:top w:val="none" w:color="auto" w:sz="0" w:space="0"/>
                <w:left w:val="none" w:color="auto" w:sz="0" w:space="0"/>
                <w:bottom w:val="none" w:color="auto" w:sz="0" w:space="0"/>
                <w:right w:val="none" w:color="auto" w:sz="0" w:space="0"/>
                <w:between w:val="none" w:color="auto" w:sz="0" w:space="0"/>
              </w:pBdr>
              <w:spacing w:before="14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História -DEHIS</w:t>
            </w:r>
          </w:p>
        </w:tc>
        <w:tc>
          <w:tcPr>
            <w:tcW w:w="3040"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865" w:hRule="atLeast"/>
        </w:trPr>
        <w:tc>
          <w:tcPr>
            <w:tcW w:w="2865"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462"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 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6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3116"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3040"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 02 horas/aula</w:t>
            </w:r>
          </w:p>
        </w:tc>
      </w:tr>
      <w:tr>
        <w:tblPrEx>
          <w:tblCellMar>
            <w:top w:w="0" w:type="dxa"/>
            <w:left w:w="22" w:type="dxa"/>
            <w:bottom w:w="0" w:type="dxa"/>
            <w:right w:w="22" w:type="dxa"/>
          </w:tblCellMar>
        </w:tblPrEx>
        <w:trPr>
          <w:trHeight w:val="1373"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Ementa:  Reflexão sobre o processo  histórico  de formação  dos Estados Nacionais na</w:t>
            </w:r>
          </w:p>
          <w:p>
            <w:pPr>
              <w:widowControl w:val="0"/>
              <w:pBdr>
                <w:top w:val="none" w:color="auto" w:sz="0" w:space="0"/>
                <w:left w:val="none" w:color="auto" w:sz="0" w:space="0"/>
                <w:bottom w:val="none" w:color="auto" w:sz="0" w:space="0"/>
                <w:right w:val="none" w:color="auto" w:sz="0" w:space="0"/>
                <w:between w:val="none" w:color="auto" w:sz="0" w:space="0"/>
              </w:pBdr>
              <w:spacing w:before="136"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América independente; análise das manifestações político-culturais do discurso liberal</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3"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 da busca de uma identidade nacional; estudo do papel dos Estados Unidos ao longo dos séculos XIX e XX; discussão sobre a emersão de movimentos revolucionários no século XX; reflexão sobre o conceito de populismo e sobre as ditaduras militares;</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estudo da história recente do continente.</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p>
        </w:tc>
      </w:tr>
      <w:tr>
        <w:tblPrEx>
          <w:tblCellMar>
            <w:top w:w="0" w:type="dxa"/>
            <w:left w:w="22" w:type="dxa"/>
            <w:bottom w:w="0" w:type="dxa"/>
            <w:right w:w="22" w:type="dxa"/>
          </w:tblCellMar>
        </w:tblPrEx>
        <w:trPr>
          <w:trHeight w:val="1372"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before="9"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u w:val="single"/>
              </w:rPr>
              <w:t>Mód. I: Organizando nações</w:t>
            </w:r>
          </w:p>
          <w:p>
            <w:pPr>
              <w:widowControl w:val="0"/>
              <w:numPr>
                <w:ilvl w:val="0"/>
                <w:numId w:val="17"/>
              </w:numPr>
              <w:pBdr>
                <w:top w:val="none" w:color="auto" w:sz="0" w:space="0"/>
                <w:left w:val="none" w:color="auto" w:sz="0" w:space="0"/>
                <w:bottom w:val="none" w:color="auto" w:sz="0" w:space="0"/>
                <w:right w:val="none" w:color="auto" w:sz="0" w:space="0"/>
                <w:between w:val="none" w:color="auto" w:sz="0" w:space="0"/>
              </w:pBdr>
              <w:tabs>
                <w:tab w:val="left" w:pos="0"/>
                <w:tab w:val="left" w:pos="424"/>
              </w:tabs>
              <w:spacing w:before="142"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 Independência dos EUA: da guerra à Constituição</w:t>
            </w:r>
          </w:p>
          <w:p>
            <w:pPr>
              <w:widowControl w:val="0"/>
              <w:numPr>
                <w:ilvl w:val="0"/>
                <w:numId w:val="17"/>
              </w:numPr>
              <w:pBdr>
                <w:top w:val="none" w:color="auto" w:sz="0" w:space="0"/>
                <w:left w:val="none" w:color="auto" w:sz="0" w:space="0"/>
                <w:bottom w:val="none" w:color="auto" w:sz="0" w:space="0"/>
                <w:right w:val="none" w:color="auto" w:sz="0" w:space="0"/>
                <w:between w:val="none" w:color="auto" w:sz="0" w:space="0"/>
              </w:pBdr>
              <w:tabs>
                <w:tab w:val="left" w:pos="0"/>
                <w:tab w:val="left" w:pos="414"/>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O conceito de América Latina e as guerras de independência</w:t>
            </w:r>
          </w:p>
          <w:p>
            <w:pPr>
              <w:widowControl w:val="0"/>
              <w:numPr>
                <w:ilvl w:val="0"/>
                <w:numId w:val="17"/>
              </w:numPr>
              <w:pBdr>
                <w:top w:val="none" w:color="auto" w:sz="0" w:space="0"/>
                <w:left w:val="none" w:color="auto" w:sz="0" w:space="0"/>
                <w:bottom w:val="none" w:color="auto" w:sz="0" w:space="0"/>
                <w:right w:val="none" w:color="auto" w:sz="0" w:space="0"/>
                <w:between w:val="none" w:color="auto" w:sz="0" w:space="0"/>
              </w:pBdr>
              <w:tabs>
                <w:tab w:val="left" w:pos="0"/>
                <w:tab w:val="left" w:pos="414"/>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O Rio da Prata no SéculoXIX</w:t>
            </w:r>
          </w:p>
          <w:p>
            <w:pPr>
              <w:widowControl w:val="0"/>
              <w:numPr>
                <w:ilvl w:val="0"/>
                <w:numId w:val="17"/>
              </w:numPr>
              <w:pBdr>
                <w:top w:val="none" w:color="auto" w:sz="0" w:space="0"/>
                <w:left w:val="none" w:color="auto" w:sz="0" w:space="0"/>
                <w:bottom w:val="none" w:color="auto" w:sz="0" w:space="0"/>
                <w:right w:val="none" w:color="auto" w:sz="0" w:space="0"/>
                <w:between w:val="none" w:color="auto" w:sz="0" w:space="0"/>
              </w:pBdr>
              <w:tabs>
                <w:tab w:val="left" w:pos="0"/>
                <w:tab w:val="left" w:pos="429"/>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O México no SéculoXIX</w:t>
            </w:r>
          </w:p>
          <w:p>
            <w:pPr>
              <w:widowControl w:val="0"/>
              <w:numPr>
                <w:ilvl w:val="0"/>
                <w:numId w:val="17"/>
              </w:numPr>
              <w:pBdr>
                <w:top w:val="none" w:color="auto" w:sz="0" w:space="0"/>
                <w:left w:val="none" w:color="auto" w:sz="0" w:space="0"/>
                <w:bottom w:val="none" w:color="auto" w:sz="0" w:space="0"/>
                <w:right w:val="none" w:color="auto" w:sz="0" w:space="0"/>
                <w:between w:val="none" w:color="auto" w:sz="0" w:space="0"/>
              </w:pBdr>
              <w:tabs>
                <w:tab w:val="left" w:pos="0"/>
                <w:tab w:val="left" w:pos="404"/>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Os EUA da expansão para o Oeste à Guerra de Secessão</w:t>
            </w:r>
          </w:p>
          <w:p>
            <w:pPr>
              <w:widowControl w:val="0"/>
              <w:numPr>
                <w:ilvl w:val="0"/>
                <w:numId w:val="17"/>
              </w:numPr>
              <w:pBdr>
                <w:top w:val="none" w:color="auto" w:sz="0" w:space="0"/>
                <w:left w:val="none" w:color="auto" w:sz="0" w:space="0"/>
                <w:bottom w:val="none" w:color="auto" w:sz="0" w:space="0"/>
                <w:right w:val="none" w:color="auto" w:sz="0" w:space="0"/>
                <w:between w:val="none" w:color="auto" w:sz="0" w:space="0"/>
              </w:pBdr>
              <w:tabs>
                <w:tab w:val="left" w:pos="0"/>
                <w:tab w:val="left" w:pos="386"/>
              </w:tabs>
              <w:spacing w:before="14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Cuba e Antilhas: as últimas independências</w:t>
            </w:r>
          </w:p>
          <w:p>
            <w:pPr>
              <w:widowControl w:val="0"/>
              <w:numPr>
                <w:ilvl w:val="0"/>
                <w:numId w:val="17"/>
              </w:numPr>
              <w:pBdr>
                <w:top w:val="none" w:color="auto" w:sz="0" w:space="0"/>
                <w:left w:val="none" w:color="auto" w:sz="0" w:space="0"/>
                <w:bottom w:val="none" w:color="auto" w:sz="0" w:space="0"/>
                <w:right w:val="none" w:color="auto" w:sz="0" w:space="0"/>
                <w:between w:val="none" w:color="auto" w:sz="0" w:space="0"/>
              </w:pBdr>
              <w:tabs>
                <w:tab w:val="left" w:pos="0"/>
                <w:tab w:val="left" w:pos="429"/>
              </w:tabs>
              <w:spacing w:before="138"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Americanismo e anti-americanismo.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before="9"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u w:val="single"/>
              </w:rPr>
              <w:t>Mod. II: O século XX</w:t>
            </w:r>
          </w:p>
          <w:p>
            <w:pPr>
              <w:widowControl w:val="0"/>
              <w:numPr>
                <w:ilvl w:val="0"/>
                <w:numId w:val="18"/>
              </w:numPr>
              <w:pBdr>
                <w:top w:val="none" w:color="auto" w:sz="0" w:space="0"/>
                <w:left w:val="none" w:color="auto" w:sz="0" w:space="0"/>
                <w:bottom w:val="none" w:color="auto" w:sz="0" w:space="0"/>
                <w:right w:val="none" w:color="auto" w:sz="0" w:space="0"/>
                <w:between w:val="none" w:color="auto" w:sz="0" w:space="0"/>
              </w:pBdr>
              <w:tabs>
                <w:tab w:val="left" w:pos="0"/>
                <w:tab w:val="left" w:pos="424"/>
              </w:tabs>
              <w:spacing w:before="14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Revolução Mexicana:</w:t>
            </w:r>
          </w:p>
          <w:p>
            <w:pPr>
              <w:widowControl w:val="0"/>
              <w:numPr>
                <w:ilvl w:val="0"/>
                <w:numId w:val="18"/>
              </w:numPr>
              <w:pBdr>
                <w:top w:val="none" w:color="auto" w:sz="0" w:space="0"/>
                <w:left w:val="none" w:color="auto" w:sz="0" w:space="0"/>
                <w:bottom w:val="none" w:color="auto" w:sz="0" w:space="0"/>
                <w:right w:val="none" w:color="auto" w:sz="0" w:space="0"/>
                <w:between w:val="none" w:color="auto" w:sz="0" w:space="0"/>
              </w:pBdr>
              <w:tabs>
                <w:tab w:val="left" w:pos="0"/>
                <w:tab w:val="left" w:pos="414"/>
              </w:tabs>
              <w:spacing w:before="138"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EUA: anos 1920, Depressão e </w:t>
            </w:r>
            <w:r>
              <w:rPr>
                <w:rFonts w:ascii="Times New Roman" w:hAnsi="Times New Roman" w:eastAsia="Times New Roman" w:cs="Times New Roman"/>
                <w:i/>
                <w:color w:val="000000"/>
              </w:rPr>
              <w:t>New Deal</w:t>
            </w:r>
          </w:p>
          <w:p>
            <w:pPr>
              <w:widowControl w:val="0"/>
              <w:numPr>
                <w:ilvl w:val="0"/>
                <w:numId w:val="18"/>
              </w:numPr>
              <w:pBdr>
                <w:top w:val="none" w:color="auto" w:sz="0" w:space="0"/>
                <w:left w:val="none" w:color="auto" w:sz="0" w:space="0"/>
                <w:bottom w:val="none" w:color="auto" w:sz="0" w:space="0"/>
                <w:right w:val="none" w:color="auto" w:sz="0" w:space="0"/>
                <w:between w:val="none" w:color="auto" w:sz="0" w:space="0"/>
              </w:pBdr>
              <w:tabs>
                <w:tab w:val="left" w:pos="0"/>
                <w:tab w:val="left" w:pos="414"/>
              </w:tabs>
              <w:spacing w:before="136"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O conceito de Populismo</w:t>
            </w:r>
          </w:p>
          <w:p>
            <w:pPr>
              <w:widowControl w:val="0"/>
              <w:numPr>
                <w:ilvl w:val="0"/>
                <w:numId w:val="18"/>
              </w:numPr>
              <w:pBdr>
                <w:top w:val="none" w:color="auto" w:sz="0" w:space="0"/>
                <w:left w:val="none" w:color="auto" w:sz="0" w:space="0"/>
                <w:bottom w:val="none" w:color="auto" w:sz="0" w:space="0"/>
                <w:right w:val="none" w:color="auto" w:sz="0" w:space="0"/>
                <w:between w:val="none" w:color="auto" w:sz="0" w:space="0"/>
              </w:pBdr>
              <w:tabs>
                <w:tab w:val="left" w:pos="0"/>
                <w:tab w:val="left" w:pos="429"/>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Guerra Fria e a experiência cubana</w:t>
            </w:r>
          </w:p>
          <w:p>
            <w:pPr>
              <w:widowControl w:val="0"/>
              <w:numPr>
                <w:ilvl w:val="0"/>
                <w:numId w:val="18"/>
              </w:numPr>
              <w:pBdr>
                <w:top w:val="none" w:color="auto" w:sz="0" w:space="0"/>
                <w:left w:val="none" w:color="auto" w:sz="0" w:space="0"/>
                <w:bottom w:val="none" w:color="auto" w:sz="0" w:space="0"/>
                <w:right w:val="none" w:color="auto" w:sz="0" w:space="0"/>
                <w:between w:val="none" w:color="auto" w:sz="0" w:space="0"/>
              </w:pBdr>
              <w:tabs>
                <w:tab w:val="left" w:pos="0"/>
                <w:tab w:val="left" w:pos="404"/>
              </w:tabs>
              <w:spacing w:before="142"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Ditaduras</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América latina nos dias de hoje</w:t>
            </w:r>
          </w:p>
        </w:tc>
      </w:tr>
      <w:tr>
        <w:tblPrEx>
          <w:tblCellMar>
            <w:top w:w="0" w:type="dxa"/>
            <w:left w:w="22" w:type="dxa"/>
            <w:bottom w:w="0" w:type="dxa"/>
            <w:right w:w="22" w:type="dxa"/>
          </w:tblCellMar>
        </w:tblPrEx>
        <w:trPr>
          <w:trHeight w:val="2505"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FERREIRA, Jorge (org.) </w:t>
            </w:r>
            <w:r>
              <w:rPr>
                <w:rFonts w:ascii="Times New Roman" w:hAnsi="Times New Roman" w:eastAsia="Times New Roman" w:cs="Times New Roman"/>
                <w:i/>
                <w:color w:val="000000"/>
              </w:rPr>
              <w:t>O populismo e sua história</w:t>
            </w:r>
            <w:r>
              <w:rPr>
                <w:rFonts w:ascii="Times New Roman" w:hAnsi="Times New Roman" w:eastAsia="Times New Roman" w:cs="Times New Roman"/>
                <w:color w:val="000000"/>
              </w:rPr>
              <w:t>. Civilização Brasileira. 2001. PAMPLONA, Marco. A.; MADER, M. E. N. S. (Org.). Revoluções de independências e nacionalismos nas Américas. São Paulo: Paz e Terra, 2010. V 1-4.</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314"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SARMIENTO, Domingo Faustino. </w:t>
            </w:r>
            <w:r>
              <w:rPr>
                <w:rFonts w:ascii="Times New Roman" w:hAnsi="Times New Roman" w:eastAsia="Times New Roman" w:cs="Times New Roman"/>
                <w:i/>
                <w:color w:val="000000"/>
              </w:rPr>
              <w:t xml:space="preserve">Facundo. </w:t>
            </w:r>
            <w:r>
              <w:rPr>
                <w:rFonts w:ascii="Times New Roman" w:hAnsi="Times New Roman" w:eastAsia="Times New Roman" w:cs="Times New Roman"/>
                <w:color w:val="000000"/>
              </w:rPr>
              <w:t>Civilização ou Barbárie, 1845 (Vozes, 1997).</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47"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SELLERS, Charles. MAY, Henry. McMILLEN, Neil. </w:t>
            </w:r>
            <w:r>
              <w:rPr>
                <w:rFonts w:ascii="Times New Roman" w:hAnsi="Times New Roman" w:eastAsia="Times New Roman" w:cs="Times New Roman"/>
                <w:i/>
                <w:color w:val="000000"/>
              </w:rPr>
              <w:t>Uma Reavaliação da História dos Estados Unidos</w:t>
            </w:r>
            <w:r>
              <w:rPr>
                <w:rFonts w:ascii="Times New Roman" w:hAnsi="Times New Roman" w:eastAsia="Times New Roman" w:cs="Times New Roman"/>
                <w:color w:val="000000"/>
              </w:rPr>
              <w:t>. Rio de Janeiro: Jorge Zahar Ed. 1990</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SILVA, Carlos Eduardo et alli. </w:t>
            </w:r>
            <w:r>
              <w:rPr>
                <w:rFonts w:ascii="Times New Roman" w:hAnsi="Times New Roman" w:eastAsia="Times New Roman" w:cs="Times New Roman"/>
                <w:i/>
                <w:color w:val="000000"/>
              </w:rPr>
              <w:t>Uma nação com alma de igreja</w:t>
            </w:r>
            <w:r>
              <w:rPr>
                <w:rFonts w:ascii="Times New Roman" w:hAnsi="Times New Roman" w:eastAsia="Times New Roman" w:cs="Times New Roman"/>
                <w:color w:val="000000"/>
              </w:rPr>
              <w:t>. Rio de Janeiro: Paz e</w:t>
            </w:r>
          </w:p>
          <w:p>
            <w:pPr>
              <w:widowControl w:val="0"/>
              <w:pBdr>
                <w:top w:val="none" w:color="auto" w:sz="0" w:space="0"/>
                <w:left w:val="none" w:color="auto" w:sz="0" w:space="0"/>
                <w:bottom w:val="none" w:color="auto" w:sz="0" w:space="0"/>
                <w:right w:val="none" w:color="auto" w:sz="0" w:space="0"/>
                <w:between w:val="none" w:color="auto" w:sz="0" w:space="0"/>
              </w:pBdr>
              <w:spacing w:before="132"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Terra, 2009.</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STEINBECK, John.</w:t>
            </w:r>
            <w:r>
              <w:rPr>
                <w:rFonts w:ascii="Times New Roman" w:hAnsi="Times New Roman" w:eastAsia="Times New Roman" w:cs="Times New Roman"/>
                <w:i/>
                <w:color w:val="000000"/>
              </w:rPr>
              <w:t xml:space="preserve">As vinhas da ira. </w:t>
            </w:r>
            <w:r>
              <w:rPr>
                <w:rFonts w:ascii="Times New Roman" w:hAnsi="Times New Roman" w:eastAsia="Times New Roman" w:cs="Times New Roman"/>
                <w:color w:val="000000"/>
              </w:rPr>
              <w:t>São Paulo: Record, 2009 [1939].</w:t>
            </w:r>
          </w:p>
        </w:tc>
      </w:tr>
      <w:tr>
        <w:tblPrEx>
          <w:tblCellMar>
            <w:top w:w="0" w:type="dxa"/>
            <w:left w:w="22" w:type="dxa"/>
            <w:bottom w:w="0" w:type="dxa"/>
            <w:right w:w="22" w:type="dxa"/>
          </w:tblCellMar>
        </w:tblPrEx>
        <w:trPr>
          <w:trHeight w:val="2505"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before="2"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87"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AGGIO, A. &amp; LAHUERTA, M. (orgs.). </w:t>
            </w:r>
            <w:r>
              <w:rPr>
                <w:rFonts w:ascii="Times New Roman" w:hAnsi="Times New Roman" w:eastAsia="Times New Roman" w:cs="Times New Roman"/>
                <w:i/>
                <w:color w:val="000000"/>
              </w:rPr>
              <w:t xml:space="preserve">Pensar o século XX </w:t>
            </w:r>
            <w:r>
              <w:rPr>
                <w:rFonts w:ascii="Times New Roman" w:hAnsi="Times New Roman" w:eastAsia="Times New Roman" w:cs="Times New Roman"/>
                <w:color w:val="000000"/>
              </w:rPr>
              <w:t>– problemas políticos e história nacional na América Latina. São Paulo: Editora UNESP, 2003.</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81"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ARMITAGE, David. </w:t>
            </w:r>
            <w:r>
              <w:rPr>
                <w:rFonts w:ascii="Times New Roman" w:hAnsi="Times New Roman" w:eastAsia="Times New Roman" w:cs="Times New Roman"/>
                <w:i/>
                <w:color w:val="000000"/>
              </w:rPr>
              <w:t>Declaração de Independência</w:t>
            </w:r>
            <w:r>
              <w:rPr>
                <w:rFonts w:ascii="Times New Roman" w:hAnsi="Times New Roman" w:eastAsia="Times New Roman" w:cs="Times New Roman"/>
                <w:color w:val="000000"/>
              </w:rPr>
              <w:t>: uma história global. São Paulo: Companhia das Letras, 2011.</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FLORESCANO, Enrique. La construcción de la nación y el conflicto de identidades. IN: Florescano, E. </w:t>
            </w:r>
            <w:r>
              <w:rPr>
                <w:rFonts w:ascii="Times New Roman" w:hAnsi="Times New Roman" w:eastAsia="Times New Roman" w:cs="Times New Roman"/>
                <w:i/>
                <w:color w:val="000000"/>
              </w:rPr>
              <w:t>Memoria mexicana</w:t>
            </w:r>
            <w:r>
              <w:rPr>
                <w:rFonts w:ascii="Times New Roman" w:hAnsi="Times New Roman" w:eastAsia="Times New Roman" w:cs="Times New Roman"/>
                <w:color w:val="000000"/>
              </w:rPr>
              <w:t>, México: Taurus, 2001.</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HERNÁNDEZ, José. </w:t>
            </w:r>
            <w:r>
              <w:rPr>
                <w:rFonts w:ascii="Times New Roman" w:hAnsi="Times New Roman" w:eastAsia="Times New Roman" w:cs="Times New Roman"/>
                <w:i/>
                <w:color w:val="000000"/>
              </w:rPr>
              <w:t xml:space="preserve">Martin Fierro, </w:t>
            </w:r>
            <w:r>
              <w:rPr>
                <w:rFonts w:ascii="Times New Roman" w:hAnsi="Times New Roman" w:eastAsia="Times New Roman" w:cs="Times New Roman"/>
                <w:color w:val="000000"/>
              </w:rPr>
              <w:t>1871/1879(Scipione.2001)</w:t>
            </w:r>
          </w:p>
          <w:p>
            <w:pPr>
              <w:widowControl w:val="0"/>
              <w:pBdr>
                <w:top w:val="none" w:color="auto" w:sz="0" w:space="0"/>
                <w:left w:val="none" w:color="auto" w:sz="0" w:space="0"/>
                <w:bottom w:val="none" w:color="auto" w:sz="0" w:space="0"/>
                <w:right w:val="none" w:color="auto" w:sz="0" w:space="0"/>
                <w:between w:val="none" w:color="auto" w:sz="0" w:space="0"/>
              </w:pBdr>
              <w:spacing w:before="132" w:line="360" w:lineRule="auto"/>
              <w:ind w:left="0" w:right="1313"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Karnal, L. et al. </w:t>
            </w:r>
            <w:r>
              <w:rPr>
                <w:rFonts w:ascii="Times New Roman" w:hAnsi="Times New Roman" w:eastAsia="Times New Roman" w:cs="Times New Roman"/>
                <w:i/>
                <w:color w:val="000000"/>
              </w:rPr>
              <w:t>História dos Estados Unidos</w:t>
            </w:r>
            <w:r>
              <w:rPr>
                <w:rFonts w:ascii="Times New Roman" w:hAnsi="Times New Roman" w:eastAsia="Times New Roman" w:cs="Times New Roman"/>
                <w:color w:val="000000"/>
              </w:rPr>
              <w:t xml:space="preserve">. São Paulo: Contexto, 2007. MARTÍ, José. </w:t>
            </w:r>
            <w:r>
              <w:rPr>
                <w:rFonts w:ascii="Times New Roman" w:hAnsi="Times New Roman" w:eastAsia="Times New Roman" w:cs="Times New Roman"/>
                <w:i/>
                <w:color w:val="000000"/>
              </w:rPr>
              <w:t xml:space="preserve">Nossa América; </w:t>
            </w:r>
            <w:r>
              <w:rPr>
                <w:rFonts w:ascii="Times New Roman" w:hAnsi="Times New Roman" w:eastAsia="Times New Roman" w:cs="Times New Roman"/>
                <w:color w:val="000000"/>
              </w:rPr>
              <w:t>S. Paulo: Hucitec, 1991</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NOVARO, M. &amp; PALERMO, V. </w:t>
            </w:r>
            <w:r>
              <w:rPr>
                <w:rFonts w:ascii="Times New Roman" w:hAnsi="Times New Roman" w:eastAsia="Times New Roman" w:cs="Times New Roman"/>
                <w:i/>
                <w:color w:val="000000"/>
              </w:rPr>
              <w:t>A ditadura militar argentina 1976-1983</w:t>
            </w:r>
            <w:r>
              <w:rPr>
                <w:rFonts w:ascii="Times New Roman" w:hAnsi="Times New Roman" w:eastAsia="Times New Roman" w:cs="Times New Roman"/>
                <w:color w:val="000000"/>
              </w:rPr>
              <w:t>: do Golpe de Estado à restauração democrática. S. Paulo: Edusp, 2007.</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495"/>
        <w:tblW w:w="9021" w:type="dxa"/>
        <w:tblInd w:w="2" w:type="dxa"/>
        <w:tblLayout w:type="fixed"/>
        <w:tblCellMar>
          <w:top w:w="0" w:type="dxa"/>
          <w:left w:w="22" w:type="dxa"/>
          <w:bottom w:w="0" w:type="dxa"/>
          <w:right w:w="5" w:type="dxa"/>
        </w:tblCellMar>
      </w:tblPr>
      <w:tblGrid>
        <w:gridCol w:w="2932"/>
        <w:gridCol w:w="3185"/>
        <w:gridCol w:w="2904"/>
      </w:tblGrid>
      <w:tr>
        <w:tblPrEx>
          <w:tblCellMar>
            <w:top w:w="0" w:type="dxa"/>
            <w:left w:w="22" w:type="dxa"/>
            <w:bottom w:w="0" w:type="dxa"/>
            <w:right w:w="5" w:type="dxa"/>
          </w:tblCellMar>
        </w:tblPrEx>
        <w:trPr>
          <w:trHeight w:val="2073" w:hRule="atLeast"/>
        </w:trPr>
        <w:tc>
          <w:tcPr>
            <w:tcW w:w="6117"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1"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História da Historiografia Geral</w:t>
            </w:r>
          </w:p>
          <w:p>
            <w:pPr>
              <w:widowControl w:val="0"/>
              <w:pBdr>
                <w:top w:val="none" w:color="auto" w:sz="0" w:space="0"/>
                <w:left w:val="none" w:color="auto" w:sz="0" w:space="0"/>
                <w:bottom w:val="none" w:color="auto" w:sz="0" w:space="0"/>
                <w:right w:val="none" w:color="auto" w:sz="0" w:space="0"/>
                <w:between w:val="none" w:color="auto" w:sz="0" w:space="0"/>
              </w:pBdr>
              <w:tabs>
                <w:tab w:val="left" w:pos="4060"/>
              </w:tabs>
              <w:spacing w:before="8"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b/>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14"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History of General Historiography</w:t>
            </w:r>
          </w:p>
        </w:tc>
        <w:tc>
          <w:tcPr>
            <w:tcW w:w="2904"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HIS074</w:t>
            </w:r>
          </w:p>
        </w:tc>
      </w:tr>
      <w:tr>
        <w:tblPrEx>
          <w:tblCellMar>
            <w:top w:w="0" w:type="dxa"/>
            <w:left w:w="22" w:type="dxa"/>
            <w:bottom w:w="0" w:type="dxa"/>
            <w:right w:w="5" w:type="dxa"/>
          </w:tblCellMar>
        </w:tblPrEx>
        <w:trPr>
          <w:trHeight w:val="825" w:hRule="atLeast"/>
        </w:trPr>
        <w:tc>
          <w:tcPr>
            <w:tcW w:w="6117"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 História</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DEHIS</w:t>
            </w:r>
          </w:p>
        </w:tc>
        <w:tc>
          <w:tcPr>
            <w:tcW w:w="2904"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5" w:type="dxa"/>
          </w:tblCellMar>
        </w:tblPrEx>
        <w:trPr>
          <w:trHeight w:val="921" w:hRule="atLeast"/>
        </w:trPr>
        <w:tc>
          <w:tcPr>
            <w:tcW w:w="2932"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right="53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   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right="53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3185"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w:t>
            </w:r>
          </w:p>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04 horas/aula</w:t>
            </w:r>
          </w:p>
        </w:tc>
        <w:tc>
          <w:tcPr>
            <w:tcW w:w="2904"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Carga horária semanal prática </w:t>
            </w:r>
          </w:p>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02 horas/aula</w:t>
            </w:r>
          </w:p>
        </w:tc>
      </w:tr>
      <w:tr>
        <w:tblPrEx>
          <w:tblCellMar>
            <w:top w:w="0" w:type="dxa"/>
            <w:left w:w="22" w:type="dxa"/>
            <w:bottom w:w="0" w:type="dxa"/>
            <w:right w:w="5" w:type="dxa"/>
          </w:tblCellMar>
        </w:tblPrEx>
        <w:trPr>
          <w:trHeight w:val="2078" w:hRule="atLeast"/>
        </w:trPr>
        <w:tc>
          <w:tcPr>
            <w:tcW w:w="9021" w:type="dxa"/>
            <w:gridSpan w:val="3"/>
            <w:tcBorders>
              <w:top w:val="single" w:color="000000" w:sz="4"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5"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Métodos e abordagens de pesquisa em história da historiografia. Introdução à história da historiografia. O estudo das diferentes concepções de história e de temporalidade, bem como das principais tendências e correntes da historiografia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mundial. As relações entre a escrita da História e as dimensões sociais, econômicas e</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políticas.</w:t>
            </w:r>
          </w:p>
        </w:tc>
      </w:tr>
      <w:tr>
        <w:tblPrEx>
          <w:tblCellMar>
            <w:top w:w="0" w:type="dxa"/>
            <w:left w:w="22" w:type="dxa"/>
            <w:bottom w:w="0" w:type="dxa"/>
            <w:right w:w="5" w:type="dxa"/>
          </w:tblCellMar>
        </w:tblPrEx>
        <w:trPr>
          <w:trHeight w:val="2899" w:hRule="atLeast"/>
        </w:trPr>
        <w:tc>
          <w:tcPr>
            <w:tcW w:w="9021" w:type="dxa"/>
            <w:gridSpan w:val="3"/>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right="779" w:hanging="2"/>
              <w:rPr>
                <w:rFonts w:ascii="Times New Roman" w:hAnsi="Times New Roman" w:eastAsia="Times New Roman" w:cs="Times New Roman"/>
                <w:color w:val="000000"/>
              </w:rPr>
            </w:pPr>
            <w:r>
              <w:rPr>
                <w:rFonts w:ascii="Times New Roman" w:hAnsi="Times New Roman" w:eastAsia="Times New Roman" w:cs="Times New Roman"/>
                <w:color w:val="000000"/>
              </w:rPr>
              <w:t>UNIDADE I. História da Historiografia como campo de investigação. UNIDADE II. Historiografia Clássica.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4179" w:hanging="2"/>
              <w:rPr>
                <w:rFonts w:ascii="Times New Roman" w:hAnsi="Times New Roman" w:eastAsia="Times New Roman" w:cs="Times New Roman"/>
                <w:color w:val="000000"/>
              </w:rPr>
            </w:pPr>
            <w:r>
              <w:rPr>
                <w:rFonts w:ascii="Times New Roman" w:hAnsi="Times New Roman" w:eastAsia="Times New Roman" w:cs="Times New Roman"/>
                <w:color w:val="000000"/>
              </w:rPr>
              <w:t>UNIDADE III. Historiografia extra-européia. UNIDADE IV. Historiografia Moderna.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V. SÉCULO XIX – O Século da História.</w:t>
            </w:r>
          </w:p>
          <w:p>
            <w:pPr>
              <w:widowControl w:val="0"/>
              <w:pBdr>
                <w:top w:val="none" w:color="auto" w:sz="0" w:space="0"/>
                <w:left w:val="none" w:color="auto" w:sz="0" w:space="0"/>
                <w:bottom w:val="none" w:color="auto" w:sz="0" w:space="0"/>
                <w:right w:val="none" w:color="auto" w:sz="0" w:space="0"/>
                <w:between w:val="none" w:color="auto" w:sz="0" w:space="0"/>
              </w:pBdr>
              <w:spacing w:before="138"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VI. SÉCULO XX – A pluralização do campo histórico.</w:t>
            </w:r>
          </w:p>
        </w:tc>
      </w:tr>
      <w:tr>
        <w:tblPrEx>
          <w:tblCellMar>
            <w:top w:w="0" w:type="dxa"/>
            <w:left w:w="22" w:type="dxa"/>
            <w:bottom w:w="0" w:type="dxa"/>
            <w:right w:w="5" w:type="dxa"/>
          </w:tblCellMar>
        </w:tblPrEx>
        <w:trPr>
          <w:trHeight w:val="1860" w:hRule="atLeast"/>
        </w:trPr>
        <w:tc>
          <w:tcPr>
            <w:tcW w:w="9021" w:type="dxa"/>
            <w:gridSpan w:val="3"/>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11"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ANKERSMIT, Frank. Historiografia e pós-modernismo. </w:t>
            </w:r>
            <w:r>
              <w:rPr>
                <w:rFonts w:ascii="Times New Roman" w:hAnsi="Times New Roman" w:eastAsia="Times New Roman" w:cs="Times New Roman"/>
                <w:i/>
                <w:color w:val="000000"/>
              </w:rPr>
              <w:t xml:space="preserve">Topoi </w:t>
            </w:r>
            <w:r>
              <w:rPr>
                <w:rFonts w:ascii="Times New Roman" w:hAnsi="Times New Roman" w:eastAsia="Times New Roman" w:cs="Times New Roman"/>
                <w:color w:val="000000"/>
              </w:rPr>
              <w:t xml:space="preserve">(2) 2001: 113-135. BARTHES, Roland. </w:t>
            </w:r>
            <w:r>
              <w:rPr>
                <w:rFonts w:ascii="Times New Roman" w:hAnsi="Times New Roman" w:eastAsia="Times New Roman" w:cs="Times New Roman"/>
                <w:i/>
                <w:color w:val="000000"/>
              </w:rPr>
              <w:t>Michelet</w:t>
            </w:r>
            <w:r>
              <w:rPr>
                <w:rFonts w:ascii="Times New Roman" w:hAnsi="Times New Roman" w:eastAsia="Times New Roman" w:cs="Times New Roman"/>
                <w:color w:val="000000"/>
              </w:rPr>
              <w:t>. São Paulo: Cia das Letras, 1991.</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BRANDÃO, Jacynto Lins. </w:t>
            </w:r>
            <w:r>
              <w:rPr>
                <w:rFonts w:ascii="Times New Roman" w:hAnsi="Times New Roman" w:eastAsia="Times New Roman" w:cs="Times New Roman"/>
                <w:i/>
                <w:color w:val="000000"/>
              </w:rPr>
              <w:t>A poética do Hipocentauro</w:t>
            </w:r>
            <w:r>
              <w:rPr>
                <w:rFonts w:ascii="Times New Roman" w:hAnsi="Times New Roman" w:eastAsia="Times New Roman" w:cs="Times New Roman"/>
                <w:color w:val="000000"/>
              </w:rPr>
              <w:t>. Literatura, sociedade e discurso ficcional em Luciano de Samósata. Belo Horizonte: UFMG, 2001.</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BURKE, Peter (org.) </w:t>
            </w:r>
            <w:r>
              <w:rPr>
                <w:rFonts w:ascii="Times New Roman" w:hAnsi="Times New Roman" w:eastAsia="Times New Roman" w:cs="Times New Roman"/>
                <w:i/>
                <w:color w:val="000000"/>
              </w:rPr>
              <w:t xml:space="preserve">A escrita da história. </w:t>
            </w:r>
            <w:r>
              <w:rPr>
                <w:rFonts w:ascii="Times New Roman" w:hAnsi="Times New Roman" w:eastAsia="Times New Roman" w:cs="Times New Roman"/>
                <w:color w:val="000000"/>
              </w:rPr>
              <w:t>Novas perspectivas. São Paulo: Unesp,1992.</w:t>
            </w:r>
          </w:p>
          <w:p>
            <w:pPr>
              <w:widowControl w:val="0"/>
              <w:pBdr>
                <w:top w:val="none" w:color="auto" w:sz="0" w:space="0"/>
                <w:left w:val="none" w:color="auto" w:sz="0" w:space="0"/>
                <w:bottom w:val="none" w:color="auto" w:sz="0" w:space="0"/>
                <w:right w:val="none" w:color="auto" w:sz="0" w:space="0"/>
                <w:between w:val="none" w:color="auto" w:sz="0" w:space="0"/>
              </w:pBdr>
              <w:tabs>
                <w:tab w:val="left" w:pos="6412"/>
              </w:tabs>
              <w:spacing w:before="5" w:line="240" w:lineRule="auto"/>
              <w:ind w:left="0" w:right="779" w:hanging="2"/>
              <w:rPr>
                <w:rFonts w:ascii="Times New Roman" w:hAnsi="Times New Roman" w:eastAsia="Times New Roman" w:cs="Times New Roman"/>
                <w:color w:val="000000"/>
              </w:rPr>
            </w:pPr>
            <w:r>
              <w:rPr>
                <w:rFonts w:ascii="Times New Roman" w:hAnsi="Times New Roman" w:eastAsia="Times New Roman" w:cs="Times New Roman"/>
                <w:color w:val="000000"/>
              </w:rPr>
              <w:t>CASSIRER,  Ernst.  A Conquista do MundoHistórico.In:</w:t>
            </w:r>
            <w:r>
              <w:rPr>
                <w:rFonts w:ascii="Times New Roman" w:hAnsi="Times New Roman" w:eastAsia="Times New Roman" w:cs="Times New Roman"/>
                <w:color w:val="000000"/>
                <w:u w:val="single"/>
              </w:rPr>
              <w:tab/>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A filosofia do Iluminismo</w:t>
            </w:r>
            <w:r>
              <w:rPr>
                <w:rFonts w:ascii="Times New Roman" w:hAnsi="Times New Roman" w:eastAsia="Times New Roman" w:cs="Times New Roman"/>
                <w:b/>
                <w:color w:val="000000"/>
              </w:rPr>
              <w:t xml:space="preserve">. </w:t>
            </w:r>
            <w:r>
              <w:rPr>
                <w:rFonts w:ascii="Times New Roman" w:hAnsi="Times New Roman" w:eastAsia="Times New Roman" w:cs="Times New Roman"/>
                <w:color w:val="000000"/>
              </w:rPr>
              <w:t>Campinas, São Paulo: Editora da Unicamp,1994.</w:t>
            </w:r>
          </w:p>
        </w:tc>
      </w:tr>
      <w:tr>
        <w:tblPrEx>
          <w:tblCellMar>
            <w:top w:w="0" w:type="dxa"/>
            <w:left w:w="22" w:type="dxa"/>
            <w:bottom w:w="0" w:type="dxa"/>
            <w:right w:w="5" w:type="dxa"/>
          </w:tblCellMar>
        </w:tblPrEx>
        <w:trPr>
          <w:trHeight w:val="1860" w:hRule="atLeast"/>
        </w:trPr>
        <w:tc>
          <w:tcPr>
            <w:tcW w:w="9021" w:type="dxa"/>
            <w:gridSpan w:val="3"/>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right="93"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GOOCH, G. P. </w:t>
            </w:r>
            <w:r>
              <w:rPr>
                <w:rFonts w:ascii="Times New Roman" w:hAnsi="Times New Roman" w:eastAsia="Times New Roman" w:cs="Times New Roman"/>
                <w:i/>
                <w:color w:val="000000"/>
              </w:rPr>
              <w:t>Historia e historiadores en el siglo XIX</w:t>
            </w:r>
            <w:r>
              <w:rPr>
                <w:rFonts w:ascii="Times New Roman" w:hAnsi="Times New Roman" w:eastAsia="Times New Roman" w:cs="Times New Roman"/>
                <w:color w:val="000000"/>
              </w:rPr>
              <w:t>. México: Fondo de Cultura Económica, 1942.</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97"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GUMBRECHT, Hans Ulrich. </w:t>
            </w:r>
            <w:r>
              <w:rPr>
                <w:rFonts w:ascii="Times New Roman" w:hAnsi="Times New Roman" w:eastAsia="Times New Roman" w:cs="Times New Roman"/>
                <w:i/>
                <w:color w:val="000000"/>
              </w:rPr>
              <w:t>Em 1926</w:t>
            </w:r>
            <w:r>
              <w:rPr>
                <w:rFonts w:ascii="Times New Roman" w:hAnsi="Times New Roman" w:eastAsia="Times New Roman" w:cs="Times New Roman"/>
                <w:color w:val="000000"/>
              </w:rPr>
              <w:t>. Vivendo no limite do tempo. Rio de Janeiro: Record, 1999.</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01"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IGGERS, Georg. </w:t>
            </w:r>
            <w:r>
              <w:rPr>
                <w:rFonts w:ascii="Times New Roman" w:hAnsi="Times New Roman" w:eastAsia="Times New Roman" w:cs="Times New Roman"/>
                <w:i/>
                <w:color w:val="000000"/>
              </w:rPr>
              <w:t>La ciencia histórica en el siglo XX</w:t>
            </w:r>
            <w:r>
              <w:rPr>
                <w:rFonts w:ascii="Times New Roman" w:hAnsi="Times New Roman" w:eastAsia="Times New Roman" w:cs="Times New Roman"/>
                <w:color w:val="000000"/>
              </w:rPr>
              <w:t>. Las tendencias actuales. Barcelona: Idea,1998.</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91"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JASMIN, Marcelo Ganthus. Política e historiografia no Renascimento italiano: o caso de Maquiavel. In: CAVALCANTE, Berenice et alii. </w:t>
            </w:r>
            <w:r>
              <w:rPr>
                <w:rFonts w:ascii="Times New Roman" w:hAnsi="Times New Roman" w:eastAsia="Times New Roman" w:cs="Times New Roman"/>
                <w:i/>
                <w:color w:val="000000"/>
              </w:rPr>
              <w:t>Modernas tradições</w:t>
            </w:r>
            <w:r>
              <w:rPr>
                <w:rFonts w:ascii="Times New Roman" w:hAnsi="Times New Roman" w:eastAsia="Times New Roman" w:cs="Times New Roman"/>
                <w:color w:val="000000"/>
              </w:rPr>
              <w:t>. Rio de Janeiro: Access,2002.</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9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LEFEBVRE, Georges. </w:t>
            </w:r>
            <w:r>
              <w:rPr>
                <w:rFonts w:ascii="Times New Roman" w:hAnsi="Times New Roman" w:eastAsia="Times New Roman" w:cs="Times New Roman"/>
                <w:i/>
                <w:color w:val="000000"/>
              </w:rPr>
              <w:t>O nascimento da moderna historiografia</w:t>
            </w:r>
            <w:r>
              <w:rPr>
                <w:rFonts w:ascii="Times New Roman" w:hAnsi="Times New Roman" w:eastAsia="Times New Roman" w:cs="Times New Roman"/>
                <w:color w:val="000000"/>
              </w:rPr>
              <w:t>. Lisboa: Sá da Costa, 1981.</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9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MALERBA, Jurandir (org.) </w:t>
            </w:r>
            <w:r>
              <w:rPr>
                <w:rFonts w:ascii="Times New Roman" w:hAnsi="Times New Roman" w:eastAsia="Times New Roman" w:cs="Times New Roman"/>
                <w:i/>
                <w:color w:val="000000"/>
              </w:rPr>
              <w:t>A história escrita</w:t>
            </w:r>
            <w:r>
              <w:rPr>
                <w:rFonts w:ascii="Times New Roman" w:hAnsi="Times New Roman" w:eastAsia="Times New Roman" w:cs="Times New Roman"/>
                <w:color w:val="000000"/>
              </w:rPr>
              <w:t>. Teoria e história da historiografia. São Paulo: Contexto, 2006.</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NIETZSCHE, Friedrich. </w:t>
            </w:r>
            <w:r>
              <w:rPr>
                <w:rFonts w:ascii="Times New Roman" w:hAnsi="Times New Roman" w:eastAsia="Times New Roman" w:cs="Times New Roman"/>
                <w:i/>
                <w:color w:val="000000"/>
              </w:rPr>
              <w:t>Da utilidade e desvantagem da história para a vida</w:t>
            </w:r>
            <w:r>
              <w:rPr>
                <w:rFonts w:ascii="Times New Roman" w:hAnsi="Times New Roman" w:eastAsia="Times New Roman" w:cs="Times New Roman"/>
                <w:color w:val="000000"/>
              </w:rPr>
              <w:t>. Rio de</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Janeiro: Relume Dumará, 2003.</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leftChars="0" w:firstLine="0" w:firstLineChars="0"/>
        <w:rPr>
          <w:rFonts w:ascii="Times New Roman" w:hAnsi="Times New Roman" w:eastAsia="Times New Roman" w:cs="Times New Roman"/>
        </w:rPr>
      </w:pPr>
    </w:p>
    <w:p>
      <w:pPr>
        <w:ind w:left="0" w:hanging="2"/>
        <w:rPr>
          <w:rFonts w:ascii="Times New Roman" w:hAnsi="Times New Roman" w:cs="Times New Roman"/>
        </w:rPr>
      </w:pPr>
      <w:r>
        <w:rPr>
          <w:rFonts w:ascii="Times New Roman" w:hAnsi="Times New Roman" w:eastAsia="Times New Roman" w:cs="Times New Roman"/>
          <w:b/>
        </w:rPr>
        <w:t>4° Período</w:t>
      </w:r>
    </w:p>
    <w:p>
      <w:pPr>
        <w:ind w:left="0" w:hanging="2"/>
        <w:rPr>
          <w:rFonts w:ascii="Times New Roman" w:hAnsi="Times New Roman" w:eastAsia="Times New Roman" w:cs="Times New Roman"/>
        </w:rPr>
      </w:pPr>
    </w:p>
    <w:tbl>
      <w:tblPr>
        <w:tblStyle w:val="496"/>
        <w:tblW w:w="9021" w:type="dxa"/>
        <w:tblInd w:w="2" w:type="dxa"/>
        <w:tblLayout w:type="fixed"/>
        <w:tblCellMar>
          <w:top w:w="0" w:type="dxa"/>
          <w:left w:w="22" w:type="dxa"/>
          <w:bottom w:w="0" w:type="dxa"/>
          <w:right w:w="22" w:type="dxa"/>
        </w:tblCellMar>
      </w:tblPr>
      <w:tblGrid>
        <w:gridCol w:w="2974"/>
        <w:gridCol w:w="3383"/>
        <w:gridCol w:w="2664"/>
      </w:tblGrid>
      <w:tr>
        <w:trPr>
          <w:trHeight w:val="1660" w:hRule="atLeast"/>
        </w:trPr>
        <w:tc>
          <w:tcPr>
            <w:tcW w:w="6357"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Ensino de História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History</w:t>
            </w:r>
          </w:p>
          <w:p>
            <w:pPr>
              <w:widowControl w:val="0"/>
              <w:pBdr>
                <w:top w:val="none" w:color="auto" w:sz="0" w:space="0"/>
                <w:left w:val="none" w:color="auto" w:sz="0" w:space="0"/>
                <w:bottom w:val="none" w:color="auto" w:sz="0" w:space="0"/>
                <w:right w:val="none" w:color="auto" w:sz="0" w:space="0"/>
                <w:between w:val="none" w:color="auto" w:sz="0" w:space="0"/>
              </w:pBdr>
              <w:spacing w:before="133"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Teaching</w:t>
            </w:r>
          </w:p>
        </w:tc>
        <w:tc>
          <w:tcPr>
            <w:tcW w:w="2664"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HIS075</w:t>
            </w:r>
          </w:p>
        </w:tc>
      </w:tr>
      <w:tr>
        <w:tblPrEx>
          <w:tblCellMar>
            <w:top w:w="0" w:type="dxa"/>
            <w:left w:w="22" w:type="dxa"/>
            <w:bottom w:w="0" w:type="dxa"/>
            <w:right w:w="22" w:type="dxa"/>
          </w:tblCellMar>
        </w:tblPrEx>
        <w:trPr>
          <w:trHeight w:val="825" w:hRule="atLeast"/>
        </w:trPr>
        <w:tc>
          <w:tcPr>
            <w:tcW w:w="6357"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 História -</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ICHS</w:t>
            </w:r>
          </w:p>
        </w:tc>
        <w:tc>
          <w:tcPr>
            <w:tcW w:w="2664"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830" w:hRule="atLeast"/>
        </w:trPr>
        <w:tc>
          <w:tcPr>
            <w:tcW w:w="2974"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93"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before="142" w:line="240" w:lineRule="auto"/>
              <w:ind w:left="0" w:right="93"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3383"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77"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w:t>
            </w:r>
          </w:p>
          <w:p>
            <w:pPr>
              <w:widowControl w:val="0"/>
              <w:pBdr>
                <w:top w:val="none" w:color="auto" w:sz="0" w:space="0"/>
                <w:left w:val="none" w:color="auto" w:sz="0" w:space="0"/>
                <w:bottom w:val="none" w:color="auto" w:sz="0" w:space="0"/>
                <w:right w:val="none" w:color="auto" w:sz="0" w:space="0"/>
                <w:between w:val="none" w:color="auto" w:sz="0" w:space="0"/>
              </w:pBdr>
              <w:spacing w:before="142" w:line="240" w:lineRule="auto"/>
              <w:ind w:left="0" w:right="77"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04 horas/aula</w:t>
            </w:r>
          </w:p>
        </w:tc>
        <w:tc>
          <w:tcPr>
            <w:tcW w:w="2664"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55"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before="142" w:line="240" w:lineRule="auto"/>
              <w:ind w:left="0" w:right="5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02 horas/aula</w:t>
            </w:r>
          </w:p>
        </w:tc>
      </w:tr>
      <w:tr>
        <w:tblPrEx>
          <w:tblCellMar>
            <w:top w:w="0" w:type="dxa"/>
            <w:left w:w="22" w:type="dxa"/>
            <w:bottom w:w="0" w:type="dxa"/>
            <w:right w:w="22" w:type="dxa"/>
          </w:tblCellMar>
        </w:tblPrEx>
        <w:trPr>
          <w:trHeight w:val="1243"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3" w:hanging="2"/>
              <w:rPr>
                <w:rFonts w:ascii="Times New Roman" w:hAnsi="Times New Roman" w:eastAsia="Times New Roman" w:cs="Times New Roman"/>
                <w:color w:val="000000"/>
              </w:rPr>
            </w:pPr>
            <w:r>
              <w:rPr>
                <w:rFonts w:ascii="Times New Roman" w:hAnsi="Times New Roman" w:eastAsia="Times New Roman" w:cs="Times New Roman"/>
                <w:color w:val="000000"/>
              </w:rPr>
              <w:t>Ementa: O emprego das linguagens e representações no ensino de história. As concepções de memória e patrimônio no ensino de história. Elaboração de material</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didático voltado para o ensino de história.</w:t>
            </w:r>
          </w:p>
        </w:tc>
      </w:tr>
      <w:tr>
        <w:tblPrEx>
          <w:tblCellMar>
            <w:top w:w="0" w:type="dxa"/>
            <w:left w:w="22" w:type="dxa"/>
            <w:bottom w:w="0" w:type="dxa"/>
            <w:right w:w="22" w:type="dxa"/>
          </w:tblCellMar>
        </w:tblPrEx>
        <w:trPr>
          <w:trHeight w:val="1550"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right="6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O curso visa focar a ampliação do conceito de conhecimento histórico escolar e ampliar o debate acerca da relação entre história ensinada e construção do discurso histórico. Procuramos também analisar o emprego das linguagens e representações no ensino de história por meio do uso de documentos e identificar algumas concepções de memória e patrimônio no ensino de história. Pretende-se ainda problematizar aspectos concernentes ao processo de elaboração de material didático voltado para o ensino de história. Observação em espaços educativos. Elaboração de material educativo.</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b/>
                <w:color w:val="000000"/>
              </w:rPr>
              <w:t>Parte I</w:t>
            </w:r>
          </w:p>
          <w:p>
            <w:pPr>
              <w:widowControl w:val="0"/>
              <w:pBdr>
                <w:top w:val="none" w:color="auto" w:sz="0" w:space="0"/>
                <w:left w:val="none" w:color="auto" w:sz="0" w:space="0"/>
                <w:bottom w:val="none" w:color="auto" w:sz="0" w:space="0"/>
                <w:right w:val="none" w:color="auto" w:sz="0" w:space="0"/>
                <w:between w:val="none" w:color="auto" w:sz="0" w:space="0"/>
              </w:pBdr>
              <w:spacing w:before="132" w:line="360" w:lineRule="auto"/>
              <w:ind w:left="0" w:right="407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1.1. O conhecimento histórico escolar 1.2.história ensinada/ narrativas históricas </w:t>
            </w:r>
            <w:r>
              <w:rPr>
                <w:rFonts w:ascii="Times New Roman" w:hAnsi="Times New Roman" w:eastAsia="Times New Roman" w:cs="Times New Roman"/>
                <w:b/>
                <w:color w:val="000000"/>
              </w:rPr>
              <w:t>Parte II</w:t>
            </w:r>
          </w:p>
          <w:p>
            <w:pPr>
              <w:widowControl w:val="0"/>
              <w:pBdr>
                <w:top w:val="none" w:color="auto" w:sz="0" w:space="0"/>
                <w:left w:val="none" w:color="auto" w:sz="0" w:space="0"/>
                <w:bottom w:val="none" w:color="auto" w:sz="0" w:space="0"/>
                <w:right w:val="none" w:color="auto" w:sz="0" w:space="0"/>
                <w:between w:val="none" w:color="auto" w:sz="0" w:space="0"/>
              </w:pBdr>
              <w:spacing w:before="2" w:line="360" w:lineRule="auto"/>
              <w:ind w:left="0" w:right="4459"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O uso de documentos no ensino de história. 1.1- Textos manuscritos e impressos.</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1.2- Iconografia.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1.3-Música.</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1.4-Cinema.</w:t>
            </w:r>
          </w:p>
          <w:p>
            <w:pPr>
              <w:widowControl w:val="0"/>
              <w:pBdr>
                <w:top w:val="none" w:color="auto" w:sz="0" w:space="0"/>
                <w:left w:val="none" w:color="auto" w:sz="0" w:space="0"/>
                <w:bottom w:val="none" w:color="auto" w:sz="0" w:space="0"/>
                <w:right w:val="none" w:color="auto" w:sz="0" w:space="0"/>
                <w:between w:val="none" w:color="auto" w:sz="0" w:space="0"/>
              </w:pBdr>
              <w:spacing w:before="142"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b/>
                <w:color w:val="000000"/>
              </w:rPr>
              <w:t>Parte III</w:t>
            </w:r>
          </w:p>
          <w:p>
            <w:pPr>
              <w:widowControl w:val="0"/>
              <w:pBdr>
                <w:top w:val="none" w:color="auto" w:sz="0" w:space="0"/>
                <w:left w:val="none" w:color="auto" w:sz="0" w:space="0"/>
                <w:bottom w:val="none" w:color="auto" w:sz="0" w:space="0"/>
                <w:right w:val="none" w:color="auto" w:sz="0" w:space="0"/>
                <w:between w:val="none" w:color="auto" w:sz="0" w:space="0"/>
              </w:pBdr>
              <w:spacing w:before="132"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1.1. Memória, patrimônio e história local.</w:t>
            </w:r>
          </w:p>
          <w:p>
            <w:pPr>
              <w:widowControl w:val="0"/>
              <w:pBdr>
                <w:top w:val="none" w:color="auto" w:sz="0" w:space="0"/>
                <w:left w:val="none" w:color="auto" w:sz="0" w:space="0"/>
                <w:bottom w:val="none" w:color="auto" w:sz="0" w:space="0"/>
                <w:right w:val="none" w:color="auto" w:sz="0" w:space="0"/>
                <w:between w:val="none" w:color="auto" w:sz="0" w:space="0"/>
              </w:pBdr>
              <w:spacing w:before="146"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b/>
                <w:color w:val="000000"/>
              </w:rPr>
              <w:t>Parte IV</w:t>
            </w:r>
          </w:p>
          <w:p>
            <w:pPr>
              <w:widowControl w:val="0"/>
              <w:pBdr>
                <w:top w:val="none" w:color="auto" w:sz="0" w:space="0"/>
                <w:left w:val="none" w:color="auto" w:sz="0" w:space="0"/>
                <w:bottom w:val="none" w:color="auto" w:sz="0" w:space="0"/>
                <w:right w:val="none" w:color="auto" w:sz="0" w:space="0"/>
                <w:between w:val="none" w:color="auto" w:sz="0" w:space="0"/>
              </w:pBdr>
              <w:spacing w:before="133"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Elaboração de recursos didáticos.</w:t>
            </w:r>
          </w:p>
          <w:p>
            <w:pPr>
              <w:widowControl w:val="0"/>
              <w:pBdr>
                <w:top w:val="none" w:color="auto" w:sz="0" w:space="0"/>
                <w:left w:val="none" w:color="auto" w:sz="0" w:space="0"/>
                <w:bottom w:val="none" w:color="auto" w:sz="0" w:space="0"/>
                <w:right w:val="none" w:color="auto" w:sz="0" w:space="0"/>
                <w:between w:val="none" w:color="auto" w:sz="0" w:space="0"/>
              </w:pBdr>
              <w:spacing w:before="133" w:line="240" w:lineRule="auto"/>
              <w:ind w:left="0" w:hanging="2"/>
              <w:rPr>
                <w:rFonts w:ascii="Times New Roman" w:hAnsi="Times New Roman" w:eastAsia="Times New Roman" w:cs="Times New Roman"/>
                <w:color w:val="000000"/>
              </w:rPr>
            </w:pPr>
          </w:p>
        </w:tc>
      </w:tr>
      <w:tr>
        <w:tblPrEx>
          <w:tblCellMar>
            <w:top w:w="0" w:type="dxa"/>
            <w:left w:w="22" w:type="dxa"/>
            <w:bottom w:w="0" w:type="dxa"/>
            <w:right w:w="22" w:type="dxa"/>
          </w:tblCellMar>
        </w:tblPrEx>
        <w:trPr>
          <w:trHeight w:val="1116"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141" w:line="360" w:lineRule="auto"/>
              <w:ind w:left="0" w:right="62"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BARBOSA, Roberta Martinelli. Homens e mulheres na corte imperial: um exercício de práticas e imagens sociais (1822-1850). In: ABREU, Martha e SOIHET, Rachel (org.). </w:t>
            </w:r>
            <w:r>
              <w:rPr>
                <w:rFonts w:ascii="Times New Roman" w:hAnsi="Times New Roman" w:eastAsia="Times New Roman" w:cs="Times New Roman"/>
                <w:i/>
                <w:color w:val="000000"/>
              </w:rPr>
              <w:t xml:space="preserve">Ensino de história: </w:t>
            </w:r>
            <w:r>
              <w:rPr>
                <w:rFonts w:ascii="Times New Roman" w:hAnsi="Times New Roman" w:eastAsia="Times New Roman" w:cs="Times New Roman"/>
                <w:color w:val="000000"/>
              </w:rPr>
              <w:t>conceitos, temáticas e metodologia. Rio de Janeiro: Casa da Palavra, 2003.</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9"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BELLONI, Maria Luiz (org.). </w:t>
            </w:r>
            <w:r>
              <w:rPr>
                <w:rFonts w:ascii="Times New Roman" w:hAnsi="Times New Roman" w:eastAsia="Times New Roman" w:cs="Times New Roman"/>
                <w:i/>
                <w:color w:val="000000"/>
              </w:rPr>
              <w:t xml:space="preserve">A formação na sociedade do espetáculo. </w:t>
            </w:r>
            <w:r>
              <w:rPr>
                <w:rFonts w:ascii="Times New Roman" w:hAnsi="Times New Roman" w:eastAsia="Times New Roman" w:cs="Times New Roman"/>
                <w:color w:val="000000"/>
              </w:rPr>
              <w:t>São Paulo: Loyola, 2002.</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BITTENCOURT, Circe Maria Fernandes. Documentos não escritos na sala de aula.</w:t>
            </w:r>
          </w:p>
          <w:p>
            <w:pPr>
              <w:widowControl w:val="0"/>
              <w:pBdr>
                <w:top w:val="none" w:color="auto" w:sz="0" w:space="0"/>
                <w:left w:val="none" w:color="auto" w:sz="0" w:space="0"/>
                <w:bottom w:val="none" w:color="auto" w:sz="0" w:space="0"/>
                <w:right w:val="none" w:color="auto" w:sz="0" w:space="0"/>
                <w:between w:val="none" w:color="auto" w:sz="0" w:space="0"/>
              </w:pBdr>
              <w:spacing w:before="133"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i/>
                <w:color w:val="000000"/>
              </w:rPr>
              <w:t xml:space="preserve">Ensino de história: </w:t>
            </w:r>
            <w:r>
              <w:rPr>
                <w:rFonts w:ascii="Times New Roman" w:hAnsi="Times New Roman" w:eastAsia="Times New Roman" w:cs="Times New Roman"/>
                <w:color w:val="000000"/>
              </w:rPr>
              <w:t>fundamentos e métodos. São Paulo: Cortez, 2004.</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right="63"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CITRON, Suzanne. </w:t>
            </w:r>
            <w:r>
              <w:rPr>
                <w:rFonts w:ascii="Times New Roman" w:hAnsi="Times New Roman" w:eastAsia="Times New Roman" w:cs="Times New Roman"/>
                <w:i/>
                <w:color w:val="000000"/>
              </w:rPr>
              <w:t xml:space="preserve">Ensinar história hoje: a memória perdida e reencontrada. </w:t>
            </w:r>
            <w:r>
              <w:rPr>
                <w:rFonts w:ascii="Times New Roman" w:hAnsi="Times New Roman" w:eastAsia="Times New Roman" w:cs="Times New Roman"/>
                <w:color w:val="000000"/>
              </w:rPr>
              <w:t>Lisboa: Livros</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Horizontes, 1990.</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FERNANDES, José Ricardo Oriá. Memória e ensino de História. In: BITTENCOURT, Circe. </w:t>
            </w:r>
            <w:r>
              <w:rPr>
                <w:rFonts w:ascii="Times New Roman" w:hAnsi="Times New Roman" w:eastAsia="Times New Roman" w:cs="Times New Roman"/>
                <w:i/>
                <w:color w:val="000000"/>
              </w:rPr>
              <w:t>O saber histórico na sala de aula</w:t>
            </w:r>
            <w:r>
              <w:rPr>
                <w:rFonts w:ascii="Times New Roman" w:hAnsi="Times New Roman" w:eastAsia="Times New Roman" w:cs="Times New Roman"/>
                <w:color w:val="000000"/>
              </w:rPr>
              <w:t>. São Paulo: Contexto, 1999.</w:t>
            </w:r>
          </w:p>
        </w:tc>
      </w:tr>
      <w:tr>
        <w:tblPrEx>
          <w:tblCellMar>
            <w:top w:w="0" w:type="dxa"/>
            <w:left w:w="22" w:type="dxa"/>
            <w:bottom w:w="0" w:type="dxa"/>
            <w:right w:w="22" w:type="dxa"/>
          </w:tblCellMar>
        </w:tblPrEx>
        <w:trPr>
          <w:trHeight w:val="4969"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FERNANDES, José Ricardo Oriá. Memória e ensino de História. In: BITTENCOURT, Circe. </w:t>
            </w:r>
            <w:r>
              <w:rPr>
                <w:rFonts w:ascii="Times New Roman" w:hAnsi="Times New Roman" w:eastAsia="Times New Roman" w:cs="Times New Roman"/>
                <w:i/>
                <w:color w:val="000000"/>
              </w:rPr>
              <w:t>O saber histórico na sala de aula</w:t>
            </w:r>
            <w:r>
              <w:rPr>
                <w:rFonts w:ascii="Times New Roman" w:hAnsi="Times New Roman" w:eastAsia="Times New Roman" w:cs="Times New Roman"/>
                <w:color w:val="000000"/>
              </w:rPr>
              <w:t>. São Paulo: Contexto, 1999.</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356"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MAGALHÃES, Marcelo de Souza (orgs.). </w:t>
            </w:r>
            <w:r>
              <w:rPr>
                <w:rFonts w:ascii="Times New Roman" w:hAnsi="Times New Roman" w:eastAsia="Times New Roman" w:cs="Times New Roman"/>
                <w:i/>
                <w:color w:val="000000"/>
              </w:rPr>
              <w:t>Ensino de História</w:t>
            </w:r>
            <w:r>
              <w:rPr>
                <w:rFonts w:ascii="Times New Roman" w:hAnsi="Times New Roman" w:eastAsia="Times New Roman" w:cs="Times New Roman"/>
                <w:color w:val="000000"/>
              </w:rPr>
              <w:t>: sujeitos, saberes e práticas. Rio de Janeiro: Mauad X/FAPERJ, 2007.</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RAMOS, Francisco Régis Lopes. </w:t>
            </w:r>
            <w:r>
              <w:rPr>
                <w:rFonts w:ascii="Times New Roman" w:hAnsi="Times New Roman" w:eastAsia="Times New Roman" w:cs="Times New Roman"/>
                <w:i/>
                <w:color w:val="000000"/>
              </w:rPr>
              <w:t xml:space="preserve">A danação do objeto: </w:t>
            </w:r>
            <w:r>
              <w:rPr>
                <w:rFonts w:ascii="Times New Roman" w:hAnsi="Times New Roman" w:eastAsia="Times New Roman" w:cs="Times New Roman"/>
                <w:color w:val="000000"/>
              </w:rPr>
              <w:t>o museu no ensino de História. Chapecó: Argos, 2004.</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SILVA, Marcos. A. da. Patrimônios históricos. </w:t>
            </w:r>
            <w:r>
              <w:rPr>
                <w:rFonts w:ascii="Times New Roman" w:hAnsi="Times New Roman" w:eastAsia="Times New Roman" w:cs="Times New Roman"/>
                <w:i/>
                <w:color w:val="000000"/>
              </w:rPr>
              <w:t>História</w:t>
            </w:r>
            <w:r>
              <w:rPr>
                <w:rFonts w:ascii="Times New Roman" w:hAnsi="Times New Roman" w:eastAsia="Times New Roman" w:cs="Times New Roman"/>
                <w:color w:val="000000"/>
              </w:rPr>
              <w:t>: o prazer em ensino e pesquisa. São Paulo: Brasiliense, 2003.</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356"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SOUZA, Elizabeth Salgado. Museus: testemunhas do tempo. </w:t>
            </w:r>
            <w:r>
              <w:rPr>
                <w:rFonts w:ascii="Times New Roman" w:hAnsi="Times New Roman" w:eastAsia="Times New Roman" w:cs="Times New Roman"/>
                <w:i/>
                <w:color w:val="000000"/>
              </w:rPr>
              <w:t>Amae Educando</w:t>
            </w:r>
            <w:r>
              <w:rPr>
                <w:rFonts w:ascii="Times New Roman" w:hAnsi="Times New Roman" w:eastAsia="Times New Roman" w:cs="Times New Roman"/>
                <w:color w:val="000000"/>
              </w:rPr>
              <w:t>, ano XXV, n. 228, 4-7, jun.1992.</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ZAMBONI, E. Representações e linguagens no ensino de História. </w:t>
            </w:r>
            <w:r>
              <w:rPr>
                <w:rFonts w:ascii="Times New Roman" w:hAnsi="Times New Roman" w:eastAsia="Times New Roman" w:cs="Times New Roman"/>
                <w:i/>
                <w:color w:val="000000"/>
              </w:rPr>
              <w:t>Revista Brasileira de</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497"/>
        <w:tblW w:w="9021" w:type="dxa"/>
        <w:tblInd w:w="2" w:type="dxa"/>
        <w:tblLayout w:type="fixed"/>
        <w:tblCellMar>
          <w:top w:w="0" w:type="dxa"/>
          <w:left w:w="22" w:type="dxa"/>
          <w:bottom w:w="0" w:type="dxa"/>
          <w:right w:w="5" w:type="dxa"/>
        </w:tblCellMar>
      </w:tblPr>
      <w:tblGrid>
        <w:gridCol w:w="2932"/>
        <w:gridCol w:w="3408"/>
        <w:gridCol w:w="17"/>
        <w:gridCol w:w="2664"/>
      </w:tblGrid>
      <w:tr>
        <w:tblPrEx>
          <w:tblCellMar>
            <w:top w:w="0" w:type="dxa"/>
            <w:left w:w="22" w:type="dxa"/>
            <w:bottom w:w="0" w:type="dxa"/>
            <w:right w:w="5" w:type="dxa"/>
          </w:tblCellMar>
        </w:tblPrEx>
        <w:trPr>
          <w:trHeight w:val="1655" w:hRule="atLeast"/>
        </w:trPr>
        <w:tc>
          <w:tcPr>
            <w:tcW w:w="6340"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Estágio Supervisionado de História I</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Supervised</w:t>
            </w:r>
          </w:p>
          <w:p>
            <w:pPr>
              <w:widowControl w:val="0"/>
              <w:pBdr>
                <w:top w:val="none" w:color="auto" w:sz="0" w:space="0"/>
                <w:left w:val="none" w:color="auto" w:sz="0" w:space="0"/>
                <w:bottom w:val="none" w:color="auto" w:sz="0" w:space="0"/>
                <w:right w:val="none" w:color="auto" w:sz="0" w:space="0"/>
                <w:between w:val="none" w:color="auto" w:sz="0" w:space="0"/>
              </w:pBdr>
              <w:spacing w:before="130"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Stage of History I</w:t>
            </w:r>
          </w:p>
        </w:tc>
        <w:tc>
          <w:tcPr>
            <w:tcW w:w="2681" w:type="dxa"/>
            <w:gridSpan w:val="2"/>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HIS596</w:t>
            </w:r>
          </w:p>
        </w:tc>
      </w:tr>
      <w:tr>
        <w:tblPrEx>
          <w:tblCellMar>
            <w:top w:w="0" w:type="dxa"/>
            <w:left w:w="22" w:type="dxa"/>
            <w:bottom w:w="0" w:type="dxa"/>
            <w:right w:w="5" w:type="dxa"/>
          </w:tblCellMar>
        </w:tblPrEx>
        <w:trPr>
          <w:trHeight w:val="830" w:hRule="atLeast"/>
        </w:trPr>
        <w:tc>
          <w:tcPr>
            <w:tcW w:w="6340"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 História</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DEHIS</w:t>
            </w:r>
          </w:p>
        </w:tc>
        <w:tc>
          <w:tcPr>
            <w:tcW w:w="2681" w:type="dxa"/>
            <w:gridSpan w:val="2"/>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5" w:type="dxa"/>
          </w:tblCellMar>
        </w:tblPrEx>
        <w:trPr>
          <w:trHeight w:val="1243" w:hRule="atLeast"/>
        </w:trPr>
        <w:tc>
          <w:tcPr>
            <w:tcW w:w="2932"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3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  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535"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105 horas</w:t>
            </w:r>
          </w:p>
        </w:tc>
        <w:tc>
          <w:tcPr>
            <w:tcW w:w="3425" w:type="dxa"/>
            <w:gridSpan w:val="2"/>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02 horas/aula</w:t>
            </w:r>
          </w:p>
        </w:tc>
        <w:tc>
          <w:tcPr>
            <w:tcW w:w="2664"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05 horas/aula</w:t>
            </w:r>
          </w:p>
        </w:tc>
      </w:tr>
      <w:tr>
        <w:tblPrEx>
          <w:tblCellMar>
            <w:top w:w="0" w:type="dxa"/>
            <w:left w:w="22" w:type="dxa"/>
            <w:bottom w:w="0" w:type="dxa"/>
            <w:right w:w="5" w:type="dxa"/>
          </w:tblCellMar>
        </w:tblPrEx>
        <w:trPr>
          <w:trHeight w:val="2068" w:hRule="atLeast"/>
        </w:trPr>
        <w:tc>
          <w:tcPr>
            <w:tcW w:w="9021" w:type="dxa"/>
            <w:gridSpan w:val="4"/>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8"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Introdução ao debate acerca da História ensinada e à dinâmica do espaço escolar, com vistas à problematização do ensino de História em suas várias dimensões. Nessa disciplina também serão revistos tanto o debate historiográfico quanto as normatizações acerca da elaboração dos currículos oficiais para o ensino de história.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Pretende-se também o desenvolvimento de projetos pedagógicos orientados.</w:t>
            </w:r>
          </w:p>
        </w:tc>
      </w:tr>
      <w:tr>
        <w:tblPrEx>
          <w:tblCellMar>
            <w:top w:w="0" w:type="dxa"/>
            <w:left w:w="22" w:type="dxa"/>
            <w:bottom w:w="0" w:type="dxa"/>
            <w:right w:w="5" w:type="dxa"/>
          </w:tblCellMar>
        </w:tblPrEx>
        <w:trPr>
          <w:trHeight w:val="2903" w:hRule="atLeast"/>
        </w:trPr>
        <w:tc>
          <w:tcPr>
            <w:tcW w:w="9021" w:type="dxa"/>
            <w:gridSpan w:val="4"/>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before="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Parte I </w:t>
            </w:r>
            <w:r>
              <w:rPr>
                <w:rFonts w:ascii="Times New Roman" w:hAnsi="Times New Roman" w:eastAsia="Times New Roman" w:cs="Times New Roman"/>
                <w:b/>
                <w:color w:val="000000"/>
              </w:rPr>
              <w:t>– A História ensinada: dimensão teórica e prática</w:t>
            </w:r>
          </w:p>
          <w:p>
            <w:pPr>
              <w:widowControl w:val="0"/>
              <w:pBdr>
                <w:top w:val="none" w:color="auto" w:sz="0" w:space="0"/>
                <w:left w:val="none" w:color="auto" w:sz="0" w:space="0"/>
                <w:bottom w:val="none" w:color="auto" w:sz="0" w:space="0"/>
                <w:right w:val="none" w:color="auto" w:sz="0" w:space="0"/>
                <w:between w:val="none" w:color="auto" w:sz="0" w:space="0"/>
              </w:pBdr>
              <w:spacing w:before="2"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b/>
                <w:color w:val="000000"/>
              </w:rPr>
              <w:t>1.1. O estágio supervisionado de História: desafios.</w:t>
            </w:r>
          </w:p>
          <w:p>
            <w:pPr>
              <w:widowControl w:val="0"/>
              <w:pBdr>
                <w:top w:val="none" w:color="auto" w:sz="0" w:space="0"/>
                <w:left w:val="none" w:color="auto" w:sz="0" w:space="0"/>
                <w:bottom w:val="none" w:color="auto" w:sz="0" w:space="0"/>
                <w:right w:val="none" w:color="auto" w:sz="0" w:space="0"/>
                <w:between w:val="none" w:color="auto" w:sz="0" w:space="0"/>
              </w:pBdr>
              <w:spacing w:before="195"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1.1- A aula de História e a História na escola</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1.2-O que é ensinar História hoje: estudos de casos</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before="196" w:line="360" w:lineRule="auto"/>
              <w:ind w:left="0" w:right="632"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Parte II </w:t>
            </w:r>
            <w:r>
              <w:rPr>
                <w:rFonts w:ascii="Times New Roman" w:hAnsi="Times New Roman" w:eastAsia="Times New Roman" w:cs="Times New Roman"/>
                <w:b/>
                <w:color w:val="000000"/>
              </w:rPr>
              <w:t>– O Currículo da história escolar: recomendações oficiais e o papel do Estado</w:t>
            </w:r>
          </w:p>
          <w:p>
            <w:pPr>
              <w:widowControl w:val="0"/>
              <w:pBdr>
                <w:top w:val="none" w:color="auto" w:sz="0" w:space="0"/>
                <w:left w:val="none" w:color="auto" w:sz="0" w:space="0"/>
                <w:bottom w:val="none" w:color="auto" w:sz="0" w:space="0"/>
                <w:right w:val="none" w:color="auto" w:sz="0" w:space="0"/>
                <w:between w:val="none" w:color="auto" w:sz="0" w:space="0"/>
              </w:pBdr>
              <w:spacing w:before="55" w:line="360" w:lineRule="auto"/>
              <w:ind w:left="0" w:right="2782" w:hanging="2"/>
              <w:rPr>
                <w:rFonts w:ascii="Times New Roman" w:hAnsi="Times New Roman" w:eastAsia="Times New Roman" w:cs="Times New Roman"/>
                <w:color w:val="000000"/>
              </w:rPr>
            </w:pPr>
            <w:r>
              <w:rPr>
                <w:rFonts w:ascii="Times New Roman" w:hAnsi="Times New Roman" w:eastAsia="Times New Roman" w:cs="Times New Roman"/>
                <w:color w:val="000000"/>
              </w:rPr>
              <w:t>2.1- Os Parâmetros e as Orientações Curriculares Nacionais 2.2- O Currículo Básico Comum de Minas Gerais.</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2.3- Outros currículos</w:t>
            </w:r>
          </w:p>
          <w:p>
            <w:pPr>
              <w:widowControl w:val="0"/>
              <w:pBdr>
                <w:top w:val="none" w:color="auto" w:sz="0" w:space="0"/>
                <w:left w:val="none" w:color="auto" w:sz="0" w:space="0"/>
                <w:bottom w:val="none" w:color="auto" w:sz="0" w:space="0"/>
                <w:right w:val="none" w:color="auto" w:sz="0" w:space="0"/>
                <w:between w:val="none" w:color="auto" w:sz="0" w:space="0"/>
              </w:pBdr>
              <w:spacing w:before="142"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b/>
                <w:color w:val="000000"/>
                <w:u w:val="single"/>
              </w:rPr>
              <w:t>Parte III</w:t>
            </w:r>
            <w:r>
              <w:rPr>
                <w:rFonts w:ascii="Times New Roman" w:hAnsi="Times New Roman" w:eastAsia="Times New Roman" w:cs="Times New Roman"/>
                <w:color w:val="000000"/>
              </w:rPr>
              <w:t>- Projetos pedagógicos orientados.</w:t>
            </w:r>
          </w:p>
        </w:tc>
      </w:tr>
      <w:tr>
        <w:tblPrEx>
          <w:tblCellMar>
            <w:top w:w="0" w:type="dxa"/>
            <w:left w:w="22" w:type="dxa"/>
            <w:bottom w:w="0" w:type="dxa"/>
            <w:right w:w="5" w:type="dxa"/>
          </w:tblCellMar>
        </w:tblPrEx>
        <w:trPr>
          <w:trHeight w:val="2902" w:hRule="atLeast"/>
        </w:trPr>
        <w:tc>
          <w:tcPr>
            <w:tcW w:w="9021" w:type="dxa"/>
            <w:gridSpan w:val="4"/>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right="74"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ALCÂNTARA, Alzira Batalha. Currículo e ensino de história: ampliando o diálogo com uma proposta curricular. In: DAVIES, Nicholas (org.). Para além dos conteúdos no ensino de História. Rio de Janeiro: Acess, 2001.</w:t>
            </w: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right="61"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AZEVEDO, Fernando et al. Notas para a História da Educação: A reconstrução educacional no Brasil. Revista Brasileira de Estudos Pedagógicos. Vol XXXIV, n. 79, p.108-127, Jul.set. 1960</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1"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BITTENCOURT, Circe M. Fernandes. Propostas curriculares de História: continuidades e transformações</w:t>
            </w:r>
            <w:r>
              <w:rPr>
                <w:rFonts w:ascii="Times New Roman" w:hAnsi="Times New Roman" w:eastAsia="Times New Roman" w:cs="Times New Roman"/>
                <w:b/>
                <w:color w:val="000000"/>
              </w:rPr>
              <w:t xml:space="preserve">. </w:t>
            </w:r>
            <w:r>
              <w:rPr>
                <w:rFonts w:ascii="Times New Roman" w:hAnsi="Times New Roman" w:eastAsia="Times New Roman" w:cs="Times New Roman"/>
                <w:color w:val="000000"/>
              </w:rPr>
              <w:t>In: BARRETO, Elba Siqueira de Sá (org.). Os currículos do Ensino Fundamental para as escolas brasileiras. Campinas/São Paulo: Autores Associados/Fundação Carlos Chagas, 1998. (Coleção Formação de Professores).</w:t>
            </w:r>
          </w:p>
          <w:p>
            <w:pPr>
              <w:widowControl w:val="0"/>
              <w:pBdr>
                <w:top w:val="none" w:color="auto" w:sz="0" w:space="0"/>
                <w:left w:val="none" w:color="auto" w:sz="0" w:space="0"/>
                <w:bottom w:val="none" w:color="auto" w:sz="0" w:space="0"/>
                <w:right w:val="none" w:color="auto" w:sz="0" w:space="0"/>
                <w:between w:val="none" w:color="auto" w:sz="0" w:space="0"/>
              </w:pBdr>
              <w:spacing w:before="2"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BRASIL. MINISTÉRIO DA EDUCAÇÃO. SECRETARIA DE ENSINO BÁSICO.</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right="7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Orientações curriculares para o ensino médio. Ciências humanas e suas tecnologias. História. Brasília: MEC, 2008.</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BRASIL. SECRETARIA DE EDUCAÇÃO FUNDAMENTAL. Parâmetros</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curriculares nacionais: história. Brasília: MEC/SEF, 1998.</w:t>
            </w:r>
          </w:p>
        </w:tc>
      </w:tr>
      <w:tr>
        <w:tblPrEx>
          <w:tblCellMar>
            <w:top w:w="0" w:type="dxa"/>
            <w:left w:w="22" w:type="dxa"/>
            <w:bottom w:w="0" w:type="dxa"/>
            <w:right w:w="5" w:type="dxa"/>
          </w:tblCellMar>
        </w:tblPrEx>
        <w:trPr>
          <w:trHeight w:val="6212" w:hRule="atLeast"/>
        </w:trPr>
        <w:tc>
          <w:tcPr>
            <w:tcW w:w="9021" w:type="dxa"/>
            <w:gridSpan w:val="4"/>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BRASIL. SECRETARIA DE EDUCAÇÃO MÉDIA E TECNOLÓGICA. Parâmetros</w:t>
            </w:r>
          </w:p>
          <w:p>
            <w:pPr>
              <w:widowControl w:val="0"/>
              <w:pBdr>
                <w:top w:val="none" w:color="auto" w:sz="0" w:space="0"/>
                <w:left w:val="none" w:color="auto" w:sz="0" w:space="0"/>
                <w:bottom w:val="none" w:color="auto" w:sz="0" w:space="0"/>
                <w:right w:val="none" w:color="auto" w:sz="0" w:space="0"/>
                <w:between w:val="none" w:color="auto" w:sz="0" w:space="0"/>
              </w:pBdr>
              <w:spacing w:before="136" w:line="360" w:lineRule="auto"/>
              <w:ind w:left="0" w:right="75"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curriculares nacionais: ensino médio. Ciências humanas e suas tecnologias. Brasília: MEC/SEMTEC, 1999.</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384" w:hanging="2"/>
              <w:jc w:val="both"/>
              <w:rPr>
                <w:rFonts w:ascii="Times New Roman" w:hAnsi="Times New Roman" w:eastAsia="Times New Roman" w:cs="Times New Roman"/>
                <w:color w:val="000000"/>
              </w:rPr>
            </w:pPr>
            <w:r>
              <w:rPr>
                <w:rFonts w:ascii="Times New Roman" w:hAnsi="Times New Roman" w:eastAsia="Times New Roman" w:cs="Times New Roman"/>
                <w:color w:val="121212"/>
              </w:rPr>
              <w:t>BLOCH, Marc. Apologia da história ou o ofício do historiador. Rio de Janeiro: Jorge Zahar, 2002.</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72"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DAVIES, Nicolas. Elementos para a construção do currículo de História. DAVIES, Nicholas (org.). Para além dos conteúdos no ensino de História. Rio de Janeiro: Acess, 2001.</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1"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FERREIRA, Marieta de M. Desafios do ensino de História. IN: </w:t>
            </w:r>
            <w:r>
              <w:rPr>
                <w:rFonts w:ascii="Times New Roman" w:hAnsi="Times New Roman" w:eastAsia="Times New Roman" w:cs="Times New Roman"/>
                <w:color w:val="121212"/>
              </w:rPr>
              <w:t>Estudos Históricos, Rio de Jane iro, vol. 21, nº 41, janeiro-junho de 2008, p. 79-93.</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74"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FONSECA, Selva G. e Silva, Marco A. Enisno de História hoje: errâncias, conquistas e perdas. IN: Revista Brasileira de História. São Paulo, v. 31, nº 60, p. 13-33 – 2010.</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GOODSON, I. F. O Currículo em mudança: estudos na construção social do currículo.</w:t>
            </w:r>
          </w:p>
          <w:p>
            <w:pPr>
              <w:widowControl w:val="0"/>
              <w:pBdr>
                <w:top w:val="none" w:color="auto" w:sz="0" w:space="0"/>
                <w:left w:val="none" w:color="auto" w:sz="0" w:space="0"/>
                <w:bottom w:val="none" w:color="auto" w:sz="0" w:space="0"/>
                <w:right w:val="none" w:color="auto" w:sz="0" w:space="0"/>
                <w:between w:val="none" w:color="auto" w:sz="0" w:space="0"/>
              </w:pBdr>
              <w:spacing w:before="128"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Porto: Porto Editora, 2001.</w:t>
            </w:r>
          </w:p>
        </w:tc>
      </w:tr>
      <w:tr>
        <w:tblPrEx>
          <w:tblCellMar>
            <w:top w:w="0" w:type="dxa"/>
            <w:left w:w="22" w:type="dxa"/>
            <w:bottom w:w="0" w:type="dxa"/>
            <w:right w:w="5" w:type="dxa"/>
          </w:tblCellMar>
        </w:tblPrEx>
        <w:trPr>
          <w:trHeight w:val="825" w:hRule="atLeast"/>
        </w:trPr>
        <w:tc>
          <w:tcPr>
            <w:tcW w:w="9021" w:type="dxa"/>
            <w:gridSpan w:val="4"/>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HERNÁNDEZ, Fernando e VENTURA, Montserrat. A Organização do currículo por</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projetos de trabalho: o conhecimento é um caleidoscópio. Porto Alegre: Artmed, 1998.</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498"/>
        <w:tblW w:w="9021" w:type="dxa"/>
        <w:tblInd w:w="2" w:type="dxa"/>
        <w:tblLayout w:type="fixed"/>
        <w:tblCellMar>
          <w:top w:w="0" w:type="dxa"/>
          <w:left w:w="22" w:type="dxa"/>
          <w:bottom w:w="0" w:type="dxa"/>
          <w:right w:w="5" w:type="dxa"/>
        </w:tblCellMar>
      </w:tblPr>
      <w:tblGrid>
        <w:gridCol w:w="3183"/>
        <w:gridCol w:w="3316"/>
        <w:gridCol w:w="2522"/>
      </w:tblGrid>
      <w:tr>
        <w:tblPrEx>
          <w:tblCellMar>
            <w:top w:w="0" w:type="dxa"/>
            <w:left w:w="22" w:type="dxa"/>
            <w:bottom w:w="0" w:type="dxa"/>
            <w:right w:w="5" w:type="dxa"/>
          </w:tblCellMar>
        </w:tblPrEx>
        <w:trPr>
          <w:trHeight w:val="1381" w:hRule="atLeast"/>
        </w:trPr>
        <w:tc>
          <w:tcPr>
            <w:tcW w:w="6499"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História Medieval</w:t>
            </w:r>
          </w:p>
          <w:p>
            <w:pPr>
              <w:widowControl w:val="0"/>
              <w:pBdr>
                <w:top w:val="none" w:color="auto" w:sz="0" w:space="0"/>
                <w:left w:val="none" w:color="auto" w:sz="0" w:space="0"/>
                <w:bottom w:val="none" w:color="auto" w:sz="0" w:space="0"/>
                <w:right w:val="none" w:color="auto" w:sz="0" w:space="0"/>
                <w:between w:val="none" w:color="auto" w:sz="0" w:space="0"/>
              </w:pBdr>
              <w:spacing w:before="11"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Medieval History</w:t>
            </w:r>
          </w:p>
        </w:tc>
        <w:tc>
          <w:tcPr>
            <w:tcW w:w="2522"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HIS076</w:t>
            </w:r>
          </w:p>
        </w:tc>
      </w:tr>
      <w:tr>
        <w:tblPrEx>
          <w:tblCellMar>
            <w:top w:w="0" w:type="dxa"/>
            <w:left w:w="22" w:type="dxa"/>
            <w:bottom w:w="0" w:type="dxa"/>
            <w:right w:w="5" w:type="dxa"/>
          </w:tblCellMar>
        </w:tblPrEx>
        <w:trPr>
          <w:trHeight w:val="638" w:hRule="atLeast"/>
        </w:trPr>
        <w:tc>
          <w:tcPr>
            <w:tcW w:w="6499"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 História</w:t>
            </w:r>
          </w:p>
        </w:tc>
        <w:tc>
          <w:tcPr>
            <w:tcW w:w="2522"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30" w:lineRule="auto"/>
              <w:ind w:left="0" w:right="196"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5" w:type="dxa"/>
          </w:tblCellMar>
        </w:tblPrEx>
        <w:trPr>
          <w:trHeight w:val="830" w:hRule="atLeast"/>
        </w:trPr>
        <w:tc>
          <w:tcPr>
            <w:tcW w:w="3183"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234"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Carga horária semestral </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23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3316"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2522"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36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36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02 horas/aula</w:t>
            </w:r>
          </w:p>
        </w:tc>
      </w:tr>
      <w:tr>
        <w:tblPrEx>
          <w:tblCellMar>
            <w:top w:w="0" w:type="dxa"/>
            <w:left w:w="22" w:type="dxa"/>
            <w:bottom w:w="0" w:type="dxa"/>
            <w:right w:w="5" w:type="dxa"/>
          </w:tblCellMar>
        </w:tblPrEx>
        <w:trPr>
          <w:trHeight w:val="2760"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7" w:hanging="2"/>
              <w:rPr>
                <w:rFonts w:ascii="Times New Roman" w:hAnsi="Times New Roman" w:eastAsia="Times New Roman" w:cs="Times New Roman"/>
                <w:color w:val="000000"/>
              </w:rPr>
            </w:pPr>
            <w:r>
              <w:rPr>
                <w:rFonts w:ascii="Times New Roman" w:hAnsi="Times New Roman" w:eastAsia="Times New Roman" w:cs="Times New Roman"/>
                <w:color w:val="000000"/>
              </w:rPr>
              <w:t>Ementa: O curso tem por meta principal introduzir o aluno à História Medieval , bem como o desenvolvimento de uma reflexão a nível teórico e metodológico do conteúdo histórico abordado. O panorama linear do século V ao XV é contemplado, mas enfatizando o estudo do Feudalismo, tomando-se como referência a análise de textos ligados ao Materialismo Histórico e à Nova História. A partir dessa abordagem, pretende-se oferecer ao aluno elementos de crítica historiográfica visando uma compreensão melhor do período medieval, e em particular, do Feudalismo.</w:t>
            </w:r>
          </w:p>
        </w:tc>
      </w:tr>
      <w:tr>
        <w:tblPrEx>
          <w:tblCellMar>
            <w:top w:w="0" w:type="dxa"/>
            <w:left w:w="22" w:type="dxa"/>
            <w:bottom w:w="0" w:type="dxa"/>
            <w:right w:w="5" w:type="dxa"/>
          </w:tblCellMar>
        </w:tblPrEx>
        <w:trPr>
          <w:trHeight w:val="6562" w:hRule="atLeast"/>
        </w:trPr>
        <w:tc>
          <w:tcPr>
            <w:tcW w:w="9021" w:type="dxa"/>
            <w:gridSpan w:val="3"/>
            <w:tcBorders>
              <w:top w:val="single" w:color="000000" w:sz="4"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27"/>
                <w:tab w:val="left" w:pos="828"/>
              </w:tabs>
              <w:spacing w:line="276" w:lineRule="auto"/>
              <w:ind w:left="0" w:hanging="2"/>
              <w:rPr>
                <w:rFonts w:ascii="Times New Roman" w:hAnsi="Times New Roman" w:eastAsia="Times New Roman" w:cs="Times New Roman"/>
              </w:rPr>
            </w:pPr>
            <w:r>
              <w:rPr>
                <w:rFonts w:ascii="Times New Roman" w:hAnsi="Times New Roman" w:eastAsia="Times New Roman" w:cs="Times New Roman"/>
              </w:rPr>
              <w:t>Unidade I -  Elementos de formação do Feudalismo na Alta Idade Média Européia (sec. V-X)</w:t>
            </w: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27"/>
                <w:tab w:val="left" w:pos="828"/>
              </w:tabs>
              <w:spacing w:line="276" w:lineRule="auto"/>
              <w:ind w:left="0" w:hanging="2"/>
              <w:rPr>
                <w:rFonts w:ascii="Times New Roman" w:hAnsi="Times New Roman" w:eastAsia="Times New Roman" w:cs="Times New Roman"/>
              </w:rPr>
            </w:pPr>
            <w:r>
              <w:rPr>
                <w:rFonts w:ascii="Times New Roman" w:hAnsi="Times New Roman" w:eastAsia="Times New Roman" w:cs="Times New Roman"/>
              </w:rPr>
              <w:t>1.1-</w:t>
            </w:r>
            <w:r>
              <w:rPr>
                <w:rFonts w:ascii="Times New Roman" w:hAnsi="Times New Roman" w:eastAsia="Times New Roman" w:cs="Times New Roman"/>
              </w:rPr>
              <w:tab/>
            </w:r>
            <w:r>
              <w:rPr>
                <w:rFonts w:ascii="Times New Roman" w:hAnsi="Times New Roman" w:eastAsia="Times New Roman" w:cs="Times New Roman"/>
              </w:rPr>
              <w:t>O fim do mundo Antigo e início da Idade Média: O problema da transição histórica</w:t>
            </w: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27"/>
                <w:tab w:val="left" w:pos="828"/>
              </w:tabs>
              <w:spacing w:line="276" w:lineRule="auto"/>
              <w:ind w:left="0" w:hanging="2"/>
              <w:rPr>
                <w:rFonts w:ascii="Times New Roman" w:hAnsi="Times New Roman" w:eastAsia="Times New Roman" w:cs="Times New Roman"/>
              </w:rPr>
            </w:pPr>
            <w:r>
              <w:rPr>
                <w:rFonts w:ascii="Times New Roman" w:hAnsi="Times New Roman" w:eastAsia="Times New Roman" w:cs="Times New Roman"/>
              </w:rPr>
              <w:t>1.2-</w:t>
            </w:r>
            <w:r>
              <w:rPr>
                <w:rFonts w:ascii="Times New Roman" w:hAnsi="Times New Roman" w:eastAsia="Times New Roman" w:cs="Times New Roman"/>
              </w:rPr>
              <w:tab/>
            </w:r>
            <w:r>
              <w:rPr>
                <w:rFonts w:ascii="Times New Roman" w:hAnsi="Times New Roman" w:eastAsia="Times New Roman" w:cs="Times New Roman"/>
              </w:rPr>
              <w:t>As invasões: as migrações germânicas</w:t>
            </w: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27"/>
                <w:tab w:val="left" w:pos="828"/>
              </w:tabs>
              <w:spacing w:line="276" w:lineRule="auto"/>
              <w:ind w:left="0" w:hanging="2"/>
              <w:rPr>
                <w:rFonts w:ascii="Times New Roman" w:hAnsi="Times New Roman" w:eastAsia="Times New Roman" w:cs="Times New Roman"/>
              </w:rPr>
            </w:pPr>
            <w:r>
              <w:rPr>
                <w:rFonts w:ascii="Times New Roman" w:hAnsi="Times New Roman" w:eastAsia="Times New Roman" w:cs="Times New Roman"/>
              </w:rPr>
              <w:t>1.3-</w:t>
            </w:r>
            <w:r>
              <w:rPr>
                <w:rFonts w:ascii="Times New Roman" w:hAnsi="Times New Roman" w:eastAsia="Times New Roman" w:cs="Times New Roman"/>
              </w:rPr>
              <w:tab/>
            </w:r>
            <w:r>
              <w:rPr>
                <w:rFonts w:ascii="Times New Roman" w:hAnsi="Times New Roman" w:eastAsia="Times New Roman" w:cs="Times New Roman"/>
              </w:rPr>
              <w:t>Os Francos Merovíngios</w:t>
            </w: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27"/>
                <w:tab w:val="left" w:pos="828"/>
              </w:tabs>
              <w:spacing w:line="276" w:lineRule="auto"/>
              <w:ind w:left="0" w:hanging="2"/>
              <w:rPr>
                <w:rFonts w:ascii="Times New Roman" w:hAnsi="Times New Roman" w:eastAsia="Times New Roman" w:cs="Times New Roman"/>
              </w:rPr>
            </w:pPr>
            <w:r>
              <w:rPr>
                <w:rFonts w:ascii="Times New Roman" w:hAnsi="Times New Roman" w:eastAsia="Times New Roman" w:cs="Times New Roman"/>
              </w:rPr>
              <w:t>1.4-</w:t>
            </w:r>
            <w:r>
              <w:rPr>
                <w:rFonts w:ascii="Times New Roman" w:hAnsi="Times New Roman" w:eastAsia="Times New Roman" w:cs="Times New Roman"/>
              </w:rPr>
              <w:tab/>
            </w:r>
            <w:r>
              <w:rPr>
                <w:rFonts w:ascii="Times New Roman" w:hAnsi="Times New Roman" w:eastAsia="Times New Roman" w:cs="Times New Roman"/>
              </w:rPr>
              <w:t>Os Francos Carolíngios</w:t>
            </w: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27"/>
                <w:tab w:val="left" w:pos="828"/>
              </w:tabs>
              <w:spacing w:line="276" w:lineRule="auto"/>
              <w:ind w:left="0" w:hanging="2"/>
              <w:rPr>
                <w:rFonts w:ascii="Times New Roman" w:hAnsi="Times New Roman" w:eastAsia="Times New Roman" w:cs="Times New Roman"/>
              </w:rPr>
            </w:pP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27"/>
                <w:tab w:val="left" w:pos="828"/>
              </w:tabs>
              <w:spacing w:line="276" w:lineRule="auto"/>
              <w:ind w:left="0" w:hanging="2"/>
              <w:rPr>
                <w:rFonts w:ascii="Times New Roman" w:hAnsi="Times New Roman" w:eastAsia="Times New Roman" w:cs="Times New Roman"/>
              </w:rPr>
            </w:pPr>
            <w:r>
              <w:rPr>
                <w:rFonts w:ascii="Times New Roman" w:hAnsi="Times New Roman" w:eastAsia="Times New Roman" w:cs="Times New Roman"/>
              </w:rPr>
              <w:t xml:space="preserve"> Unidade II –  O Feudalismo clássico (séc. XI-XIII)</w:t>
            </w: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27"/>
                <w:tab w:val="left" w:pos="828"/>
              </w:tabs>
              <w:spacing w:line="276" w:lineRule="auto"/>
              <w:ind w:left="0" w:hanging="2"/>
              <w:rPr>
                <w:rFonts w:ascii="Times New Roman" w:hAnsi="Times New Roman" w:eastAsia="Times New Roman" w:cs="Times New Roman"/>
              </w:rPr>
            </w:pPr>
            <w:r>
              <w:rPr>
                <w:rFonts w:ascii="Times New Roman" w:hAnsi="Times New Roman" w:eastAsia="Times New Roman" w:cs="Times New Roman"/>
              </w:rPr>
              <w:t>2.1- O amadurecimento das instituições feudais</w:t>
            </w: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27"/>
                <w:tab w:val="left" w:pos="828"/>
              </w:tabs>
              <w:spacing w:line="276" w:lineRule="auto"/>
              <w:ind w:left="0" w:hanging="2"/>
              <w:rPr>
                <w:rFonts w:ascii="Times New Roman" w:hAnsi="Times New Roman" w:eastAsia="Times New Roman" w:cs="Times New Roman"/>
              </w:rPr>
            </w:pPr>
            <w:r>
              <w:rPr>
                <w:rFonts w:ascii="Times New Roman" w:hAnsi="Times New Roman" w:eastAsia="Times New Roman" w:cs="Times New Roman"/>
              </w:rPr>
              <w:t>2.2- O crescimento econômico: tendências historiográficas</w:t>
            </w: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27"/>
                <w:tab w:val="left" w:pos="828"/>
              </w:tabs>
              <w:spacing w:line="276" w:lineRule="auto"/>
              <w:ind w:left="0" w:hanging="2"/>
              <w:rPr>
                <w:rFonts w:ascii="Times New Roman" w:hAnsi="Times New Roman" w:eastAsia="Times New Roman" w:cs="Times New Roman"/>
              </w:rPr>
            </w:pPr>
            <w:r>
              <w:rPr>
                <w:rFonts w:ascii="Times New Roman" w:hAnsi="Times New Roman" w:eastAsia="Times New Roman" w:cs="Times New Roman"/>
              </w:rPr>
              <w:t>2.3- Arquitetura e urbanismo na Idade Média</w:t>
            </w: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27"/>
                <w:tab w:val="left" w:pos="828"/>
              </w:tabs>
              <w:spacing w:line="276" w:lineRule="auto"/>
              <w:ind w:left="0" w:hanging="2"/>
              <w:rPr>
                <w:rFonts w:ascii="Times New Roman" w:hAnsi="Times New Roman" w:eastAsia="Times New Roman" w:cs="Times New Roman"/>
              </w:rPr>
            </w:pP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27"/>
                <w:tab w:val="left" w:pos="828"/>
              </w:tabs>
              <w:spacing w:line="276" w:lineRule="auto"/>
              <w:ind w:left="0" w:hanging="2"/>
              <w:rPr>
                <w:rFonts w:ascii="Times New Roman" w:hAnsi="Times New Roman" w:eastAsia="Times New Roman" w:cs="Times New Roman"/>
              </w:rPr>
            </w:pPr>
            <w:r>
              <w:rPr>
                <w:rFonts w:ascii="Times New Roman" w:hAnsi="Times New Roman" w:eastAsia="Times New Roman" w:cs="Times New Roman"/>
              </w:rPr>
              <w:t xml:space="preserve"> Unidade III -  A Igreja na Idade Média</w:t>
            </w: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27"/>
                <w:tab w:val="left" w:pos="828"/>
              </w:tabs>
              <w:spacing w:line="276" w:lineRule="auto"/>
              <w:ind w:left="0" w:hanging="2"/>
              <w:rPr>
                <w:rFonts w:ascii="Times New Roman" w:hAnsi="Times New Roman" w:eastAsia="Times New Roman" w:cs="Times New Roman"/>
              </w:rPr>
            </w:pPr>
            <w:r>
              <w:rPr>
                <w:rFonts w:ascii="Times New Roman" w:hAnsi="Times New Roman" w:eastAsia="Times New Roman" w:cs="Times New Roman"/>
              </w:rPr>
              <w:t>3.1 – As estruturas eclesiásticas</w:t>
            </w: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27"/>
                <w:tab w:val="left" w:pos="828"/>
              </w:tabs>
              <w:spacing w:line="276" w:lineRule="auto"/>
              <w:ind w:left="0" w:hanging="2"/>
              <w:rPr>
                <w:rFonts w:ascii="Times New Roman" w:hAnsi="Times New Roman" w:eastAsia="Times New Roman" w:cs="Times New Roman"/>
              </w:rPr>
            </w:pPr>
            <w:r>
              <w:rPr>
                <w:rFonts w:ascii="Times New Roman" w:hAnsi="Times New Roman" w:eastAsia="Times New Roman" w:cs="Times New Roman"/>
              </w:rPr>
              <w:t>3.2- Heresias e formas de contestação</w:t>
            </w: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27"/>
                <w:tab w:val="left" w:pos="828"/>
              </w:tabs>
              <w:spacing w:line="276" w:lineRule="auto"/>
              <w:ind w:left="0" w:hanging="2"/>
              <w:rPr>
                <w:rFonts w:ascii="Times New Roman" w:hAnsi="Times New Roman" w:eastAsia="Times New Roman" w:cs="Times New Roman"/>
              </w:rPr>
            </w:pPr>
            <w:r>
              <w:rPr>
                <w:rFonts w:ascii="Times New Roman" w:hAnsi="Times New Roman" w:eastAsia="Times New Roman" w:cs="Times New Roman"/>
              </w:rPr>
              <w:t xml:space="preserve"> Unidade IV-  A Baixa Idade Média</w:t>
            </w: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27"/>
                <w:tab w:val="left" w:pos="828"/>
              </w:tabs>
              <w:spacing w:line="276" w:lineRule="auto"/>
              <w:ind w:left="0" w:hanging="2"/>
              <w:rPr>
                <w:rFonts w:ascii="Times New Roman" w:hAnsi="Times New Roman" w:eastAsia="Times New Roman" w:cs="Times New Roman"/>
              </w:rPr>
            </w:pPr>
            <w:r>
              <w:rPr>
                <w:rFonts w:ascii="Times New Roman" w:hAnsi="Times New Roman" w:eastAsia="Times New Roman" w:cs="Times New Roman"/>
              </w:rPr>
              <w:t>4.1- A crise: fatores determinantes</w:t>
            </w: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27"/>
                <w:tab w:val="left" w:pos="828"/>
              </w:tabs>
              <w:spacing w:line="276" w:lineRule="auto"/>
              <w:ind w:left="0" w:hanging="2"/>
              <w:rPr>
                <w:rFonts w:ascii="Times New Roman" w:hAnsi="Times New Roman" w:eastAsia="Times New Roman" w:cs="Times New Roman"/>
              </w:rPr>
            </w:pPr>
            <w:r>
              <w:rPr>
                <w:rFonts w:ascii="Times New Roman" w:hAnsi="Times New Roman" w:eastAsia="Times New Roman" w:cs="Times New Roman"/>
              </w:rPr>
              <w:t>4.2- Repercussões e limites da crise.</w:t>
            </w: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27"/>
                <w:tab w:val="left" w:pos="828"/>
              </w:tabs>
              <w:spacing w:line="276" w:lineRule="auto"/>
              <w:ind w:left="0" w:hanging="2"/>
              <w:rPr>
                <w:rFonts w:ascii="Times New Roman" w:hAnsi="Times New Roman" w:eastAsia="Times New Roman" w:cs="Times New Roman"/>
              </w:rPr>
            </w:pP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27"/>
                <w:tab w:val="left" w:pos="828"/>
              </w:tabs>
              <w:spacing w:line="240" w:lineRule="auto"/>
              <w:ind w:left="0" w:hanging="2"/>
              <w:rPr>
                <w:rFonts w:ascii="Times New Roman" w:hAnsi="Times New Roman" w:eastAsia="Times New Roman" w:cs="Times New Roman"/>
              </w:rPr>
            </w:pPr>
          </w:p>
        </w:tc>
      </w:tr>
      <w:tr>
        <w:tblPrEx>
          <w:tblCellMar>
            <w:top w:w="0" w:type="dxa"/>
            <w:left w:w="22" w:type="dxa"/>
            <w:bottom w:w="0" w:type="dxa"/>
            <w:right w:w="5" w:type="dxa"/>
          </w:tblCellMar>
        </w:tblPrEx>
        <w:trPr>
          <w:trHeight w:val="3590" w:hRule="atLeast"/>
        </w:trPr>
        <w:tc>
          <w:tcPr>
            <w:tcW w:w="9021" w:type="dxa"/>
            <w:gridSpan w:val="3"/>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 xml:space="preserve">DUBY, Georges ; tradução de Elisa Pinto Ferreira. </w:t>
            </w:r>
            <w:r>
              <w:rPr>
                <w:rFonts w:ascii="Times New Roman" w:hAnsi="Times New Roman" w:eastAsia="Times New Roman" w:cs="Times New Roman"/>
                <w:b/>
              </w:rPr>
              <w:t xml:space="preserve">Guerreiros e camponeses </w:t>
            </w:r>
            <w:r>
              <w:rPr>
                <w:rFonts w:ascii="Times New Roman" w:hAnsi="Times New Roman" w:eastAsia="Times New Roman" w:cs="Times New Roman"/>
              </w:rPr>
              <w:t xml:space="preserve">: </w:t>
            </w:r>
            <w:r>
              <w:rPr>
                <w:rFonts w:ascii="Times New Roman" w:hAnsi="Times New Roman" w:eastAsia="Times New Roman" w:cs="Times New Roman"/>
                <w:i/>
              </w:rPr>
              <w:t xml:space="preserve">os primórdios do crescimento econômico europeu do século VII ao século XII </w:t>
            </w:r>
            <w:r>
              <w:rPr>
                <w:rFonts w:ascii="Times New Roman" w:hAnsi="Times New Roman" w:eastAsia="Times New Roman" w:cs="Times New Roman"/>
              </w:rPr>
              <w:t>. Lisboa : Estampa, 1980.</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 xml:space="preserve">ESPINOSA, Fernanda. </w:t>
            </w:r>
            <w:r>
              <w:rPr>
                <w:rFonts w:ascii="Times New Roman" w:hAnsi="Times New Roman" w:eastAsia="Times New Roman" w:cs="Times New Roman"/>
                <w:b/>
              </w:rPr>
              <w:t xml:space="preserve">Antologia de textos históricos medievais </w:t>
            </w:r>
            <w:r>
              <w:rPr>
                <w:rFonts w:ascii="Times New Roman" w:hAnsi="Times New Roman" w:eastAsia="Times New Roman" w:cs="Times New Roman"/>
              </w:rPr>
              <w:t>. 3. ed. Lisboa : Sa da Costa, 1981.</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 xml:space="preserve">COHN, Norman ; tradução de Fernando Neves e Antonio Vasconcelos. </w:t>
            </w:r>
            <w:r>
              <w:rPr>
                <w:rFonts w:ascii="Times New Roman" w:hAnsi="Times New Roman" w:eastAsia="Times New Roman" w:cs="Times New Roman"/>
                <w:b/>
              </w:rPr>
              <w:t>Na senda do milénio</w:t>
            </w:r>
            <w:r>
              <w:rPr>
                <w:rFonts w:ascii="Times New Roman" w:hAnsi="Times New Roman" w:eastAsia="Times New Roman" w:cs="Times New Roman"/>
              </w:rPr>
              <w:t xml:space="preserve">: </w:t>
            </w:r>
            <w:r>
              <w:rPr>
                <w:rFonts w:ascii="Times New Roman" w:hAnsi="Times New Roman" w:eastAsia="Times New Roman" w:cs="Times New Roman"/>
                <w:i/>
              </w:rPr>
              <w:t xml:space="preserve">milenaristas revolucionários e anarquistas místicos da idade média </w:t>
            </w:r>
            <w:r>
              <w:rPr>
                <w:rFonts w:ascii="Times New Roman" w:hAnsi="Times New Roman" w:eastAsia="Times New Roman" w:cs="Times New Roman"/>
              </w:rPr>
              <w:t>.</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Verdana" w:cs="Times New Roman"/>
              </w:rPr>
            </w:pPr>
            <w:r>
              <w:rPr>
                <w:rFonts w:ascii="Times New Roman" w:hAnsi="Times New Roman" w:eastAsia="Times New Roman" w:cs="Times New Roman"/>
              </w:rPr>
              <w:t>Lisboa : Presença, 1981</w:t>
            </w:r>
            <w:r>
              <w:rPr>
                <w:rFonts w:ascii="Times New Roman" w:hAnsi="Times New Roman" w:cs="Times New Roman"/>
              </w:rPr>
              <w:t>.</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888" w:hanging="2"/>
              <w:rPr>
                <w:rFonts w:ascii="Times New Roman" w:hAnsi="Times New Roman" w:eastAsia="Times New Roman" w:cs="Times New Roman"/>
                <w:color w:val="000000"/>
              </w:rPr>
            </w:pPr>
          </w:p>
        </w:tc>
      </w:tr>
      <w:tr>
        <w:tblPrEx>
          <w:tblCellMar>
            <w:top w:w="0" w:type="dxa"/>
            <w:left w:w="22" w:type="dxa"/>
            <w:bottom w:w="0" w:type="dxa"/>
            <w:right w:w="5" w:type="dxa"/>
          </w:tblCellMar>
        </w:tblPrEx>
        <w:trPr>
          <w:trHeight w:val="3645" w:hRule="atLeast"/>
        </w:trPr>
        <w:tc>
          <w:tcPr>
            <w:tcW w:w="9021" w:type="dxa"/>
            <w:gridSpan w:val="3"/>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 xml:space="preserve">VAN BATH, Bernard Slicher; tradução do original neerlandes por L. Crespo Fabião. </w:t>
            </w:r>
            <w:r>
              <w:rPr>
                <w:rFonts w:ascii="Times New Roman" w:hAnsi="Times New Roman" w:eastAsia="Times New Roman" w:cs="Times New Roman"/>
                <w:b/>
              </w:rPr>
              <w:t xml:space="preserve">História agrária da Europa Ocidental </w:t>
            </w:r>
            <w:r>
              <w:rPr>
                <w:rFonts w:ascii="Times New Roman" w:hAnsi="Times New Roman" w:eastAsia="Times New Roman" w:cs="Times New Roman"/>
              </w:rPr>
              <w:t xml:space="preserve">: </w:t>
            </w:r>
            <w:r>
              <w:rPr>
                <w:rFonts w:ascii="Times New Roman" w:hAnsi="Times New Roman" w:eastAsia="Times New Roman" w:cs="Times New Roman"/>
                <w:i/>
              </w:rPr>
              <w:t xml:space="preserve">(500-1850) </w:t>
            </w:r>
            <w:r>
              <w:rPr>
                <w:rFonts w:ascii="Times New Roman" w:hAnsi="Times New Roman" w:eastAsia="Times New Roman" w:cs="Times New Roman"/>
              </w:rPr>
              <w:t>.</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 xml:space="preserve">Lisboa : Presença, 1984. </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HILARIO, Franco Junior. As cruzadas . 2. ed. São Paulo : Brasiliense, 1982.</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 xml:space="preserve">WOLFF, Philippe. </w:t>
            </w:r>
            <w:r>
              <w:rPr>
                <w:rFonts w:ascii="Times New Roman" w:hAnsi="Times New Roman" w:eastAsia="Times New Roman" w:cs="Times New Roman"/>
                <w:b/>
              </w:rPr>
              <w:t xml:space="preserve">Outono da idade méedia ou primavera dos tempos modernos? </w:t>
            </w:r>
            <w:r>
              <w:rPr>
                <w:rFonts w:ascii="Times New Roman" w:hAnsi="Times New Roman" w:eastAsia="Times New Roman" w:cs="Times New Roman"/>
              </w:rPr>
              <w:t>. São Paulo : Martins Fontes, 1988.</w:t>
            </w:r>
          </w:p>
          <w:p>
            <w:pPr>
              <w:widowControl w:val="0"/>
              <w:pBdr>
                <w:top w:val="none" w:color="auto" w:sz="0" w:space="0"/>
                <w:left w:val="none" w:color="auto" w:sz="0" w:space="0"/>
                <w:bottom w:val="none" w:color="auto" w:sz="0" w:space="0"/>
                <w:right w:val="none" w:color="auto" w:sz="0" w:space="0"/>
                <w:between w:val="none" w:color="auto" w:sz="0" w:space="0"/>
              </w:pBdr>
              <w:spacing w:before="5" w:line="360" w:lineRule="auto"/>
              <w:ind w:left="0" w:hanging="2"/>
              <w:rPr>
                <w:rFonts w:ascii="Times New Roman" w:hAnsi="Times New Roman" w:eastAsia="Times New Roman" w:cs="Times New Roman"/>
                <w:color w:val="000000"/>
              </w:rPr>
            </w:pP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499"/>
        <w:tblW w:w="9021" w:type="dxa"/>
        <w:tblInd w:w="2" w:type="dxa"/>
        <w:tblLayout w:type="fixed"/>
        <w:tblCellMar>
          <w:top w:w="0" w:type="dxa"/>
          <w:left w:w="22" w:type="dxa"/>
          <w:bottom w:w="0" w:type="dxa"/>
          <w:right w:w="5" w:type="dxa"/>
        </w:tblCellMar>
      </w:tblPr>
      <w:tblGrid>
        <w:gridCol w:w="2901"/>
        <w:gridCol w:w="3314"/>
        <w:gridCol w:w="2806"/>
      </w:tblGrid>
      <w:tr>
        <w:tblPrEx>
          <w:tblCellMar>
            <w:top w:w="0" w:type="dxa"/>
            <w:left w:w="22" w:type="dxa"/>
            <w:bottom w:w="0" w:type="dxa"/>
            <w:right w:w="5" w:type="dxa"/>
          </w:tblCellMar>
        </w:tblPrEx>
        <w:trPr>
          <w:trHeight w:val="1655" w:hRule="atLeast"/>
        </w:trPr>
        <w:tc>
          <w:tcPr>
            <w:tcW w:w="6215"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4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Teoria da História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Theory of</w:t>
            </w:r>
          </w:p>
          <w:p>
            <w:pPr>
              <w:widowControl w:val="0"/>
              <w:pBdr>
                <w:top w:val="none" w:color="auto" w:sz="0" w:space="0"/>
                <w:left w:val="none" w:color="auto" w:sz="0" w:space="0"/>
                <w:bottom w:val="none" w:color="auto" w:sz="0" w:space="0"/>
                <w:right w:val="none" w:color="auto" w:sz="0" w:space="0"/>
                <w:between w:val="none" w:color="auto" w:sz="0" w:space="0"/>
              </w:pBdr>
              <w:spacing w:before="133"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History</w:t>
            </w:r>
          </w:p>
        </w:tc>
        <w:tc>
          <w:tcPr>
            <w:tcW w:w="2806"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HIS077</w:t>
            </w:r>
          </w:p>
        </w:tc>
      </w:tr>
      <w:tr>
        <w:tblPrEx>
          <w:tblCellMar>
            <w:top w:w="0" w:type="dxa"/>
            <w:left w:w="22" w:type="dxa"/>
            <w:bottom w:w="0" w:type="dxa"/>
            <w:right w:w="5" w:type="dxa"/>
          </w:tblCellMar>
        </w:tblPrEx>
        <w:trPr>
          <w:trHeight w:val="829" w:hRule="atLeast"/>
        </w:trPr>
        <w:tc>
          <w:tcPr>
            <w:tcW w:w="6215"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 História</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DEHIS</w:t>
            </w:r>
          </w:p>
        </w:tc>
        <w:tc>
          <w:tcPr>
            <w:tcW w:w="280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5" w:type="dxa"/>
          </w:tblCellMar>
        </w:tblPrEx>
        <w:trPr>
          <w:trHeight w:val="1243" w:hRule="atLeast"/>
        </w:trPr>
        <w:tc>
          <w:tcPr>
            <w:tcW w:w="2901"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0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96"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3314"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280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Carga horária semanal prática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02 horas/aula</w:t>
            </w:r>
          </w:p>
        </w:tc>
      </w:tr>
      <w:tr>
        <w:tblPrEx>
          <w:tblCellMar>
            <w:top w:w="0" w:type="dxa"/>
            <w:left w:w="22" w:type="dxa"/>
            <w:bottom w:w="0" w:type="dxa"/>
            <w:right w:w="5" w:type="dxa"/>
          </w:tblCellMar>
        </w:tblPrEx>
        <w:trPr>
          <w:trHeight w:val="2068"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7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Estudo dos grandes temas da teoria da história e da historiografia a partir de um enfoque contemporâneo. O problema do estatuto epistemológico da historiografia. As relações em realidade histórica e representação. As relações entre memória, história e historiografia. A autonomia do campo historiográfico e suas relações com as ciências</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sociais. Historiografia e formação de identidades.</w:t>
            </w:r>
          </w:p>
        </w:tc>
      </w:tr>
      <w:tr>
        <w:tblPrEx>
          <w:tblCellMar>
            <w:top w:w="0" w:type="dxa"/>
            <w:left w:w="22" w:type="dxa"/>
            <w:bottom w:w="0" w:type="dxa"/>
            <w:right w:w="5" w:type="dxa"/>
          </w:tblCellMar>
        </w:tblPrEx>
        <w:trPr>
          <w:trHeight w:val="6212"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right="64"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 disciplina busca apresentar e debater os desenvolvimentos recentes da teoria da história que têm apontado para a inserção do conhecimento histórico na temporalidade como dimensão humana fundamental. A historiografia é tratada como parte constitutiva das formas de experimentar e representar o tempo realizadas para além da ciência formalizada pelas regras disciplinares. São investigadas as relações entre historiografia, temporalidade, estética, narrativa e memória.</w:t>
            </w:r>
          </w:p>
          <w:p>
            <w:pPr>
              <w:widowControl w:val="0"/>
              <w:pBdr>
                <w:top w:val="none" w:color="auto" w:sz="0" w:space="0"/>
                <w:left w:val="none" w:color="auto" w:sz="0" w:space="0"/>
                <w:bottom w:val="none" w:color="auto" w:sz="0" w:space="0"/>
                <w:right w:val="none" w:color="auto" w:sz="0" w:space="0"/>
                <w:between w:val="none" w:color="auto" w:sz="0" w:space="0"/>
              </w:pBdr>
              <w:spacing w:before="3"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PARTE 1: Introdução.</w:t>
            </w:r>
          </w:p>
          <w:p>
            <w:pPr>
              <w:widowControl w:val="0"/>
              <w:numPr>
                <w:ilvl w:val="0"/>
                <w:numId w:val="19"/>
              </w:numPr>
              <w:pBdr>
                <w:top w:val="none" w:color="auto" w:sz="0" w:space="0"/>
                <w:left w:val="none" w:color="auto" w:sz="0" w:space="0"/>
                <w:bottom w:val="none" w:color="auto" w:sz="0" w:space="0"/>
                <w:right w:val="none" w:color="auto" w:sz="0" w:space="0"/>
                <w:between w:val="none" w:color="auto" w:sz="0" w:space="0"/>
              </w:pBdr>
              <w:tabs>
                <w:tab w:val="left" w:pos="0"/>
                <w:tab w:val="left" w:pos="362"/>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O que é Teoria da História?</w:t>
            </w:r>
          </w:p>
          <w:p>
            <w:pPr>
              <w:widowControl w:val="0"/>
              <w:numPr>
                <w:ilvl w:val="0"/>
                <w:numId w:val="19"/>
              </w:numPr>
              <w:pBdr>
                <w:top w:val="none" w:color="auto" w:sz="0" w:space="0"/>
                <w:left w:val="none" w:color="auto" w:sz="0" w:space="0"/>
                <w:bottom w:val="none" w:color="auto" w:sz="0" w:space="0"/>
                <w:right w:val="none" w:color="auto" w:sz="0" w:space="0"/>
                <w:between w:val="none" w:color="auto" w:sz="0" w:space="0"/>
              </w:pBdr>
              <w:tabs>
                <w:tab w:val="left" w:pos="0"/>
                <w:tab w:val="left" w:pos="371"/>
              </w:tabs>
              <w:spacing w:before="137" w:line="360" w:lineRule="auto"/>
              <w:ind w:left="0" w:right="69" w:hanging="2"/>
              <w:rPr>
                <w:rFonts w:ascii="Times New Roman" w:hAnsi="Times New Roman" w:eastAsia="Times New Roman" w:cs="Times New Roman"/>
                <w:color w:val="000000"/>
              </w:rPr>
            </w:pPr>
            <w:r>
              <w:rPr>
                <w:rFonts w:ascii="Times New Roman" w:hAnsi="Times New Roman" w:eastAsia="Times New Roman" w:cs="Times New Roman"/>
                <w:color w:val="000000"/>
              </w:rPr>
              <w:t>Alguns questionamentos sobre a consciência histórica na contemporaneidade. PARTE 2: Os fundamentos da historiografia: a temporalidade como dimensão ontológica.</w:t>
            </w: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right="3540" w:hanging="2"/>
              <w:rPr>
                <w:rFonts w:ascii="Times New Roman" w:hAnsi="Times New Roman" w:eastAsia="Times New Roman" w:cs="Times New Roman"/>
                <w:color w:val="000000"/>
              </w:rPr>
            </w:pPr>
            <w:r>
              <w:rPr>
                <w:rFonts w:ascii="Times New Roman" w:hAnsi="Times New Roman" w:eastAsia="Times New Roman" w:cs="Times New Roman"/>
                <w:color w:val="000000"/>
              </w:rPr>
              <w:t>PARTE 3: Historiografia, linguagem e narrativa. PARTE 4. Historiografia e memória.</w:t>
            </w:r>
          </w:p>
          <w:p>
            <w:pPr>
              <w:widowControl w:val="0"/>
              <w:pBdr>
                <w:top w:val="none" w:color="auto" w:sz="0" w:space="0"/>
                <w:left w:val="none" w:color="auto" w:sz="0" w:space="0"/>
                <w:bottom w:val="none" w:color="auto" w:sz="0" w:space="0"/>
                <w:right w:val="none" w:color="auto" w:sz="0" w:space="0"/>
                <w:between w:val="none" w:color="auto" w:sz="0" w:space="0"/>
              </w:pBdr>
              <w:spacing w:before="4"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PARTE 5. A Experiência moderna do tempo.</w:t>
            </w:r>
          </w:p>
        </w:tc>
      </w:tr>
      <w:tr>
        <w:tblPrEx>
          <w:tblCellMar>
            <w:top w:w="0" w:type="dxa"/>
            <w:left w:w="22" w:type="dxa"/>
            <w:bottom w:w="0" w:type="dxa"/>
            <w:right w:w="5" w:type="dxa"/>
          </w:tblCellMar>
        </w:tblPrEx>
        <w:trPr>
          <w:trHeight w:val="412"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tc>
      </w:tr>
      <w:tr>
        <w:tblPrEx>
          <w:tblCellMar>
            <w:top w:w="0" w:type="dxa"/>
            <w:left w:w="22" w:type="dxa"/>
            <w:bottom w:w="0" w:type="dxa"/>
            <w:right w:w="5" w:type="dxa"/>
          </w:tblCellMar>
        </w:tblPrEx>
        <w:trPr>
          <w:trHeight w:val="3725" w:hRule="atLeast"/>
        </w:trPr>
        <w:tc>
          <w:tcPr>
            <w:tcW w:w="9021" w:type="dxa"/>
            <w:gridSpan w:val="3"/>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36" w:hanging="2"/>
              <w:rPr>
                <w:rFonts w:ascii="Times New Roman" w:hAnsi="Times New Roman" w:eastAsia="Times New Roman" w:cs="Times New Roman"/>
                <w:color w:val="000000"/>
              </w:rPr>
            </w:pPr>
            <w:r>
              <w:rPr>
                <w:rFonts w:ascii="Times New Roman" w:hAnsi="Times New Roman" w:eastAsia="Times New Roman" w:cs="Times New Roman"/>
                <w:color w:val="000000"/>
              </w:rPr>
              <w:t>ARENDT, Hannah. “O conceito de história - antigo e moderno”. In. Entre o passado e o futuro. (2ª ed) São Paulo: Perspectiva, 1979. pp.69-126.</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36" w:hanging="2"/>
              <w:rPr>
                <w:rFonts w:ascii="Times New Roman" w:hAnsi="Times New Roman" w:eastAsia="Times New Roman" w:cs="Times New Roman"/>
                <w:color w:val="000000"/>
              </w:rPr>
            </w:pPr>
            <w:r>
              <w:rPr>
                <w:rFonts w:ascii="Times New Roman" w:hAnsi="Times New Roman" w:eastAsia="Times New Roman" w:cs="Times New Roman"/>
                <w:color w:val="000000"/>
              </w:rPr>
              <w:t>BOURDÉ, Guy e Martin, Hervé. Les Écoles Historiques. Paris: Seuil, 1983. BOUTIER, J. E Julia, D. (orgs). Passados Recompostos. Campos e Canteiros da História. Rio de Janeiro: UFRJ/FGV,1998.</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CARDOSO, Ciro &amp; VAINFAS, R. (org.s). Domínios da História. Ensaios de Teoria e metodologia. Rio de Janeiro, Campus, 1997.</w:t>
            </w:r>
          </w:p>
          <w:p>
            <w:pPr>
              <w:widowControl w:val="0"/>
              <w:pBdr>
                <w:top w:val="none" w:color="auto" w:sz="0" w:space="0"/>
                <w:left w:val="none" w:color="auto" w:sz="0" w:space="0"/>
                <w:bottom w:val="none" w:color="auto" w:sz="0" w:space="0"/>
                <w:right w:val="none" w:color="auto" w:sz="0" w:space="0"/>
                <w:between w:val="none" w:color="auto" w:sz="0" w:space="0"/>
              </w:pBdr>
              <w:tabs>
                <w:tab w:val="left" w:pos="4475"/>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CASSIRER,  Ernest.  “Lahistoria”. In. Antropologia filosófica. México: FCE,</w:t>
            </w:r>
          </w:p>
          <w:p>
            <w:pPr>
              <w:widowControl w:val="0"/>
              <w:pBdr>
                <w:top w:val="none" w:color="auto" w:sz="0" w:space="0"/>
                <w:left w:val="none" w:color="auto" w:sz="0" w:space="0"/>
                <w:bottom w:val="none" w:color="auto" w:sz="0" w:space="0"/>
                <w:right w:val="none" w:color="auto" w:sz="0" w:space="0"/>
                <w:between w:val="none" w:color="auto" w:sz="0" w:space="0"/>
              </w:pBdr>
              <w:spacing w:before="133"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1992, pp. 252303.</w:t>
            </w:r>
          </w:p>
        </w:tc>
      </w:tr>
      <w:tr>
        <w:tblPrEx>
          <w:tblCellMar>
            <w:top w:w="0" w:type="dxa"/>
            <w:left w:w="22" w:type="dxa"/>
            <w:bottom w:w="0" w:type="dxa"/>
            <w:right w:w="5" w:type="dxa"/>
          </w:tblCellMar>
        </w:tblPrEx>
        <w:trPr>
          <w:trHeight w:val="6212" w:hRule="atLeast"/>
        </w:trPr>
        <w:tc>
          <w:tcPr>
            <w:tcW w:w="9021" w:type="dxa"/>
            <w:gridSpan w:val="3"/>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CASSIRER, Ernst. A filosofia do Iluminismo. (2ª ed) Campinas: Ed. da UNICAMP, 1994.</w:t>
            </w:r>
          </w:p>
          <w:p>
            <w:pPr>
              <w:widowControl w:val="0"/>
              <w:pBdr>
                <w:top w:val="none" w:color="auto" w:sz="0" w:space="0"/>
                <w:left w:val="none" w:color="auto" w:sz="0" w:space="0"/>
                <w:bottom w:val="none" w:color="auto" w:sz="0" w:space="0"/>
                <w:right w:val="none" w:color="auto" w:sz="0" w:space="0"/>
                <w:between w:val="none" w:color="auto" w:sz="0" w:space="0"/>
              </w:pBdr>
              <w:spacing w:before="2"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CATROGA, Fernando. Memória e História In: PESAVENTO, Sandra Jatahy (org). Fronteiras do milênio. Porto Alegre: Ed. Universidade/UFRGS, 2001.</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DRAY, William H. (1969). Filosofia da história (trad.: Octanny Silveira da Mota/Leonidas Hegenberg). Rio de Janeiro: Zahar.</w:t>
            </w: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FOUCAULT, Michel. A arqueologia do saber. Rio de Janeiro: Forense-Universitária, 1987. (Introdução).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36" w:hanging="2"/>
              <w:rPr>
                <w:rFonts w:ascii="Times New Roman" w:hAnsi="Times New Roman" w:eastAsia="Times New Roman" w:cs="Times New Roman"/>
                <w:color w:val="000000"/>
              </w:rPr>
            </w:pPr>
            <w:r>
              <w:rPr>
                <w:rFonts w:ascii="Times New Roman" w:hAnsi="Times New Roman" w:eastAsia="Times New Roman" w:cs="Times New Roman"/>
                <w:color w:val="000000"/>
              </w:rPr>
              <w:t>GADAMER, Hans-Georg. O Problema da consciência histórica. Rio de Janeiro: Editora Fundação Getúlio Vargas,1998.</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36" w:hanging="2"/>
              <w:rPr>
                <w:rFonts w:ascii="Times New Roman" w:hAnsi="Times New Roman" w:eastAsia="Times New Roman" w:cs="Times New Roman"/>
                <w:color w:val="000000"/>
              </w:rPr>
            </w:pPr>
            <w:r>
              <w:rPr>
                <w:rFonts w:ascii="Times New Roman" w:hAnsi="Times New Roman" w:eastAsia="Times New Roman" w:cs="Times New Roman"/>
                <w:color w:val="000000"/>
              </w:rPr>
              <w:t>GARDINER, Patrick (Org.) (2004). Teorias da história (trad.: Vítor Matos e Sá). Lisboa: Fundação Calouste Gulbenkian.</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HADDOCK, Bruce A. (1989). Uma introdução ao pensamento histórico (trad.: Maria</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Branco). Lisboa: Gradiva.</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500"/>
        <w:tblW w:w="9235" w:type="dxa"/>
        <w:tblInd w:w="2" w:type="dxa"/>
        <w:tblLayout w:type="fixed"/>
        <w:tblCellMar>
          <w:top w:w="0" w:type="dxa"/>
          <w:left w:w="22" w:type="dxa"/>
          <w:bottom w:w="0" w:type="dxa"/>
          <w:right w:w="5" w:type="dxa"/>
        </w:tblCellMar>
      </w:tblPr>
      <w:tblGrid>
        <w:gridCol w:w="2901"/>
        <w:gridCol w:w="3314"/>
        <w:gridCol w:w="3020"/>
      </w:tblGrid>
      <w:tr>
        <w:tblPrEx>
          <w:tblCellMar>
            <w:top w:w="0" w:type="dxa"/>
            <w:left w:w="22" w:type="dxa"/>
            <w:bottom w:w="0" w:type="dxa"/>
            <w:right w:w="5" w:type="dxa"/>
          </w:tblCellMar>
        </w:tblPrEx>
        <w:trPr>
          <w:trHeight w:val="2073" w:hRule="atLeast"/>
        </w:trPr>
        <w:tc>
          <w:tcPr>
            <w:tcW w:w="6215"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4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História de Minas Gerais</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14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History of Minas Gerais</w:t>
            </w:r>
          </w:p>
        </w:tc>
        <w:tc>
          <w:tcPr>
            <w:tcW w:w="3020"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HIS078</w:t>
            </w:r>
          </w:p>
        </w:tc>
      </w:tr>
      <w:tr>
        <w:tblPrEx>
          <w:tblCellMar>
            <w:top w:w="0" w:type="dxa"/>
            <w:left w:w="22" w:type="dxa"/>
            <w:bottom w:w="0" w:type="dxa"/>
            <w:right w:w="5" w:type="dxa"/>
          </w:tblCellMar>
        </w:tblPrEx>
        <w:trPr>
          <w:trHeight w:val="825" w:hRule="atLeast"/>
        </w:trPr>
        <w:tc>
          <w:tcPr>
            <w:tcW w:w="6215" w:type="dxa"/>
            <w:gridSpan w:val="2"/>
            <w:tcBorders>
              <w:top w:val="single" w:color="000000" w:sz="18" w:space="0"/>
              <w:left w:val="single" w:color="000000" w:sz="18" w:space="0"/>
              <w:bottom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 História</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DEHIS</w:t>
            </w:r>
          </w:p>
        </w:tc>
        <w:tc>
          <w:tcPr>
            <w:tcW w:w="3020" w:type="dxa"/>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5" w:type="dxa"/>
          </w:tblCellMar>
        </w:tblPrEx>
        <w:trPr>
          <w:trHeight w:val="1243" w:hRule="atLeast"/>
        </w:trPr>
        <w:tc>
          <w:tcPr>
            <w:tcW w:w="2901" w:type="dxa"/>
            <w:tcBorders>
              <w:top w:val="single" w:color="000000" w:sz="18" w:space="0"/>
              <w:left w:val="single" w:color="000000" w:sz="18" w:space="0"/>
              <w:bottom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502"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717"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semestral </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717"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3314" w:type="dxa"/>
            <w:tcBorders>
              <w:top w:val="single" w:color="000000" w:sz="18" w:space="0"/>
              <w:left w:val="single" w:color="000000" w:sz="18" w:space="0"/>
              <w:bottom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3020" w:type="dxa"/>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Carga horária semanal prática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02 horas/aula</w:t>
            </w:r>
          </w:p>
        </w:tc>
      </w:tr>
      <w:tr>
        <w:tblPrEx>
          <w:tblCellMar>
            <w:top w:w="0" w:type="dxa"/>
            <w:left w:w="22" w:type="dxa"/>
            <w:bottom w:w="0" w:type="dxa"/>
            <w:right w:w="5" w:type="dxa"/>
          </w:tblCellMar>
        </w:tblPrEx>
        <w:trPr>
          <w:trHeight w:val="3725" w:hRule="atLeast"/>
        </w:trPr>
        <w:tc>
          <w:tcPr>
            <w:tcW w:w="9235" w:type="dxa"/>
            <w:gridSpan w:val="3"/>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8"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O conceito de história regional será examinado à luz de suas implicações teóricas e metodológicas para se situar o caso específico da história de Minas Gerais no período colonial em suas articulações com a Metrópole portuguesa e as demais regiões do Brasil. O processo de formação econômica dos dois primeiros séculos da colônia e o estudo comparativo das formações regionais fornecerá subsídios para um estudo comparativo da formação de São Paulo, da expansão para o Oeste, da decadência da economia açucareira nordestina e do caso peculiar do extremo sul do país. Serão também enfocados algumas interpretações historiográficas da formação e da articulação inter-regional brasileira.</w:t>
            </w:r>
          </w:p>
        </w:tc>
      </w:tr>
      <w:tr>
        <w:tblPrEx>
          <w:tblCellMar>
            <w:top w:w="0" w:type="dxa"/>
            <w:left w:w="22" w:type="dxa"/>
            <w:bottom w:w="0" w:type="dxa"/>
            <w:right w:w="5" w:type="dxa"/>
          </w:tblCellMar>
        </w:tblPrEx>
        <w:trPr>
          <w:trHeight w:val="3552" w:hRule="atLeast"/>
        </w:trPr>
        <w:tc>
          <w:tcPr>
            <w:tcW w:w="9235" w:type="dxa"/>
            <w:gridSpan w:val="3"/>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before="2" w:line="240" w:lineRule="auto"/>
              <w:ind w:left="0" w:hanging="2"/>
              <w:rPr>
                <w:rFonts w:ascii="Times New Roman" w:hAnsi="Times New Roman" w:eastAsia="Times New Roman" w:cs="Times New Roman"/>
                <w:color w:val="000000"/>
              </w:rPr>
            </w:pPr>
          </w:p>
          <w:p>
            <w:pPr>
              <w:widowControl w:val="0"/>
              <w:numPr>
                <w:ilvl w:val="0"/>
                <w:numId w:val="20"/>
              </w:numPr>
              <w:pBdr>
                <w:top w:val="none" w:color="auto" w:sz="0" w:space="0"/>
                <w:left w:val="none" w:color="auto" w:sz="0" w:space="0"/>
                <w:bottom w:val="none" w:color="auto" w:sz="0" w:space="0"/>
                <w:right w:val="none" w:color="auto" w:sz="0" w:space="0"/>
                <w:between w:val="none" w:color="auto" w:sz="0" w:space="0"/>
              </w:pBdr>
              <w:tabs>
                <w:tab w:val="left" w:pos="0"/>
                <w:tab w:val="left" w:pos="376"/>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Urbanização e estilos de vida</w:t>
            </w:r>
          </w:p>
          <w:p>
            <w:pPr>
              <w:widowControl w:val="0"/>
              <w:numPr>
                <w:ilvl w:val="0"/>
                <w:numId w:val="20"/>
              </w:numPr>
              <w:pBdr>
                <w:top w:val="none" w:color="auto" w:sz="0" w:space="0"/>
                <w:left w:val="none" w:color="auto" w:sz="0" w:space="0"/>
                <w:bottom w:val="none" w:color="auto" w:sz="0" w:space="0"/>
                <w:right w:val="none" w:color="auto" w:sz="0" w:space="0"/>
                <w:between w:val="none" w:color="auto" w:sz="0" w:space="0"/>
              </w:pBdr>
              <w:tabs>
                <w:tab w:val="left" w:pos="0"/>
                <w:tab w:val="left" w:pos="376"/>
              </w:tabs>
              <w:spacing w:before="137" w:line="360" w:lineRule="auto"/>
              <w:ind w:left="0" w:right="2666"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Enquadramento político e administrativo e territorialidade </w:t>
            </w:r>
          </w:p>
          <w:p>
            <w:pPr>
              <w:widowControl w:val="0"/>
              <w:numPr>
                <w:ilvl w:val="0"/>
                <w:numId w:val="20"/>
              </w:numPr>
              <w:pBdr>
                <w:top w:val="none" w:color="auto" w:sz="0" w:space="0"/>
                <w:left w:val="none" w:color="auto" w:sz="0" w:space="0"/>
                <w:bottom w:val="none" w:color="auto" w:sz="0" w:space="0"/>
                <w:right w:val="none" w:color="auto" w:sz="0" w:space="0"/>
                <w:between w:val="none" w:color="auto" w:sz="0" w:space="0"/>
              </w:pBdr>
              <w:tabs>
                <w:tab w:val="left" w:pos="0"/>
                <w:tab w:val="left" w:pos="376"/>
              </w:tabs>
              <w:spacing w:before="137" w:line="360" w:lineRule="auto"/>
              <w:ind w:left="0" w:right="2666" w:hanging="2"/>
              <w:rPr>
                <w:rFonts w:ascii="Times New Roman" w:hAnsi="Times New Roman" w:eastAsia="Times New Roman" w:cs="Times New Roman"/>
                <w:color w:val="000000"/>
              </w:rPr>
            </w:pPr>
            <w:r>
              <w:rPr>
                <w:rFonts w:ascii="Times New Roman" w:hAnsi="Times New Roman" w:eastAsia="Times New Roman" w:cs="Times New Roman"/>
                <w:color w:val="000000"/>
              </w:rPr>
              <w:t>Economias e perspectivas de decadência</w:t>
            </w:r>
          </w:p>
          <w:p>
            <w:pPr>
              <w:widowControl w:val="0"/>
              <w:numPr>
                <w:ilvl w:val="0"/>
                <w:numId w:val="21"/>
              </w:numPr>
              <w:pBdr>
                <w:top w:val="none" w:color="auto" w:sz="0" w:space="0"/>
                <w:left w:val="none" w:color="auto" w:sz="0" w:space="0"/>
                <w:bottom w:val="none" w:color="auto" w:sz="0" w:space="0"/>
                <w:right w:val="none" w:color="auto" w:sz="0" w:space="0"/>
                <w:between w:val="none" w:color="auto" w:sz="0" w:space="0"/>
              </w:pBdr>
              <w:tabs>
                <w:tab w:val="left" w:pos="0"/>
                <w:tab w:val="left" w:pos="376"/>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Escravismo e mundos do trabalho</w:t>
            </w:r>
          </w:p>
          <w:p>
            <w:pPr>
              <w:widowControl w:val="0"/>
              <w:numPr>
                <w:ilvl w:val="0"/>
                <w:numId w:val="21"/>
              </w:numPr>
              <w:pBdr>
                <w:top w:val="none" w:color="auto" w:sz="0" w:space="0"/>
                <w:left w:val="none" w:color="auto" w:sz="0" w:space="0"/>
                <w:bottom w:val="none" w:color="auto" w:sz="0" w:space="0"/>
                <w:right w:val="none" w:color="auto" w:sz="0" w:space="0"/>
                <w:between w:val="none" w:color="auto" w:sz="0" w:space="0"/>
              </w:pBdr>
              <w:tabs>
                <w:tab w:val="left" w:pos="0"/>
                <w:tab w:val="left" w:pos="376"/>
              </w:tabs>
              <w:spacing w:before="14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Cotidiano, identidades e ritos sociais</w:t>
            </w:r>
          </w:p>
          <w:p>
            <w:pPr>
              <w:widowControl w:val="0"/>
              <w:numPr>
                <w:ilvl w:val="0"/>
                <w:numId w:val="21"/>
              </w:numPr>
              <w:pBdr>
                <w:top w:val="none" w:color="auto" w:sz="0" w:space="0"/>
                <w:left w:val="none" w:color="auto" w:sz="0" w:space="0"/>
                <w:bottom w:val="none" w:color="auto" w:sz="0" w:space="0"/>
                <w:right w:val="none" w:color="auto" w:sz="0" w:space="0"/>
                <w:between w:val="none" w:color="auto" w:sz="0" w:space="0"/>
              </w:pBdr>
              <w:tabs>
                <w:tab w:val="left" w:pos="0"/>
                <w:tab w:val="left" w:pos="376"/>
              </w:tabs>
              <w:spacing w:before="30" w:line="240" w:lineRule="auto"/>
              <w:ind w:left="0" w:right="3976"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Práticas devocionais e instituições religiosas </w:t>
            </w:r>
          </w:p>
          <w:p>
            <w:pPr>
              <w:widowControl w:val="0"/>
              <w:numPr>
                <w:ilvl w:val="0"/>
                <w:numId w:val="21"/>
              </w:numPr>
              <w:pBdr>
                <w:top w:val="none" w:color="auto" w:sz="0" w:space="0"/>
                <w:left w:val="none" w:color="auto" w:sz="0" w:space="0"/>
                <w:bottom w:val="none" w:color="auto" w:sz="0" w:space="0"/>
                <w:right w:val="none" w:color="auto" w:sz="0" w:space="0"/>
                <w:between w:val="none" w:color="auto" w:sz="0" w:space="0"/>
              </w:pBdr>
              <w:tabs>
                <w:tab w:val="left" w:pos="0"/>
                <w:tab w:val="left" w:pos="376"/>
              </w:tabs>
              <w:spacing w:before="30" w:line="240" w:lineRule="auto"/>
              <w:ind w:left="0" w:right="3976" w:hanging="2"/>
              <w:rPr>
                <w:rFonts w:ascii="Times New Roman" w:hAnsi="Times New Roman" w:eastAsia="Times New Roman" w:cs="Times New Roman"/>
                <w:color w:val="000000"/>
              </w:rPr>
            </w:pPr>
            <w:r>
              <w:rPr>
                <w:rFonts w:ascii="Times New Roman" w:hAnsi="Times New Roman" w:eastAsia="Times New Roman" w:cs="Times New Roman"/>
                <w:color w:val="000000"/>
              </w:rPr>
              <w:t>Historiografia de Minas Gerais</w:t>
            </w:r>
          </w:p>
        </w:tc>
      </w:tr>
      <w:tr>
        <w:tblPrEx>
          <w:tblCellMar>
            <w:top w:w="0" w:type="dxa"/>
            <w:left w:w="22" w:type="dxa"/>
            <w:bottom w:w="0" w:type="dxa"/>
            <w:right w:w="5" w:type="dxa"/>
          </w:tblCellMar>
        </w:tblPrEx>
        <w:trPr>
          <w:trHeight w:val="4142" w:hRule="atLeast"/>
        </w:trPr>
        <w:tc>
          <w:tcPr>
            <w:tcW w:w="9235" w:type="dxa"/>
            <w:gridSpan w:val="3"/>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before="2"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7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AGUIAR, Marcos Magalhães de. Capelães e vida associativa na Capitania de Minas Gerais. Varia História, n. 17, mar. 1997.</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ANDRADE, Francisco Eduardo de. A administração das minas do ouro e a periferia do Poder. In: PAIVA, Eduardo França (org.). Brasil-Portugal: sociedades, culturas e formas de governo no mundo português (séculos XVI-XVIII). São Paulo: Annablume, 2006.</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ARAÚJO, Patrícia Vargas Lopes de. Folganças populares: festejos de entrudo e carnaval em  Minas Gerais no século XIX. São Paulo: Annablume, 2008.</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p>
        </w:tc>
      </w:tr>
      <w:tr>
        <w:tblPrEx>
          <w:tblCellMar>
            <w:top w:w="0" w:type="dxa"/>
            <w:left w:w="22" w:type="dxa"/>
            <w:bottom w:w="0" w:type="dxa"/>
            <w:right w:w="5" w:type="dxa"/>
          </w:tblCellMar>
        </w:tblPrEx>
        <w:trPr>
          <w:trHeight w:val="3242" w:hRule="atLeast"/>
        </w:trPr>
        <w:tc>
          <w:tcPr>
            <w:tcW w:w="9235" w:type="dxa"/>
            <w:gridSpan w:val="3"/>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right="68"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CARRARA, Ângelo A. A capitania de Minas Gerais (1674-1835): um modelo de interpretação de uma sociedade agrária. História econômica &amp; História de empresas, v 3, n. 2, p. 47-63, 2000.</w:t>
            </w: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right="62"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CAUSAS determinantes de diminuição da contribuição das cem arrobas de ouro, apresentadas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77"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pela Câmara de Mariana [ao Governador da Capitania], Revista do Arquivo Público Mineiro, Belo Horizonte, v. 6, 1901.</w:t>
            </w:r>
          </w:p>
        </w:tc>
      </w:tr>
      <w:tr>
        <w:tblPrEx>
          <w:tblCellMar>
            <w:top w:w="0" w:type="dxa"/>
            <w:left w:w="22" w:type="dxa"/>
            <w:bottom w:w="0" w:type="dxa"/>
            <w:right w:w="5" w:type="dxa"/>
          </w:tblCellMar>
        </w:tblPrEx>
        <w:trPr>
          <w:trHeight w:val="8645" w:hRule="atLeast"/>
        </w:trPr>
        <w:tc>
          <w:tcPr>
            <w:tcW w:w="9235" w:type="dxa"/>
            <w:gridSpan w:val="3"/>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9"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8"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AGUIAR, Marcos Magalhães de. Vila Rica dos confrades. A sociabilidade confarial entre negros e mulatos no século XVIII. São Paulo: FFLCH/USP, 1993. (Dissertação, mestrado em História) [cap. “Irmandades: conceituação e realidade social” e cap. “Irmandades: atividades e conflitos”].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7"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ANTONIL, André João. Cultura e opulência do Brasil por suas drogas e minas [estudo crítico de Andrée Mansuy Diniz Silva]. Lisboa: Comissão Nacional para as Comemorações dos</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Descobrimentos Portugueses, 2001.</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right="7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FRENCH, John. As falsas dicotomias entre escravidão e liberdade: continuidades e rupturas na formação política e social do Brasil moderno. In: LIBBY, Douglas C.; </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right="7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FURTADO, Júnia F. Trabalho livre, trabalho escravo. Brasil e Europa, séculos XVIII-XIX. São Paulo: Annablume, 2006.</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7"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LIBBY, Douglas C. Protoindustrialização em uma sociedade escravista: o caso de Minas Gerais. In: SZMRECSÁNYI, T., LAPA, J. R. do Amaral (orgs.) História econômica da Independência e do Império. São Paulo: Hucitec/FAPESP, 1996.</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8"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MATA, Sérgio da. Chão de Deus. Catolicismo popular, espaço e protourbanização em Minas Gerais, Brasil, séculos XVIII-XIX. Berlim: WVB, 2002.</w:t>
            </w:r>
          </w:p>
          <w:p>
            <w:pPr>
              <w:widowControl w:val="0"/>
              <w:pBdr>
                <w:top w:val="none" w:color="auto" w:sz="0" w:space="0"/>
                <w:left w:val="none" w:color="auto" w:sz="0" w:space="0"/>
                <w:bottom w:val="none" w:color="auto" w:sz="0" w:space="0"/>
                <w:right w:val="none" w:color="auto" w:sz="0" w:space="0"/>
                <w:between w:val="none" w:color="auto" w:sz="0" w:space="0"/>
              </w:pBdr>
              <w:spacing w:before="131"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MOTT, Luís. Rosa Egipcíaca: uma santa africana no Brasil colonial, Cadernos IHU Idéias, São Leopoldo, v. 3, n. 38, p. 1-20, 2005.</w:t>
            </w:r>
          </w:p>
        </w:tc>
      </w:tr>
    </w:tbl>
    <w:p>
      <w:pPr>
        <w:spacing w:before="90"/>
        <w:ind w:left="0" w:hanging="2"/>
        <w:rPr>
          <w:rFonts w:ascii="Times New Roman" w:hAnsi="Times New Roman" w:eastAsia="Times New Roman" w:cs="Times New Roman"/>
        </w:rPr>
      </w:pPr>
    </w:p>
    <w:p>
      <w:pPr>
        <w:spacing w:before="90"/>
        <w:ind w:left="0" w:hanging="2"/>
        <w:rPr>
          <w:rFonts w:ascii="Times New Roman" w:hAnsi="Times New Roman" w:eastAsia="Times New Roman" w:cs="Times New Roman"/>
        </w:rPr>
      </w:pPr>
    </w:p>
    <w:p>
      <w:pPr>
        <w:spacing w:before="90"/>
        <w:ind w:left="0" w:hanging="2"/>
        <w:rPr>
          <w:rFonts w:ascii="Times New Roman" w:hAnsi="Times New Roman" w:eastAsia="Times New Roman" w:cs="Times New Roman"/>
        </w:rPr>
      </w:pPr>
    </w:p>
    <w:p>
      <w:pPr>
        <w:spacing w:before="90"/>
        <w:ind w:left="0" w:hanging="2"/>
        <w:rPr>
          <w:rFonts w:ascii="Times New Roman" w:hAnsi="Times New Roman" w:cs="Times New Roman"/>
        </w:rPr>
      </w:pPr>
      <w:r>
        <w:rPr>
          <w:rFonts w:ascii="Times New Roman" w:hAnsi="Times New Roman" w:eastAsia="Times New Roman" w:cs="Times New Roman"/>
          <w:b/>
        </w:rPr>
        <w:t>5° Período</w:t>
      </w:r>
    </w:p>
    <w:p>
      <w:pPr>
        <w:spacing w:before="90"/>
        <w:ind w:left="0" w:hanging="2"/>
        <w:rPr>
          <w:rFonts w:ascii="Times New Roman" w:hAnsi="Times New Roman" w:eastAsia="Times New Roman" w:cs="Times New Roman"/>
        </w:rPr>
      </w:pPr>
    </w:p>
    <w:tbl>
      <w:tblPr>
        <w:tblStyle w:val="501"/>
        <w:tblW w:w="9043" w:type="dxa"/>
        <w:tblInd w:w="-20" w:type="dxa"/>
        <w:tblLayout w:type="fixed"/>
        <w:tblCellMar>
          <w:top w:w="0" w:type="dxa"/>
          <w:left w:w="22" w:type="dxa"/>
          <w:bottom w:w="0" w:type="dxa"/>
          <w:right w:w="22" w:type="dxa"/>
        </w:tblCellMar>
      </w:tblPr>
      <w:tblGrid>
        <w:gridCol w:w="2995"/>
        <w:gridCol w:w="3241"/>
        <w:gridCol w:w="2807"/>
      </w:tblGrid>
      <w:tr>
        <w:tblPrEx>
          <w:tblCellMar>
            <w:top w:w="0" w:type="dxa"/>
            <w:left w:w="22" w:type="dxa"/>
            <w:bottom w:w="0" w:type="dxa"/>
            <w:right w:w="22" w:type="dxa"/>
          </w:tblCellMar>
        </w:tblPrEx>
        <w:trPr>
          <w:trHeight w:val="1655" w:hRule="atLeast"/>
        </w:trPr>
        <w:tc>
          <w:tcPr>
            <w:tcW w:w="6236"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Estágio Supervisionado de História II</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Supervised</w:t>
            </w:r>
          </w:p>
          <w:p>
            <w:pPr>
              <w:widowControl w:val="0"/>
              <w:pBdr>
                <w:top w:val="none" w:color="auto" w:sz="0" w:space="0"/>
                <w:left w:val="none" w:color="auto" w:sz="0" w:space="0"/>
                <w:bottom w:val="none" w:color="auto" w:sz="0" w:space="0"/>
                <w:right w:val="none" w:color="auto" w:sz="0" w:space="0"/>
                <w:between w:val="none" w:color="auto" w:sz="0" w:space="0"/>
              </w:pBdr>
              <w:spacing w:before="132"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Internship in History II</w:t>
            </w:r>
          </w:p>
        </w:tc>
        <w:tc>
          <w:tcPr>
            <w:tcW w:w="2807"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HIS597</w:t>
            </w:r>
          </w:p>
        </w:tc>
      </w:tr>
      <w:tr>
        <w:tblPrEx>
          <w:tblCellMar>
            <w:top w:w="0" w:type="dxa"/>
            <w:left w:w="22" w:type="dxa"/>
            <w:bottom w:w="0" w:type="dxa"/>
            <w:right w:w="22" w:type="dxa"/>
          </w:tblCellMar>
        </w:tblPrEx>
        <w:trPr>
          <w:trHeight w:val="825" w:hRule="atLeast"/>
        </w:trPr>
        <w:tc>
          <w:tcPr>
            <w:tcW w:w="6236"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 História -</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DEHIS</w:t>
            </w:r>
          </w:p>
        </w:tc>
        <w:tc>
          <w:tcPr>
            <w:tcW w:w="2807"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830" w:hRule="atLeast"/>
        </w:trPr>
        <w:tc>
          <w:tcPr>
            <w:tcW w:w="2995"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93"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right="88"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105 horas</w:t>
            </w:r>
          </w:p>
        </w:tc>
        <w:tc>
          <w:tcPr>
            <w:tcW w:w="3241"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77"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right="77"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02 horas/aula</w:t>
            </w:r>
          </w:p>
        </w:tc>
        <w:tc>
          <w:tcPr>
            <w:tcW w:w="2807"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57"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right="5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05 horas/aula</w:t>
            </w:r>
          </w:p>
        </w:tc>
      </w:tr>
      <w:tr>
        <w:tblPrEx>
          <w:tblCellMar>
            <w:top w:w="0" w:type="dxa"/>
            <w:left w:w="22" w:type="dxa"/>
            <w:bottom w:w="0" w:type="dxa"/>
            <w:right w:w="22" w:type="dxa"/>
          </w:tblCellMar>
        </w:tblPrEx>
        <w:trPr>
          <w:trHeight w:val="1243" w:hRule="atLeast"/>
        </w:trPr>
        <w:tc>
          <w:tcPr>
            <w:tcW w:w="9043"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3" w:hanging="2"/>
              <w:rPr>
                <w:rFonts w:ascii="Times New Roman" w:hAnsi="Times New Roman" w:eastAsia="Times New Roman" w:cs="Times New Roman"/>
                <w:color w:val="000000"/>
              </w:rPr>
            </w:pPr>
            <w:r>
              <w:rPr>
                <w:rFonts w:ascii="Times New Roman" w:hAnsi="Times New Roman" w:eastAsia="Times New Roman" w:cs="Times New Roman"/>
                <w:color w:val="000000"/>
              </w:rPr>
              <w:t>Ementa: Apresentação e discussão de alguns dos fundamentos teóricos da didática no ensino de história. Pretende-se enfatizar a relação entre História e cinema como recurso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didático.</w:t>
            </w:r>
          </w:p>
        </w:tc>
      </w:tr>
      <w:tr>
        <w:tblPrEx>
          <w:tblCellMar>
            <w:top w:w="0" w:type="dxa"/>
            <w:left w:w="22" w:type="dxa"/>
            <w:bottom w:w="0" w:type="dxa"/>
            <w:right w:w="22" w:type="dxa"/>
          </w:tblCellMar>
        </w:tblPrEx>
        <w:trPr>
          <w:trHeight w:val="2899" w:hRule="atLeast"/>
        </w:trPr>
        <w:tc>
          <w:tcPr>
            <w:tcW w:w="9043"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right="1947" w:hanging="2"/>
              <w:rPr>
                <w:rFonts w:ascii="Times New Roman" w:hAnsi="Times New Roman" w:eastAsia="Times New Roman" w:cs="Times New Roman"/>
                <w:color w:val="000000"/>
              </w:rPr>
            </w:pPr>
            <w:r>
              <w:rPr>
                <w:rFonts w:ascii="Times New Roman" w:hAnsi="Times New Roman" w:eastAsia="Times New Roman" w:cs="Times New Roman"/>
                <w:b/>
                <w:color w:val="000000"/>
              </w:rPr>
              <w:t xml:space="preserve">Parte I </w:t>
            </w:r>
            <w:r>
              <w:rPr>
                <w:rFonts w:ascii="Times New Roman" w:hAnsi="Times New Roman" w:eastAsia="Times New Roman" w:cs="Times New Roman"/>
                <w:color w:val="000000"/>
              </w:rPr>
              <w:t>– Didática: campo de possibilidades para o ensino de História 1.1- A discussão conceitual.</w:t>
            </w:r>
          </w:p>
          <w:p>
            <w:pPr>
              <w:widowControl w:val="0"/>
              <w:pBdr>
                <w:top w:val="none" w:color="auto" w:sz="0" w:space="0"/>
                <w:left w:val="none" w:color="auto" w:sz="0" w:space="0"/>
                <w:bottom w:val="none" w:color="auto" w:sz="0" w:space="0"/>
                <w:right w:val="none" w:color="auto" w:sz="0" w:space="0"/>
                <w:between w:val="none" w:color="auto" w:sz="0" w:space="0"/>
              </w:pBdr>
              <w:spacing w:before="3" w:line="360" w:lineRule="auto"/>
              <w:ind w:left="0" w:right="4070" w:hanging="2"/>
              <w:rPr>
                <w:rFonts w:ascii="Times New Roman" w:hAnsi="Times New Roman" w:eastAsia="Times New Roman" w:cs="Times New Roman"/>
                <w:color w:val="000000"/>
              </w:rPr>
            </w:pPr>
            <w:r>
              <w:rPr>
                <w:rFonts w:ascii="Times New Roman" w:hAnsi="Times New Roman" w:eastAsia="Times New Roman" w:cs="Times New Roman"/>
                <w:b/>
                <w:color w:val="000000"/>
              </w:rPr>
              <w:t xml:space="preserve">Parte II </w:t>
            </w:r>
            <w:r>
              <w:rPr>
                <w:rFonts w:ascii="Times New Roman" w:hAnsi="Times New Roman" w:eastAsia="Times New Roman" w:cs="Times New Roman"/>
                <w:color w:val="000000"/>
              </w:rPr>
              <w:t>– História e música: desafios didáticos 1.1- A música como objeto;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1.2- A música no ensino de História;</w:t>
            </w:r>
          </w:p>
          <w:p>
            <w:pPr>
              <w:widowControl w:val="0"/>
              <w:pBdr>
                <w:top w:val="none" w:color="auto" w:sz="0" w:space="0"/>
                <w:left w:val="none" w:color="auto" w:sz="0" w:space="0"/>
                <w:bottom w:val="none" w:color="auto" w:sz="0" w:space="0"/>
                <w:right w:val="none" w:color="auto" w:sz="0" w:space="0"/>
                <w:between w:val="none" w:color="auto" w:sz="0" w:space="0"/>
              </w:pBdr>
              <w:spacing w:before="136"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1.3- Oficinas de História por meio da música: elaboração e estudos de casos.</w:t>
            </w:r>
          </w:p>
        </w:tc>
      </w:tr>
      <w:tr>
        <w:tblPrEx>
          <w:tblCellMar>
            <w:top w:w="0" w:type="dxa"/>
            <w:left w:w="22" w:type="dxa"/>
            <w:bottom w:w="0" w:type="dxa"/>
            <w:right w:w="22" w:type="dxa"/>
          </w:tblCellMar>
        </w:tblPrEx>
        <w:trPr>
          <w:trHeight w:val="2894" w:hRule="atLeast"/>
        </w:trPr>
        <w:tc>
          <w:tcPr>
            <w:tcW w:w="9043"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BITTENCOURT, Circe. Ensino de história: fundamentos e métodos. São Paulo: Cortez, 2004.</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3" w:hanging="2"/>
              <w:rPr>
                <w:rFonts w:ascii="Times New Roman" w:hAnsi="Times New Roman" w:eastAsia="Times New Roman" w:cs="Times New Roman"/>
                <w:color w:val="000000"/>
              </w:rPr>
            </w:pPr>
            <w:r>
              <w:rPr>
                <w:rFonts w:ascii="Times New Roman" w:hAnsi="Times New Roman" w:eastAsia="Times New Roman" w:cs="Times New Roman"/>
                <w:color w:val="000000"/>
              </w:rPr>
              <w:t>BITTENCOURT, Circe Maria Fernandes. Documentos não escritos na sala de aula. Ensino de história: fundamentos e métodos. São Paulo: Cortez, 2004.</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CERRI, Luiz Fernando. Saberes históricos diante da avaliação do ensino: notas sobre os</w:t>
            </w:r>
          </w:p>
          <w:p>
            <w:pPr>
              <w:widowControl w:val="0"/>
              <w:pBdr>
                <w:top w:val="none" w:color="auto" w:sz="0" w:space="0"/>
                <w:left w:val="none" w:color="auto" w:sz="0" w:space="0"/>
                <w:bottom w:val="none" w:color="auto" w:sz="0" w:space="0"/>
                <w:right w:val="none" w:color="auto" w:sz="0" w:space="0"/>
                <w:between w:val="none" w:color="auto" w:sz="0" w:space="0"/>
              </w:pBdr>
              <w:spacing w:before="134"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conteúdos de história nas provas do Exame Nacional do Ensino Médio – ENEM. Revista</w:t>
            </w:r>
          </w:p>
        </w:tc>
      </w:tr>
    </w:tbl>
    <w:p>
      <w:pPr>
        <w:ind w:left="0" w:hanging="2"/>
        <w:rPr>
          <w:rFonts w:ascii="Times New Roman" w:hAnsi="Times New Roman" w:cs="Times New Roman"/>
        </w:rPr>
        <w:sectPr>
          <w:headerReference r:id="rId10" w:type="first"/>
          <w:footerReference r:id="rId13" w:type="first"/>
          <w:headerReference r:id="rId8" w:type="default"/>
          <w:footerReference r:id="rId11" w:type="default"/>
          <w:headerReference r:id="rId9" w:type="even"/>
          <w:footerReference r:id="rId12" w:type="even"/>
          <w:pgSz w:w="11906" w:h="16838"/>
          <w:pgMar w:top="1840" w:right="284" w:bottom="1180" w:left="1420" w:header="571" w:footer="935" w:gutter="0"/>
          <w:cols w:space="720" w:num="1"/>
        </w:sect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tbl>
      <w:tblPr>
        <w:tblStyle w:val="502"/>
        <w:tblW w:w="9305" w:type="dxa"/>
        <w:tblInd w:w="-282" w:type="dxa"/>
        <w:tblLayout w:type="fixed"/>
        <w:tblCellMar>
          <w:top w:w="0" w:type="dxa"/>
          <w:left w:w="22" w:type="dxa"/>
          <w:bottom w:w="0" w:type="dxa"/>
          <w:right w:w="22" w:type="dxa"/>
        </w:tblCellMar>
      </w:tblPr>
      <w:tblGrid>
        <w:gridCol w:w="9305"/>
      </w:tblGrid>
      <w:tr>
        <w:tblPrEx>
          <w:tblCellMar>
            <w:top w:w="0" w:type="dxa"/>
            <w:left w:w="22" w:type="dxa"/>
            <w:bottom w:w="0" w:type="dxa"/>
            <w:right w:w="22" w:type="dxa"/>
          </w:tblCellMar>
        </w:tblPrEx>
        <w:trPr>
          <w:trHeight w:val="2066" w:hRule="atLeast"/>
        </w:trPr>
        <w:tc>
          <w:tcPr>
            <w:tcW w:w="9305" w:type="dxa"/>
            <w:tcBorders>
              <w:top w:val="single" w:color="000000" w:sz="4" w:space="0"/>
              <w:left w:val="single" w:color="000000" w:sz="18" w:space="0"/>
              <w:bottom w:val="single" w:color="000000" w:sz="6"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 História, São Paulo, V. 24, N. 48, 213-231, 2004.</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right="356" w:hanging="2"/>
              <w:rPr>
                <w:rFonts w:ascii="Times New Roman" w:hAnsi="Times New Roman" w:eastAsia="Times New Roman" w:cs="Times New Roman"/>
                <w:color w:val="000000"/>
              </w:rPr>
            </w:pPr>
            <w:r>
              <w:rPr>
                <w:rFonts w:ascii="Times New Roman" w:hAnsi="Times New Roman" w:eastAsia="Times New Roman" w:cs="Times New Roman"/>
                <w:color w:val="000000"/>
              </w:rPr>
              <w:t>DAVIES, Nicholas (org.). Para além dos conteúdos no ensino de História. Rio de Janeiro: Acess, 2001.</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KARNAL, Leandro (org.). História na sala de aula: conceitos, práticas e propostas. São</w:t>
            </w:r>
          </w:p>
          <w:p>
            <w:pPr>
              <w:widowControl w:val="0"/>
              <w:pBdr>
                <w:top w:val="none" w:color="auto" w:sz="0" w:space="0"/>
                <w:left w:val="none" w:color="auto" w:sz="0" w:space="0"/>
                <w:bottom w:val="none" w:color="auto" w:sz="0" w:space="0"/>
                <w:right w:val="none" w:color="auto" w:sz="0" w:space="0"/>
                <w:between w:val="none" w:color="auto" w:sz="0" w:space="0"/>
              </w:pBdr>
              <w:spacing w:before="142"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Paulo: Contexto, 2003.</w:t>
            </w:r>
          </w:p>
        </w:tc>
      </w:tr>
      <w:tr>
        <w:tblPrEx>
          <w:tblCellMar>
            <w:top w:w="0" w:type="dxa"/>
            <w:left w:w="22" w:type="dxa"/>
            <w:bottom w:w="0" w:type="dxa"/>
            <w:right w:w="22" w:type="dxa"/>
          </w:tblCellMar>
        </w:tblPrEx>
        <w:trPr>
          <w:trHeight w:val="7866" w:hRule="atLeast"/>
        </w:trPr>
        <w:tc>
          <w:tcPr>
            <w:tcW w:w="9305" w:type="dxa"/>
            <w:tcBorders>
              <w:top w:val="single" w:color="000000" w:sz="6"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right="356" w:hanging="2"/>
              <w:rPr>
                <w:rFonts w:ascii="Times New Roman" w:hAnsi="Times New Roman" w:eastAsia="Times New Roman" w:cs="Times New Roman"/>
                <w:color w:val="000000"/>
              </w:rPr>
            </w:pPr>
            <w:r>
              <w:rPr>
                <w:rFonts w:ascii="Times New Roman" w:hAnsi="Times New Roman" w:eastAsia="Times New Roman" w:cs="Times New Roman"/>
                <w:color w:val="000000"/>
              </w:rPr>
              <w:t>FONSECA, Selva G. e JR. Décio Gatti (orgs.) Perspectivas do Ensino de História: ensino, cidadania e consciência histórica. EDUFU, 2011.</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GUIMARÃES, Manuel Salgado. Escrita da história e ensino de História: tensões e paradoxos. IN: ROCHA, H; MAGALHAES, M e GONTIJO, R (orgs.) A escrita da história escolar. Memória e historiografia. RJ: FGV editora, 2009, p.35-50.</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4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MONTEIRO, Ana Maria, GASPARELLO, Arlette Medeiros e MAGALHÃES, Marcelo de Souza (orgs.). Ensino de História: sujeitos, saberes e práticas. Rio de Janeiro: Mauad X/FAPERJ, 2007.</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NAPOLITANO, Marcos. Como usar o cinema em sala de aula. São Paulo: Contexto, 2006.</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PROENÇA, M. C. Ensinar/Aprender História: questões de didática aplicada. Lisboa: Livros</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Horizonte, 1990.</w:t>
            </w:r>
          </w:p>
          <w:p>
            <w:pPr>
              <w:widowControl w:val="0"/>
              <w:pBdr>
                <w:top w:val="none" w:color="auto" w:sz="0" w:space="0"/>
                <w:left w:val="none" w:color="auto" w:sz="0" w:space="0"/>
                <w:bottom w:val="none" w:color="auto" w:sz="0" w:space="0"/>
                <w:right w:val="none" w:color="auto" w:sz="0" w:space="0"/>
                <w:between w:val="none" w:color="auto" w:sz="0" w:space="0"/>
              </w:pBdr>
              <w:spacing w:before="126"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SANTOS NETO, Martinho Guedes dos (Org.). História ensinada: linguagens e abordagens em sala de aula. João Pessoa: Idéia, 2008.</w:t>
            </w:r>
          </w:p>
          <w:p>
            <w:pPr>
              <w:widowControl w:val="0"/>
              <w:pBdr>
                <w:top w:val="none" w:color="auto" w:sz="0" w:space="0"/>
                <w:left w:val="none" w:color="auto" w:sz="0" w:space="0"/>
                <w:bottom w:val="none" w:color="auto" w:sz="0" w:space="0"/>
                <w:right w:val="none" w:color="auto" w:sz="0" w:space="0"/>
                <w:between w:val="none" w:color="auto" w:sz="0" w:space="0"/>
              </w:pBdr>
              <w:spacing w:before="3"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ZAMBONI, E. Representações e linguagens no ensino de História. Revista Brasileira de História.São Paulo, V. 18, N. 36, 175-192, 1998.</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503"/>
        <w:tblW w:w="9305" w:type="dxa"/>
        <w:tblInd w:w="-282" w:type="dxa"/>
        <w:tblLayout w:type="fixed"/>
        <w:tblCellMar>
          <w:top w:w="0" w:type="dxa"/>
          <w:left w:w="22" w:type="dxa"/>
          <w:bottom w:w="0" w:type="dxa"/>
          <w:right w:w="22" w:type="dxa"/>
        </w:tblCellMar>
      </w:tblPr>
      <w:tblGrid>
        <w:gridCol w:w="3402"/>
        <w:gridCol w:w="3261"/>
        <w:gridCol w:w="2642"/>
      </w:tblGrid>
      <w:tr>
        <w:tblPrEx>
          <w:tblCellMar>
            <w:top w:w="0" w:type="dxa"/>
            <w:left w:w="22" w:type="dxa"/>
            <w:bottom w:w="0" w:type="dxa"/>
            <w:right w:w="22" w:type="dxa"/>
          </w:tblCellMar>
        </w:tblPrEx>
        <w:trPr>
          <w:trHeight w:val="829" w:hRule="atLeast"/>
        </w:trPr>
        <w:tc>
          <w:tcPr>
            <w:tcW w:w="6663" w:type="dxa"/>
            <w:gridSpan w:val="2"/>
            <w:tcBorders>
              <w:top w:val="single" w:color="000000" w:sz="4" w:space="0"/>
              <w:left w:val="single" w:color="000000" w:sz="18" w:space="0"/>
              <w:bottom w:val="single" w:color="000000" w:sz="6"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Disciplina: Estudos Sociológicos sobre Educação</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Sociological Studies on Education</w:t>
            </w:r>
          </w:p>
        </w:tc>
        <w:tc>
          <w:tcPr>
            <w:tcW w:w="2642" w:type="dxa"/>
            <w:tcBorders>
              <w:top w:val="single" w:color="000000" w:sz="4" w:space="0"/>
              <w:left w:val="single" w:color="000000" w:sz="6" w:space="0"/>
              <w:bottom w:val="single" w:color="000000" w:sz="6"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EDU253</w:t>
            </w:r>
          </w:p>
        </w:tc>
      </w:tr>
      <w:tr>
        <w:tblPrEx>
          <w:tblCellMar>
            <w:top w:w="0" w:type="dxa"/>
            <w:left w:w="22" w:type="dxa"/>
            <w:bottom w:w="0" w:type="dxa"/>
            <w:right w:w="22" w:type="dxa"/>
          </w:tblCellMar>
        </w:tblPrEx>
        <w:trPr>
          <w:trHeight w:val="637" w:hRule="atLeast"/>
        </w:trPr>
        <w:tc>
          <w:tcPr>
            <w:tcW w:w="6663" w:type="dxa"/>
            <w:gridSpan w:val="2"/>
            <w:tcBorders>
              <w:top w:val="single" w:color="000000" w:sz="6" w:space="0"/>
              <w:left w:val="single" w:color="000000" w:sz="18" w:space="0"/>
              <w:bottom w:val="single" w:color="000000" w:sz="6"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Departamento de Educação - DEEDU</w:t>
            </w:r>
          </w:p>
        </w:tc>
        <w:tc>
          <w:tcPr>
            <w:tcW w:w="2642" w:type="dxa"/>
            <w:tcBorders>
              <w:top w:val="single" w:color="000000" w:sz="6" w:space="0"/>
              <w:left w:val="single" w:color="000000" w:sz="6" w:space="0"/>
              <w:bottom w:val="single" w:color="000000" w:sz="6"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637" w:hRule="atLeast"/>
        </w:trPr>
        <w:tc>
          <w:tcPr>
            <w:tcW w:w="3402" w:type="dxa"/>
            <w:tcBorders>
              <w:top w:val="single" w:color="000000" w:sz="6" w:space="0"/>
              <w:left w:val="single" w:color="000000" w:sz="18" w:space="0"/>
              <w:bottom w:val="single" w:color="000000" w:sz="6"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371"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60h</w:t>
            </w:r>
          </w:p>
        </w:tc>
        <w:tc>
          <w:tcPr>
            <w:tcW w:w="3261" w:type="dxa"/>
            <w:tcBorders>
              <w:top w:val="single" w:color="000000" w:sz="6" w:space="0"/>
              <w:left w:val="single" w:color="000000" w:sz="6" w:space="0"/>
              <w:bottom w:val="single" w:color="000000" w:sz="6"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83"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04h/a</w:t>
            </w:r>
          </w:p>
        </w:tc>
        <w:tc>
          <w:tcPr>
            <w:tcW w:w="2642" w:type="dxa"/>
            <w:tcBorders>
              <w:top w:val="single" w:color="000000" w:sz="6" w:space="0"/>
              <w:left w:val="single" w:color="000000" w:sz="6" w:space="0"/>
              <w:bottom w:val="single" w:color="000000" w:sz="6"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00h/a</w:t>
            </w:r>
          </w:p>
        </w:tc>
      </w:tr>
      <w:tr>
        <w:tblPrEx>
          <w:tblCellMar>
            <w:top w:w="0" w:type="dxa"/>
            <w:left w:w="22" w:type="dxa"/>
            <w:bottom w:w="0" w:type="dxa"/>
            <w:right w:w="22" w:type="dxa"/>
          </w:tblCellMar>
        </w:tblPrEx>
        <w:trPr>
          <w:trHeight w:val="637" w:hRule="atLeast"/>
        </w:trPr>
        <w:tc>
          <w:tcPr>
            <w:tcW w:w="9305" w:type="dxa"/>
            <w:gridSpan w:val="3"/>
            <w:tcBorders>
              <w:top w:val="single" w:color="000000" w:sz="6" w:space="0"/>
              <w:left w:val="single" w:color="000000" w:sz="18" w:space="0"/>
              <w:bottom w:val="single" w:color="000000" w:sz="6"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w:t>
            </w:r>
          </w:p>
          <w:p>
            <w:pPr>
              <w:widowControl w:val="0"/>
              <w:pBdr>
                <w:top w:val="none" w:color="auto" w:sz="0" w:space="0"/>
                <w:left w:val="none" w:color="auto" w:sz="0" w:space="0"/>
                <w:bottom w:val="none" w:color="auto" w:sz="0" w:space="0"/>
                <w:right w:val="none" w:color="auto" w:sz="0" w:space="0"/>
                <w:between w:val="none" w:color="auto" w:sz="0" w:space="0"/>
              </w:pBdr>
              <w:spacing w:before="141" w:line="360" w:lineRule="auto"/>
              <w:ind w:left="0" w:right="58"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Perspectiva histórica da sociologia da educação enquanto campo científico. Relações entre o conhecimento sociológico, a sociedade e a instituição escolar. A compreensão sociológica das desigualdades escolares e sociais. A sociologia da educação e os estudos das diversidades sociais. A escola, a sala de aula e seus atores. Escola, socialização e sociabilidade no mundo contemporâneo.</w:t>
            </w:r>
          </w:p>
        </w:tc>
      </w:tr>
      <w:tr>
        <w:tblPrEx>
          <w:tblCellMar>
            <w:top w:w="0" w:type="dxa"/>
            <w:left w:w="22" w:type="dxa"/>
            <w:bottom w:w="0" w:type="dxa"/>
            <w:right w:w="22" w:type="dxa"/>
          </w:tblCellMar>
        </w:tblPrEx>
        <w:trPr>
          <w:trHeight w:val="637" w:hRule="atLeast"/>
        </w:trPr>
        <w:tc>
          <w:tcPr>
            <w:tcW w:w="9305" w:type="dxa"/>
            <w:gridSpan w:val="3"/>
            <w:tcBorders>
              <w:top w:val="single" w:color="000000" w:sz="6" w:space="0"/>
              <w:left w:val="single" w:color="000000" w:sz="18" w:space="0"/>
              <w:bottom w:val="single" w:color="000000" w:sz="6"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Unidade I – O campo de estudos da sociologia da educação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Unidade II – O processo de socialização e a escola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 xml:space="preserve">Unidade III - As desigualdades sociais face ao ensino </w:t>
            </w:r>
          </w:p>
        </w:tc>
      </w:tr>
      <w:tr>
        <w:tblPrEx>
          <w:tblCellMar>
            <w:top w:w="0" w:type="dxa"/>
            <w:left w:w="22" w:type="dxa"/>
            <w:bottom w:w="0" w:type="dxa"/>
            <w:right w:w="22" w:type="dxa"/>
          </w:tblCellMar>
        </w:tblPrEx>
        <w:trPr>
          <w:trHeight w:val="637" w:hRule="atLeast"/>
        </w:trPr>
        <w:tc>
          <w:tcPr>
            <w:tcW w:w="9305" w:type="dxa"/>
            <w:gridSpan w:val="3"/>
            <w:tcBorders>
              <w:top w:val="single" w:color="000000" w:sz="6" w:space="0"/>
              <w:left w:val="single" w:color="000000" w:sz="18" w:space="0"/>
              <w:bottom w:val="single" w:color="000000" w:sz="6"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BOURDIEU, Pierre. </w:t>
            </w:r>
            <w:r>
              <w:rPr>
                <w:rFonts w:ascii="Times New Roman" w:hAnsi="Times New Roman" w:eastAsia="Times New Roman" w:cs="Times New Roman"/>
                <w:b/>
                <w:color w:val="000000"/>
              </w:rPr>
              <w:t>Escritos de educação</w:t>
            </w:r>
            <w:r>
              <w:rPr>
                <w:rFonts w:ascii="Times New Roman" w:hAnsi="Times New Roman" w:eastAsia="Times New Roman" w:cs="Times New Roman"/>
                <w:color w:val="000000"/>
              </w:rPr>
              <w:t>. Petrópolis, RJ: Vozes, 2003.</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DURKHEIM, É. </w:t>
            </w:r>
            <w:r>
              <w:rPr>
                <w:rFonts w:ascii="Times New Roman" w:hAnsi="Times New Roman" w:eastAsia="Times New Roman" w:cs="Times New Roman"/>
                <w:b/>
                <w:color w:val="000000"/>
              </w:rPr>
              <w:t>Educação e sociologia</w:t>
            </w:r>
            <w:r>
              <w:rPr>
                <w:rFonts w:ascii="Times New Roman" w:hAnsi="Times New Roman" w:eastAsia="Times New Roman" w:cs="Times New Roman"/>
                <w:color w:val="000000"/>
              </w:rPr>
              <w:t xml:space="preserve">. São Paulo: Melhoramentos, 1981. NOGUEIRA, M. A. </w:t>
            </w:r>
            <w:r>
              <w:rPr>
                <w:rFonts w:ascii="Times New Roman" w:hAnsi="Times New Roman" w:eastAsia="Times New Roman" w:cs="Times New Roman"/>
                <w:b/>
                <w:color w:val="000000"/>
              </w:rPr>
              <w:t>Leituras &amp; imagens</w:t>
            </w:r>
            <w:r>
              <w:rPr>
                <w:rFonts w:ascii="Times New Roman" w:hAnsi="Times New Roman" w:eastAsia="Times New Roman" w:cs="Times New Roman"/>
                <w:color w:val="000000"/>
              </w:rPr>
              <w:t>. Florianópolis: Udesc, 1995.</w:t>
            </w:r>
          </w:p>
        </w:tc>
      </w:tr>
      <w:tr>
        <w:tblPrEx>
          <w:tblCellMar>
            <w:top w:w="0" w:type="dxa"/>
            <w:left w:w="22" w:type="dxa"/>
            <w:bottom w:w="0" w:type="dxa"/>
            <w:right w:w="22" w:type="dxa"/>
          </w:tblCellMar>
        </w:tblPrEx>
        <w:trPr>
          <w:trHeight w:val="637" w:hRule="atLeast"/>
        </w:trPr>
        <w:tc>
          <w:tcPr>
            <w:tcW w:w="9305" w:type="dxa"/>
            <w:gridSpan w:val="3"/>
            <w:tcBorders>
              <w:top w:val="single" w:color="000000" w:sz="6"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right="57"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BRESSOUX, P. As pesquisas sobre o efeito-escola e o efeito-professor. </w:t>
            </w:r>
            <w:r>
              <w:rPr>
                <w:rFonts w:ascii="Times New Roman" w:hAnsi="Times New Roman" w:eastAsia="Times New Roman" w:cs="Times New Roman"/>
                <w:b/>
                <w:color w:val="000000"/>
              </w:rPr>
              <w:t>Educação em Revista</w:t>
            </w:r>
            <w:r>
              <w:rPr>
                <w:rFonts w:ascii="Times New Roman" w:hAnsi="Times New Roman" w:eastAsia="Times New Roman" w:cs="Times New Roman"/>
                <w:color w:val="000000"/>
              </w:rPr>
              <w:t>, Belo Horizonte, n. 38, p. 17-88, dez. 2003.</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1"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DUBET, François; MARTUCCELLI. A socialização e a formação escolar. </w:t>
            </w:r>
            <w:r>
              <w:rPr>
                <w:rFonts w:ascii="Times New Roman" w:hAnsi="Times New Roman" w:eastAsia="Times New Roman" w:cs="Times New Roman"/>
                <w:b/>
                <w:color w:val="000000"/>
              </w:rPr>
              <w:t>Lua Nova</w:t>
            </w:r>
            <w:r>
              <w:rPr>
                <w:rFonts w:ascii="Times New Roman" w:hAnsi="Times New Roman" w:eastAsia="Times New Roman" w:cs="Times New Roman"/>
                <w:color w:val="000000"/>
              </w:rPr>
              <w:t>, São Paulo, n. 40-41, p. 241-266, 1997.</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1"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ÉRNICA, Maurício, BATISTA, Antônio Augusto Gomes. A escola, a metrópole e a vizinhança vulnerável. </w:t>
            </w:r>
            <w:r>
              <w:rPr>
                <w:rFonts w:ascii="Times New Roman" w:hAnsi="Times New Roman" w:eastAsia="Times New Roman" w:cs="Times New Roman"/>
                <w:b/>
                <w:color w:val="000000"/>
              </w:rPr>
              <w:t>Cadernos de Pesquisa</w:t>
            </w:r>
            <w:r>
              <w:rPr>
                <w:rFonts w:ascii="Times New Roman" w:hAnsi="Times New Roman" w:eastAsia="Times New Roman" w:cs="Times New Roman"/>
                <w:color w:val="000000"/>
              </w:rPr>
              <w:t>, São Paulo, v. 42, n. 146, p. 640-666, mai.-ago. 2012. Disponível em: &lt;</w:t>
            </w:r>
            <w:r>
              <w:fldChar w:fldCharType="begin"/>
            </w:r>
            <w:r>
              <w:instrText xml:space="preserve"> HYPERLINK "http://www.scielo.br/pdf/cp/v42n146/16.pdf" \h </w:instrText>
            </w:r>
            <w:r>
              <w:fldChar w:fldCharType="separate"/>
            </w:r>
            <w:r>
              <w:rPr>
                <w:rFonts w:ascii="Times New Roman" w:hAnsi="Times New Roman" w:eastAsia="Times New Roman" w:cs="Times New Roman"/>
                <w:color w:val="0000FF"/>
                <w:u w:val="single"/>
              </w:rPr>
              <w:t>http://www.scielo.br/pdf/cp/v42n146/16.pdf</w:t>
            </w:r>
            <w:r>
              <w:rPr>
                <w:rFonts w:ascii="Times New Roman" w:hAnsi="Times New Roman" w:eastAsia="Times New Roman" w:cs="Times New Roman"/>
                <w:color w:val="0000FF"/>
                <w:u w:val="single"/>
              </w:rPr>
              <w:fldChar w:fldCharType="end"/>
            </w:r>
            <w:r>
              <w:rPr>
                <w:rFonts w:ascii="Times New Roman" w:hAnsi="Times New Roman" w:eastAsia="Times New Roman" w:cs="Times New Roman"/>
                <w:color w:val="000000"/>
              </w:rPr>
              <w:t>&gt;. Acesso em: 10 fev. 2018.</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NOGUEIRA, M. A.; NOGUEIRA, C. M. </w:t>
            </w:r>
            <w:r>
              <w:rPr>
                <w:rFonts w:ascii="Times New Roman" w:hAnsi="Times New Roman" w:eastAsia="Times New Roman" w:cs="Times New Roman"/>
                <w:b/>
                <w:color w:val="000000"/>
              </w:rPr>
              <w:t>Bourdieu e a educação</w:t>
            </w:r>
            <w:r>
              <w:rPr>
                <w:rFonts w:ascii="Times New Roman" w:hAnsi="Times New Roman" w:eastAsia="Times New Roman" w:cs="Times New Roman"/>
                <w:color w:val="000000"/>
              </w:rPr>
              <w:t>. Belo Horizonte: Autêntica, 2004.</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PATTO, M. H. S. </w:t>
            </w:r>
            <w:r>
              <w:rPr>
                <w:rFonts w:ascii="Times New Roman" w:hAnsi="Times New Roman" w:eastAsia="Times New Roman" w:cs="Times New Roman"/>
                <w:b/>
                <w:color w:val="000000"/>
              </w:rPr>
              <w:t>A produção do fracasso escolar</w:t>
            </w:r>
            <w:r>
              <w:rPr>
                <w:rFonts w:ascii="Times New Roman" w:hAnsi="Times New Roman" w:eastAsia="Times New Roman" w:cs="Times New Roman"/>
                <w:color w:val="000000"/>
              </w:rPr>
              <w:t xml:space="preserve">. São Paulo: T. A. Queiroz, 1990. RAMOS, Francicleo Castro. Socialização e cultura escolar no Brasil. </w:t>
            </w:r>
            <w:r>
              <w:rPr>
                <w:rFonts w:ascii="Times New Roman" w:hAnsi="Times New Roman" w:eastAsia="Times New Roman" w:cs="Times New Roman"/>
                <w:b/>
                <w:color w:val="000000"/>
              </w:rPr>
              <w:t>Revista Brasileira de Educação</w:t>
            </w:r>
            <w:r>
              <w:rPr>
                <w:rFonts w:ascii="Times New Roman" w:hAnsi="Times New Roman" w:eastAsia="Times New Roman" w:cs="Times New Roman"/>
                <w:color w:val="000000"/>
              </w:rPr>
              <w:t>, Rio de Janeiro, v. 23, 2018. Disponível em: &lt;</w:t>
            </w:r>
            <w:r>
              <w:fldChar w:fldCharType="begin"/>
            </w:r>
            <w:r>
              <w:instrText xml:space="preserve"> HYPERLINK "http://www.scielo.br/%20pdf/rbedu/v23/1809-449X-rbedu-23-e230006.pdf" \h </w:instrText>
            </w:r>
            <w:r>
              <w:fldChar w:fldCharType="separate"/>
            </w:r>
            <w:r>
              <w:rPr>
                <w:rFonts w:ascii="Times New Roman" w:hAnsi="Times New Roman" w:eastAsia="Times New Roman" w:cs="Times New Roman"/>
                <w:color w:val="0000FF"/>
                <w:u w:val="single"/>
              </w:rPr>
              <w:t>http://www.scielo.br/</w:t>
            </w:r>
            <w:r>
              <w:rPr>
                <w:rFonts w:ascii="Times New Roman" w:hAnsi="Times New Roman" w:eastAsia="Times New Roman" w:cs="Times New Roman"/>
                <w:color w:val="0000FF"/>
                <w:u w:val="single"/>
              </w:rPr>
              <w:fldChar w:fldCharType="end"/>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fldChar w:fldCharType="begin"/>
            </w:r>
            <w:r>
              <w:instrText xml:space="preserve"> HYPERLINK "http://www.scielo.br/%20pdf/rbedu/v23/1809-449X-rbedu-23-e230006.pdf" \h </w:instrText>
            </w:r>
            <w:r>
              <w:fldChar w:fldCharType="separate"/>
            </w:r>
            <w:r>
              <w:rPr>
                <w:rFonts w:ascii="Times New Roman" w:hAnsi="Times New Roman" w:eastAsia="Times New Roman" w:cs="Times New Roman"/>
                <w:color w:val="0000FF"/>
                <w:u w:val="single"/>
              </w:rPr>
              <w:t>pdf/rbedu/v23/1809-449X-rbedu-23-e230006.pdf</w:t>
            </w:r>
            <w:r>
              <w:rPr>
                <w:rFonts w:ascii="Times New Roman" w:hAnsi="Times New Roman" w:eastAsia="Times New Roman" w:cs="Times New Roman"/>
                <w:color w:val="0000FF"/>
                <w:u w:val="single"/>
              </w:rPr>
              <w:fldChar w:fldCharType="end"/>
            </w:r>
            <w:r>
              <w:rPr>
                <w:rFonts w:ascii="Times New Roman" w:hAnsi="Times New Roman" w:eastAsia="Times New Roman" w:cs="Times New Roman"/>
                <w:color w:val="000000"/>
              </w:rPr>
              <w:t>&gt;. Acesso em: 10 fev. 2018.</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504"/>
        <w:tblW w:w="9305" w:type="dxa"/>
        <w:tblInd w:w="-282" w:type="dxa"/>
        <w:tblLayout w:type="fixed"/>
        <w:tblCellMar>
          <w:top w:w="0" w:type="dxa"/>
          <w:left w:w="22" w:type="dxa"/>
          <w:bottom w:w="0" w:type="dxa"/>
          <w:right w:w="22" w:type="dxa"/>
        </w:tblCellMar>
      </w:tblPr>
      <w:tblGrid>
        <w:gridCol w:w="3402"/>
        <w:gridCol w:w="3261"/>
        <w:gridCol w:w="2642"/>
      </w:tblGrid>
      <w:tr>
        <w:tblPrEx>
          <w:tblCellMar>
            <w:top w:w="0" w:type="dxa"/>
            <w:left w:w="22" w:type="dxa"/>
            <w:bottom w:w="0" w:type="dxa"/>
            <w:right w:w="22" w:type="dxa"/>
          </w:tblCellMar>
        </w:tblPrEx>
        <w:trPr>
          <w:trHeight w:val="829" w:hRule="atLeast"/>
        </w:trPr>
        <w:tc>
          <w:tcPr>
            <w:tcW w:w="6663"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Disciplina: Psicologia da Educação</w:t>
            </w:r>
          </w:p>
          <w:p>
            <w:pPr>
              <w:widowControl w:val="0"/>
              <w:pBdr>
                <w:top w:val="none" w:color="auto" w:sz="0" w:space="0"/>
                <w:left w:val="none" w:color="auto" w:sz="0" w:space="0"/>
                <w:bottom w:val="none" w:color="auto" w:sz="0" w:space="0"/>
                <w:right w:val="none" w:color="auto" w:sz="0" w:space="0"/>
                <w:between w:val="none" w:color="auto" w:sz="0" w:space="0"/>
              </w:pBdr>
              <w:spacing w:before="14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Educational Psychology</w:t>
            </w:r>
          </w:p>
        </w:tc>
        <w:tc>
          <w:tcPr>
            <w:tcW w:w="2642"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EDU256</w:t>
            </w:r>
          </w:p>
        </w:tc>
      </w:tr>
      <w:tr>
        <w:tblPrEx>
          <w:tblCellMar>
            <w:top w:w="0" w:type="dxa"/>
            <w:left w:w="22" w:type="dxa"/>
            <w:bottom w:w="0" w:type="dxa"/>
            <w:right w:w="22" w:type="dxa"/>
          </w:tblCellMar>
        </w:tblPrEx>
        <w:trPr>
          <w:trHeight w:val="637" w:hRule="atLeast"/>
        </w:trPr>
        <w:tc>
          <w:tcPr>
            <w:tcW w:w="6663"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Departamento de Educação– DEEDU</w:t>
            </w:r>
          </w:p>
        </w:tc>
        <w:tc>
          <w:tcPr>
            <w:tcW w:w="2642"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637" w:hRule="atLeast"/>
        </w:trPr>
        <w:tc>
          <w:tcPr>
            <w:tcW w:w="3402"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371"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60h</w:t>
            </w:r>
          </w:p>
        </w:tc>
        <w:tc>
          <w:tcPr>
            <w:tcW w:w="3261"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83"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04h/a</w:t>
            </w:r>
          </w:p>
        </w:tc>
        <w:tc>
          <w:tcPr>
            <w:tcW w:w="2642"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00h/a</w:t>
            </w:r>
          </w:p>
        </w:tc>
      </w:tr>
      <w:tr>
        <w:tblPrEx>
          <w:tblCellMar>
            <w:top w:w="0" w:type="dxa"/>
            <w:left w:w="22" w:type="dxa"/>
            <w:bottom w:w="0" w:type="dxa"/>
            <w:right w:w="22" w:type="dxa"/>
          </w:tblCellMar>
        </w:tblPrEx>
        <w:trPr>
          <w:trHeight w:val="2289" w:hRule="atLeast"/>
        </w:trPr>
        <w:tc>
          <w:tcPr>
            <w:tcW w:w="9305"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before="63"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Visão histórico-conceitual da psicologia como ciência e sua contribuição à área educacional. Psicologia escolar e educacional: definição, campo de estudos e aplicação. Principais teorias psicológicas e suas implicações nos processos de ensino e de aprendizagem. Temas contemporâneos associados à psicologia escolar e educacional. Práticas educativas inclusivas.</w:t>
            </w:r>
          </w:p>
        </w:tc>
      </w:tr>
      <w:tr>
        <w:tblPrEx>
          <w:tblCellMar>
            <w:top w:w="0" w:type="dxa"/>
            <w:left w:w="22" w:type="dxa"/>
            <w:bottom w:w="0" w:type="dxa"/>
            <w:right w:w="22" w:type="dxa"/>
          </w:tblCellMar>
        </w:tblPrEx>
        <w:trPr>
          <w:trHeight w:val="2289" w:hRule="atLeast"/>
        </w:trPr>
        <w:tc>
          <w:tcPr>
            <w:tcW w:w="9305"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before="63"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1. As psicologias e suas contribuições com os contextos educativos.</w:t>
            </w:r>
          </w:p>
          <w:p>
            <w:pPr>
              <w:widowControl w:val="0"/>
              <w:pBdr>
                <w:top w:val="none" w:color="auto" w:sz="0" w:space="0"/>
                <w:left w:val="none" w:color="auto" w:sz="0" w:space="0"/>
                <w:bottom w:val="none" w:color="auto" w:sz="0" w:space="0"/>
                <w:right w:val="none" w:color="auto" w:sz="0" w:space="0"/>
                <w:between w:val="none" w:color="auto" w:sz="0" w:space="0"/>
              </w:pBdr>
              <w:spacing w:before="63"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2. O processo de ensino e de aprendizagem a partir da perspectiva psicológica e as escolas inclusivas.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3. Psicologia da educação: questões emergentes na contemporaneidade.</w:t>
            </w:r>
          </w:p>
        </w:tc>
      </w:tr>
      <w:tr>
        <w:tblPrEx>
          <w:tblCellMar>
            <w:top w:w="0" w:type="dxa"/>
            <w:left w:w="22" w:type="dxa"/>
            <w:bottom w:w="0" w:type="dxa"/>
            <w:right w:w="22" w:type="dxa"/>
          </w:tblCellMar>
        </w:tblPrEx>
        <w:trPr>
          <w:trHeight w:val="2289" w:hRule="atLeast"/>
        </w:trPr>
        <w:tc>
          <w:tcPr>
            <w:tcW w:w="9305"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63"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BOCK, Ana Maria Bahia; FURTADO, Odair; TEIXEIRA, M. L. T. </w:t>
            </w:r>
            <w:r>
              <w:rPr>
                <w:rFonts w:ascii="Times New Roman" w:hAnsi="Times New Roman" w:eastAsia="Times New Roman" w:cs="Times New Roman"/>
                <w:b/>
                <w:color w:val="000000"/>
              </w:rPr>
              <w:t>Psicologias</w:t>
            </w:r>
            <w:r>
              <w:rPr>
                <w:rFonts w:ascii="Times New Roman" w:hAnsi="Times New Roman" w:eastAsia="Times New Roman" w:cs="Times New Roman"/>
                <w:color w:val="000000"/>
              </w:rPr>
              <w:t>: uma introdução ao estudo de psicologia. São Paulo: Saraiva, 2001.</w:t>
            </w:r>
          </w:p>
          <w:p>
            <w:pPr>
              <w:widowControl w:val="0"/>
              <w:pBdr>
                <w:top w:val="none" w:color="auto" w:sz="0" w:space="0"/>
                <w:left w:val="none" w:color="auto" w:sz="0" w:space="0"/>
                <w:bottom w:val="none" w:color="auto" w:sz="0" w:space="0"/>
                <w:right w:val="none" w:color="auto" w:sz="0" w:space="0"/>
                <w:between w:val="none" w:color="auto" w:sz="0" w:space="0"/>
              </w:pBdr>
              <w:spacing w:before="63"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COUTINHO, Maria Tereza; MOREIRA, Mércia. </w:t>
            </w:r>
            <w:r>
              <w:rPr>
                <w:rFonts w:ascii="Times New Roman" w:hAnsi="Times New Roman" w:eastAsia="Times New Roman" w:cs="Times New Roman"/>
                <w:b/>
                <w:color w:val="000000"/>
              </w:rPr>
              <w:t>Psicologia da educação</w:t>
            </w:r>
            <w:r>
              <w:rPr>
                <w:rFonts w:ascii="Times New Roman" w:hAnsi="Times New Roman" w:eastAsia="Times New Roman" w:cs="Times New Roman"/>
                <w:color w:val="000000"/>
              </w:rPr>
              <w:t>: um estudo dos processos psicológicos de desenvolvimento e aprendizagem humanos, voltado para a educação. Belo Horizonte: Formato Editorial, 2004.</w:t>
            </w:r>
          </w:p>
          <w:p>
            <w:pPr>
              <w:widowControl w:val="0"/>
              <w:pBdr>
                <w:top w:val="none" w:color="auto" w:sz="0" w:space="0"/>
                <w:left w:val="none" w:color="auto" w:sz="0" w:space="0"/>
                <w:bottom w:val="none" w:color="auto" w:sz="0" w:space="0"/>
                <w:right w:val="none" w:color="auto" w:sz="0" w:space="0"/>
                <w:between w:val="none" w:color="auto" w:sz="0" w:space="0"/>
              </w:pBdr>
              <w:spacing w:before="63" w:line="360" w:lineRule="auto"/>
              <w:ind w:left="0" w:right="61"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COLL, César; PALACIOS, Jesus; MARCHESI, Alvaro (Orgs.). </w:t>
            </w:r>
            <w:r>
              <w:rPr>
                <w:rFonts w:ascii="Times New Roman" w:hAnsi="Times New Roman" w:eastAsia="Times New Roman" w:cs="Times New Roman"/>
                <w:b/>
                <w:color w:val="000000"/>
              </w:rPr>
              <w:t>Desenvolvimento psicológico e educação. Transtorno de desenvolvimento e necessidades educativas especiais</w:t>
            </w:r>
            <w:r>
              <w:rPr>
                <w:rFonts w:ascii="Times New Roman" w:hAnsi="Times New Roman" w:eastAsia="Times New Roman" w:cs="Times New Roman"/>
                <w:color w:val="000000"/>
              </w:rPr>
              <w:t>. 2. ed. Porto Alegre: Artmed, 2004. 3 v.</w:t>
            </w:r>
          </w:p>
        </w:tc>
      </w:tr>
      <w:tr>
        <w:tblPrEx>
          <w:tblCellMar>
            <w:top w:w="0" w:type="dxa"/>
            <w:left w:w="22" w:type="dxa"/>
            <w:bottom w:w="0" w:type="dxa"/>
            <w:right w:w="22" w:type="dxa"/>
          </w:tblCellMar>
        </w:tblPrEx>
        <w:trPr>
          <w:trHeight w:val="2289" w:hRule="atLeast"/>
        </w:trPr>
        <w:tc>
          <w:tcPr>
            <w:tcW w:w="9305"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before="65"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65"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ANDALÓ, Carmem Silvia de Arruda. O papel do psicólogo escolar. </w:t>
            </w:r>
            <w:r>
              <w:rPr>
                <w:rFonts w:ascii="Times New Roman" w:hAnsi="Times New Roman" w:eastAsia="Times New Roman" w:cs="Times New Roman"/>
                <w:b/>
                <w:color w:val="000000"/>
              </w:rPr>
              <w:t>Psicologia: ciência e profissão</w:t>
            </w:r>
            <w:r>
              <w:rPr>
                <w:rFonts w:ascii="Times New Roman" w:hAnsi="Times New Roman" w:eastAsia="Times New Roman" w:cs="Times New Roman"/>
                <w:color w:val="000000"/>
              </w:rPr>
              <w:t>,</w:t>
            </w:r>
            <w:r>
              <w:rPr>
                <w:rFonts w:ascii="Times New Roman" w:hAnsi="Times New Roman" w:eastAsia="Times New Roman" w:cs="Times New Roman"/>
                <w:color w:val="000000"/>
              </w:rPr>
              <w:tab/>
            </w:r>
            <w:r>
              <w:rPr>
                <w:rFonts w:ascii="Times New Roman" w:hAnsi="Times New Roman" w:eastAsia="Times New Roman" w:cs="Times New Roman"/>
                <w:color w:val="000000"/>
              </w:rPr>
              <w:t>Brasília,</w:t>
            </w:r>
            <w:r>
              <w:rPr>
                <w:rFonts w:ascii="Times New Roman" w:hAnsi="Times New Roman" w:eastAsia="Times New Roman" w:cs="Times New Roman"/>
                <w:color w:val="000000"/>
              </w:rPr>
              <w:tab/>
            </w:r>
            <w:r>
              <w:rPr>
                <w:rFonts w:ascii="Times New Roman" w:hAnsi="Times New Roman" w:eastAsia="Times New Roman" w:cs="Times New Roman"/>
                <w:color w:val="000000"/>
              </w:rPr>
              <w:t>v.</w:t>
            </w:r>
            <w:r>
              <w:rPr>
                <w:rFonts w:ascii="Times New Roman" w:hAnsi="Times New Roman" w:eastAsia="Times New Roman" w:cs="Times New Roman"/>
                <w:color w:val="000000"/>
              </w:rPr>
              <w:tab/>
            </w:r>
            <w:r>
              <w:rPr>
                <w:rFonts w:ascii="Times New Roman" w:hAnsi="Times New Roman" w:eastAsia="Times New Roman" w:cs="Times New Roman"/>
                <w:color w:val="000000"/>
              </w:rPr>
              <w:t>4,</w:t>
            </w:r>
            <w:r>
              <w:rPr>
                <w:rFonts w:ascii="Times New Roman" w:hAnsi="Times New Roman" w:eastAsia="Times New Roman" w:cs="Times New Roman"/>
                <w:color w:val="000000"/>
              </w:rPr>
              <w:tab/>
            </w:r>
            <w:r>
              <w:rPr>
                <w:rFonts w:ascii="Times New Roman" w:hAnsi="Times New Roman" w:eastAsia="Times New Roman" w:cs="Times New Roman"/>
                <w:color w:val="000000"/>
              </w:rPr>
              <w:t>n.</w:t>
            </w:r>
            <w:r>
              <w:rPr>
                <w:rFonts w:ascii="Times New Roman" w:hAnsi="Times New Roman" w:eastAsia="Times New Roman" w:cs="Times New Roman"/>
                <w:color w:val="000000"/>
              </w:rPr>
              <w:tab/>
            </w:r>
            <w:r>
              <w:rPr>
                <w:rFonts w:ascii="Times New Roman" w:hAnsi="Times New Roman" w:eastAsia="Times New Roman" w:cs="Times New Roman"/>
                <w:color w:val="000000"/>
              </w:rPr>
              <w:t>1,</w:t>
            </w:r>
            <w:r>
              <w:rPr>
                <w:rFonts w:ascii="Times New Roman" w:hAnsi="Times New Roman" w:eastAsia="Times New Roman" w:cs="Times New Roman"/>
                <w:color w:val="000000"/>
              </w:rPr>
              <w:tab/>
            </w:r>
            <w:r>
              <w:rPr>
                <w:rFonts w:ascii="Times New Roman" w:hAnsi="Times New Roman" w:eastAsia="Times New Roman" w:cs="Times New Roman"/>
                <w:color w:val="000000"/>
              </w:rPr>
              <w:t>p.</w:t>
            </w:r>
            <w:r>
              <w:rPr>
                <w:rFonts w:ascii="Times New Roman" w:hAnsi="Times New Roman" w:eastAsia="Times New Roman" w:cs="Times New Roman"/>
                <w:color w:val="000000"/>
              </w:rPr>
              <w:tab/>
            </w:r>
            <w:r>
              <w:rPr>
                <w:rFonts w:ascii="Times New Roman" w:hAnsi="Times New Roman" w:eastAsia="Times New Roman" w:cs="Times New Roman"/>
                <w:color w:val="000000"/>
              </w:rPr>
              <w:t>43-46,</w:t>
            </w:r>
            <w:r>
              <w:rPr>
                <w:rFonts w:ascii="Times New Roman" w:hAnsi="Times New Roman" w:eastAsia="Times New Roman" w:cs="Times New Roman"/>
                <w:color w:val="000000"/>
              </w:rPr>
              <w:tab/>
            </w:r>
            <w:r>
              <w:rPr>
                <w:rFonts w:ascii="Times New Roman" w:hAnsi="Times New Roman" w:eastAsia="Times New Roman" w:cs="Times New Roman"/>
                <w:color w:val="000000"/>
              </w:rPr>
              <w:t>1984.</w:t>
            </w:r>
            <w:r>
              <w:rPr>
                <w:rFonts w:ascii="Times New Roman" w:hAnsi="Times New Roman" w:eastAsia="Times New Roman" w:cs="Times New Roman"/>
                <w:color w:val="000000"/>
              </w:rPr>
              <w:tab/>
            </w:r>
            <w:r>
              <w:rPr>
                <w:rFonts w:ascii="Times New Roman" w:hAnsi="Times New Roman" w:eastAsia="Times New Roman" w:cs="Times New Roman"/>
                <w:color w:val="000000"/>
              </w:rPr>
              <w:t>Disponível em:&lt;</w:t>
            </w:r>
            <w:r>
              <w:fldChar w:fldCharType="begin"/>
            </w:r>
            <w:r>
              <w:instrText xml:space="preserve"> HYPERLINK "http://www.scielo.br/pdf/pcp/v4n1/09.pdf" \h </w:instrText>
            </w:r>
            <w:r>
              <w:fldChar w:fldCharType="separate"/>
            </w:r>
            <w:r>
              <w:rPr>
                <w:rFonts w:ascii="Times New Roman" w:hAnsi="Times New Roman" w:eastAsia="Times New Roman" w:cs="Times New Roman"/>
                <w:color w:val="0000FF"/>
                <w:u w:val="single"/>
              </w:rPr>
              <w:t>http://www.scielo.br/pdf/pcp/v4n1/09.pdf</w:t>
            </w:r>
            <w:r>
              <w:rPr>
                <w:rFonts w:ascii="Times New Roman" w:hAnsi="Times New Roman" w:eastAsia="Times New Roman" w:cs="Times New Roman"/>
                <w:color w:val="0000FF"/>
                <w:u w:val="single"/>
              </w:rPr>
              <w:fldChar w:fldCharType="end"/>
            </w:r>
            <w:r>
              <w:rPr>
                <w:rFonts w:ascii="Times New Roman" w:hAnsi="Times New Roman" w:eastAsia="Times New Roman" w:cs="Times New Roman"/>
                <w:color w:val="000000"/>
              </w:rPr>
              <w:t>&gt;. Acesso em: 09 jan. 2018.</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GOULART, Iris B. </w:t>
            </w:r>
            <w:r>
              <w:rPr>
                <w:rFonts w:ascii="Times New Roman" w:hAnsi="Times New Roman" w:eastAsia="Times New Roman" w:cs="Times New Roman"/>
                <w:b/>
              </w:rPr>
              <w:t>Psicologia da educação</w:t>
            </w:r>
            <w:r>
              <w:rPr>
                <w:rFonts w:ascii="Times New Roman" w:hAnsi="Times New Roman" w:eastAsia="Times New Roman" w:cs="Times New Roman"/>
              </w:rPr>
              <w:t>: fundamentos teóricos e aplicações à prática pedagógica. Petrópolis, RJ: Vozes, 2001.</w:t>
            </w:r>
          </w:p>
          <w:p>
            <w:pPr>
              <w:spacing w:before="137" w:line="360" w:lineRule="auto"/>
              <w:ind w:left="0" w:right="78" w:hanging="2"/>
              <w:jc w:val="both"/>
              <w:rPr>
                <w:rFonts w:ascii="Times New Roman" w:hAnsi="Times New Roman" w:cs="Times New Roman"/>
              </w:rPr>
            </w:pPr>
            <w:r>
              <w:rPr>
                <w:rFonts w:ascii="Times New Roman" w:hAnsi="Times New Roman" w:eastAsia="Times New Roman" w:cs="Times New Roman"/>
              </w:rPr>
              <w:t xml:space="preserve">MACIEL, Maria Regina. Sobre a relação entre educação e psicanálise no contexto das novas formas de subjetivação. </w:t>
            </w:r>
            <w:r>
              <w:rPr>
                <w:rFonts w:ascii="Times New Roman" w:hAnsi="Times New Roman" w:eastAsia="Times New Roman" w:cs="Times New Roman"/>
                <w:b/>
              </w:rPr>
              <w:t>Interface - Comunicação, Saúde, Educação</w:t>
            </w:r>
            <w:r>
              <w:rPr>
                <w:rFonts w:ascii="Times New Roman" w:hAnsi="Times New Roman" w:eastAsia="Times New Roman" w:cs="Times New Roman"/>
              </w:rPr>
              <w:t>, Botucatu, SP,  v. 9,      n.      17,  p.333-342, mar.-ago.      2005.      Disponível    em: &lt;</w:t>
            </w:r>
            <w:r>
              <w:fldChar w:fldCharType="begin"/>
            </w:r>
            <w:r>
              <w:instrText xml:space="preserve"> HYPERLINK "http://www.scielo.br/pdf/icse/" \h </w:instrText>
            </w:r>
            <w:r>
              <w:fldChar w:fldCharType="separate"/>
            </w:r>
            <w:r>
              <w:rPr>
                <w:rFonts w:ascii="Times New Roman" w:hAnsi="Times New Roman" w:eastAsia="Times New Roman" w:cs="Times New Roman"/>
                <w:color w:val="0000FF"/>
                <w:u w:val="single"/>
              </w:rPr>
              <w:t xml:space="preserve">http://www.scielo.br/pdf/icse/ </w:t>
            </w:r>
            <w:r>
              <w:rPr>
                <w:rFonts w:ascii="Times New Roman" w:hAnsi="Times New Roman" w:eastAsia="Times New Roman" w:cs="Times New Roman"/>
                <w:color w:val="0000FF"/>
                <w:u w:val="single"/>
              </w:rPr>
              <w:fldChar w:fldCharType="end"/>
            </w:r>
            <w:r>
              <w:rPr>
                <w:rFonts w:ascii="Times New Roman" w:hAnsi="Times New Roman" w:eastAsia="Times New Roman" w:cs="Times New Roman"/>
              </w:rPr>
              <w:t xml:space="preserve">v9n17/v9n17a09.pdf&gt;. Acesso em: 09 jan. 2018. </w:t>
            </w:r>
          </w:p>
          <w:p>
            <w:pPr>
              <w:spacing w:before="137" w:line="360" w:lineRule="auto"/>
              <w:ind w:left="0" w:right="78" w:hanging="2"/>
              <w:jc w:val="both"/>
              <w:rPr>
                <w:rFonts w:ascii="Times New Roman" w:hAnsi="Times New Roman" w:cs="Times New Roman"/>
              </w:rPr>
            </w:pPr>
            <w:r>
              <w:rPr>
                <w:rFonts w:ascii="Times New Roman" w:hAnsi="Times New Roman" w:eastAsia="Times New Roman" w:cs="Times New Roman"/>
              </w:rPr>
              <w:t xml:space="preserve">SOUZA, Marilene Proença Rebello de. Psicologia escolar e educacional em busca de novas perspectivas. </w:t>
            </w:r>
            <w:r>
              <w:rPr>
                <w:rFonts w:ascii="Times New Roman" w:hAnsi="Times New Roman" w:eastAsia="Times New Roman" w:cs="Times New Roman"/>
                <w:b/>
              </w:rPr>
              <w:t>Psicologia Escolar e Educacional</w:t>
            </w:r>
            <w:r>
              <w:rPr>
                <w:rFonts w:ascii="Times New Roman" w:hAnsi="Times New Roman" w:eastAsia="Times New Roman" w:cs="Times New Roman"/>
              </w:rPr>
              <w:t>, Campinas, SP, v. 13, n. 1, p. 179-182, 2009. Disponível em:&lt;https://abrapee.files.wordpress.com/2012/02/13-1.pdf&gt;. Acesso em: 09 jan. 2018.</w:t>
            </w:r>
          </w:p>
          <w:p>
            <w:pPr>
              <w:spacing w:before="137" w:line="360" w:lineRule="auto"/>
              <w:ind w:left="0" w:right="83" w:hanging="2"/>
              <w:jc w:val="both"/>
              <w:rPr>
                <w:rFonts w:ascii="Times New Roman" w:hAnsi="Times New Roman" w:cs="Times New Roman"/>
              </w:rPr>
            </w:pPr>
            <w:r>
              <w:rPr>
                <w:rFonts w:ascii="Times New Roman" w:hAnsi="Times New Roman" w:eastAsia="Times New Roman" w:cs="Times New Roman"/>
              </w:rPr>
              <w:t xml:space="preserve">BRASIL. Ministério da Educação. </w:t>
            </w:r>
            <w:r>
              <w:rPr>
                <w:rFonts w:ascii="Times New Roman" w:hAnsi="Times New Roman" w:eastAsia="Times New Roman" w:cs="Times New Roman"/>
                <w:b/>
              </w:rPr>
              <w:t>Gênero e diversidade na escola. Formação de professores/as em gênero, sexualidade, orientação sexual e relações étnico-raciais. Livro de conteúdo. Versão 2009</w:t>
            </w:r>
            <w:r>
              <w:rPr>
                <w:rFonts w:ascii="Times New Roman" w:hAnsi="Times New Roman" w:eastAsia="Times New Roman" w:cs="Times New Roman"/>
              </w:rPr>
              <w:t>. Rio de Janeiro: Cepesc; Brasília: SPM, 2009.</w:t>
            </w:r>
          </w:p>
        </w:tc>
      </w:tr>
    </w:tbl>
    <w:p>
      <w:pPr>
        <w:ind w:left="0" w:hanging="2"/>
        <w:rPr>
          <w:rFonts w:ascii="Times New Roman" w:hAnsi="Times New Roman" w:eastAsia="Times New Roman" w:cs="Times New Roman"/>
        </w:rPr>
      </w:pPr>
    </w:p>
    <w:p>
      <w:pPr>
        <w:spacing w:before="90"/>
        <w:ind w:left="0" w:hanging="2"/>
        <w:rPr>
          <w:rFonts w:ascii="Times New Roman" w:hAnsi="Times New Roman" w:eastAsia="Times New Roman" w:cs="Times New Roman"/>
        </w:rPr>
      </w:pPr>
    </w:p>
    <w:p>
      <w:pPr>
        <w:spacing w:before="90"/>
        <w:ind w:left="0" w:hanging="2"/>
        <w:rPr>
          <w:rFonts w:ascii="Times New Roman" w:hAnsi="Times New Roman" w:eastAsia="Times New Roman" w:cs="Times New Roman"/>
        </w:rPr>
      </w:pPr>
    </w:p>
    <w:p>
      <w:pPr>
        <w:spacing w:before="90"/>
        <w:ind w:left="0" w:hanging="2"/>
        <w:rPr>
          <w:rFonts w:ascii="Times New Roman" w:hAnsi="Times New Roman" w:eastAsia="Times New Roman" w:cs="Times New Roman"/>
        </w:rPr>
      </w:pPr>
    </w:p>
    <w:p>
      <w:pPr>
        <w:spacing w:before="90"/>
        <w:ind w:left="0" w:hanging="2"/>
        <w:rPr>
          <w:rFonts w:ascii="Times New Roman" w:hAnsi="Times New Roman" w:eastAsia="Times New Roman" w:cs="Times New Roman"/>
        </w:rPr>
      </w:pPr>
    </w:p>
    <w:p>
      <w:pPr>
        <w:spacing w:before="90"/>
        <w:ind w:left="0" w:hanging="2"/>
        <w:rPr>
          <w:rFonts w:ascii="Times New Roman" w:hAnsi="Times New Roman" w:eastAsia="Times New Roman" w:cs="Times New Roman"/>
        </w:rPr>
      </w:pPr>
    </w:p>
    <w:p>
      <w:pPr>
        <w:spacing w:before="90"/>
        <w:ind w:left="0" w:hanging="2"/>
        <w:rPr>
          <w:rFonts w:ascii="Times New Roman" w:hAnsi="Times New Roman" w:eastAsia="Times New Roman" w:cs="Times New Roman"/>
        </w:rPr>
      </w:pPr>
    </w:p>
    <w:p>
      <w:pPr>
        <w:spacing w:before="90"/>
        <w:ind w:left="0" w:hanging="2"/>
        <w:rPr>
          <w:rFonts w:ascii="Times New Roman" w:hAnsi="Times New Roman" w:eastAsia="Times New Roman" w:cs="Times New Roman"/>
        </w:rPr>
      </w:pPr>
    </w:p>
    <w:p>
      <w:pPr>
        <w:spacing w:before="90"/>
        <w:ind w:left="0" w:hanging="2"/>
        <w:rPr>
          <w:rFonts w:ascii="Times New Roman" w:hAnsi="Times New Roman" w:eastAsia="Times New Roman" w:cs="Times New Roman"/>
        </w:rPr>
      </w:pPr>
    </w:p>
    <w:p>
      <w:pPr>
        <w:spacing w:before="90"/>
        <w:ind w:left="0" w:hanging="2"/>
        <w:rPr>
          <w:rFonts w:ascii="Times New Roman" w:hAnsi="Times New Roman" w:cs="Times New Roman"/>
        </w:rPr>
      </w:pPr>
      <w:r>
        <w:rPr>
          <w:rFonts w:ascii="Times New Roman" w:hAnsi="Times New Roman" w:eastAsia="Times New Roman" w:cs="Times New Roman"/>
          <w:b/>
        </w:rPr>
        <w:t>6° Período</w:t>
      </w:r>
    </w:p>
    <w:p>
      <w:pPr>
        <w:spacing w:before="90"/>
        <w:ind w:left="0" w:hanging="2"/>
        <w:rPr>
          <w:rFonts w:ascii="Times New Roman" w:hAnsi="Times New Roman" w:eastAsia="Times New Roman" w:cs="Times New Roman"/>
        </w:rPr>
      </w:pPr>
    </w:p>
    <w:tbl>
      <w:tblPr>
        <w:tblStyle w:val="505"/>
        <w:tblW w:w="9959" w:type="dxa"/>
        <w:tblInd w:w="-304" w:type="dxa"/>
        <w:tblLayout w:type="fixed"/>
        <w:tblCellMar>
          <w:top w:w="0" w:type="dxa"/>
          <w:left w:w="22" w:type="dxa"/>
          <w:bottom w:w="0" w:type="dxa"/>
          <w:right w:w="5" w:type="dxa"/>
        </w:tblCellMar>
      </w:tblPr>
      <w:tblGrid>
        <w:gridCol w:w="3615"/>
        <w:gridCol w:w="3396"/>
        <w:gridCol w:w="9"/>
        <w:gridCol w:w="2939"/>
      </w:tblGrid>
      <w:tr>
        <w:tblPrEx>
          <w:tblCellMar>
            <w:top w:w="0" w:type="dxa"/>
            <w:left w:w="22" w:type="dxa"/>
            <w:bottom w:w="0" w:type="dxa"/>
            <w:right w:w="5" w:type="dxa"/>
          </w:tblCellMar>
        </w:tblPrEx>
        <w:trPr>
          <w:trHeight w:val="1655" w:hRule="atLeast"/>
        </w:trPr>
        <w:tc>
          <w:tcPr>
            <w:tcW w:w="7011"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Estágio Supervisionado de História III</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Supervised</w:t>
            </w:r>
          </w:p>
          <w:p>
            <w:pPr>
              <w:widowControl w:val="0"/>
              <w:pBdr>
                <w:top w:val="none" w:color="auto" w:sz="0" w:space="0"/>
                <w:left w:val="none" w:color="auto" w:sz="0" w:space="0"/>
                <w:bottom w:val="none" w:color="auto" w:sz="0" w:space="0"/>
                <w:right w:val="none" w:color="auto" w:sz="0" w:space="0"/>
                <w:between w:val="none" w:color="auto" w:sz="0" w:space="0"/>
              </w:pBdr>
              <w:spacing w:before="13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Internship in History III</w:t>
            </w:r>
          </w:p>
        </w:tc>
        <w:tc>
          <w:tcPr>
            <w:tcW w:w="2948" w:type="dxa"/>
            <w:gridSpan w:val="2"/>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HIS 598</w:t>
            </w:r>
          </w:p>
        </w:tc>
      </w:tr>
      <w:tr>
        <w:tblPrEx>
          <w:tblCellMar>
            <w:top w:w="0" w:type="dxa"/>
            <w:left w:w="22" w:type="dxa"/>
            <w:bottom w:w="0" w:type="dxa"/>
            <w:right w:w="5" w:type="dxa"/>
          </w:tblCellMar>
        </w:tblPrEx>
        <w:trPr>
          <w:trHeight w:val="830" w:hRule="atLeast"/>
        </w:trPr>
        <w:tc>
          <w:tcPr>
            <w:tcW w:w="7011"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 História -</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DEHIS</w:t>
            </w:r>
          </w:p>
        </w:tc>
        <w:tc>
          <w:tcPr>
            <w:tcW w:w="2948" w:type="dxa"/>
            <w:gridSpan w:val="2"/>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5" w:type="dxa"/>
          </w:tblCellMar>
        </w:tblPrEx>
        <w:trPr>
          <w:trHeight w:val="825" w:hRule="atLeast"/>
        </w:trPr>
        <w:tc>
          <w:tcPr>
            <w:tcW w:w="3615"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93"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right="88"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105 horas</w:t>
            </w:r>
          </w:p>
        </w:tc>
        <w:tc>
          <w:tcPr>
            <w:tcW w:w="3405" w:type="dxa"/>
            <w:gridSpan w:val="2"/>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77"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right="77"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02 horas/aula</w:t>
            </w:r>
          </w:p>
        </w:tc>
        <w:tc>
          <w:tcPr>
            <w:tcW w:w="2939"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57"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right="5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05 horas/aula</w:t>
            </w:r>
          </w:p>
        </w:tc>
      </w:tr>
      <w:tr>
        <w:tblPrEx>
          <w:tblCellMar>
            <w:top w:w="0" w:type="dxa"/>
            <w:left w:w="22" w:type="dxa"/>
            <w:bottom w:w="0" w:type="dxa"/>
            <w:right w:w="5" w:type="dxa"/>
          </w:tblCellMar>
        </w:tblPrEx>
        <w:trPr>
          <w:trHeight w:val="1656" w:hRule="atLeast"/>
        </w:trPr>
        <w:tc>
          <w:tcPr>
            <w:tcW w:w="9959" w:type="dxa"/>
            <w:gridSpan w:val="4"/>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32" w:hanging="2"/>
              <w:rPr>
                <w:rFonts w:ascii="Times New Roman" w:hAnsi="Times New Roman" w:eastAsia="Times New Roman" w:cs="Times New Roman"/>
                <w:color w:val="000000"/>
              </w:rPr>
            </w:pPr>
            <w:r>
              <w:rPr>
                <w:rFonts w:ascii="Times New Roman" w:hAnsi="Times New Roman" w:eastAsia="Times New Roman" w:cs="Times New Roman"/>
                <w:color w:val="000000"/>
              </w:rPr>
              <w:t>Ementa: Observação participante do processo de ensino-aprendizagem de história, com desenvolvimento de atividades de tutoria para os alunos do ensino básico e formação continuada para alunos e professores. A história ensinada em diálogo com distintas</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instituições de formação da educação básica (escolas, museus, arquivos etc.).</w:t>
            </w:r>
          </w:p>
        </w:tc>
      </w:tr>
      <w:tr>
        <w:tblPrEx>
          <w:tblCellMar>
            <w:top w:w="0" w:type="dxa"/>
            <w:left w:w="22" w:type="dxa"/>
            <w:bottom w:w="0" w:type="dxa"/>
            <w:right w:w="5" w:type="dxa"/>
          </w:tblCellMar>
        </w:tblPrEx>
        <w:trPr>
          <w:trHeight w:val="1656" w:hRule="atLeast"/>
        </w:trPr>
        <w:tc>
          <w:tcPr>
            <w:tcW w:w="9959" w:type="dxa"/>
            <w:gridSpan w:val="4"/>
            <w:tcBorders>
              <w:top w:val="single" w:color="000000" w:sz="4" w:space="0"/>
              <w:left w:val="single" w:color="000000" w:sz="18"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before="90" w:after="14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pBdr>
                <w:top w:val="none" w:color="auto" w:sz="0" w:space="0"/>
                <w:left w:val="none" w:color="auto" w:sz="0" w:space="0"/>
                <w:bottom w:val="none" w:color="auto" w:sz="0" w:space="0"/>
                <w:right w:val="none" w:color="auto" w:sz="0" w:space="0"/>
                <w:between w:val="none" w:color="auto" w:sz="0" w:space="0"/>
              </w:pBdr>
              <w:spacing w:before="137" w:after="14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1º Encontro:</w:t>
            </w:r>
          </w:p>
          <w:p>
            <w:pPr>
              <w:pBdr>
                <w:top w:val="none" w:color="auto" w:sz="0" w:space="0"/>
                <w:left w:val="none" w:color="auto" w:sz="0" w:space="0"/>
                <w:bottom w:val="none" w:color="auto" w:sz="0" w:space="0"/>
                <w:right w:val="none" w:color="auto" w:sz="0" w:space="0"/>
                <w:between w:val="none" w:color="auto" w:sz="0" w:space="0"/>
              </w:pBdr>
              <w:spacing w:before="137" w:after="140" w:line="360" w:lineRule="auto"/>
              <w:ind w:left="0" w:right="1199" w:hanging="2"/>
              <w:rPr>
                <w:rFonts w:ascii="Times New Roman" w:hAnsi="Times New Roman" w:eastAsia="Times New Roman" w:cs="Times New Roman"/>
                <w:color w:val="000000"/>
              </w:rPr>
            </w:pPr>
            <w:r>
              <w:rPr>
                <w:rFonts w:ascii="Times New Roman" w:hAnsi="Times New Roman" w:eastAsia="Times New Roman" w:cs="Times New Roman"/>
                <w:color w:val="000000"/>
              </w:rPr>
              <w:t>Apresentação do programa da disciplina e proposta de estágio supervisionado nas escolas. A bibliografia do curso será baseada no dossiê Revista História Hoje, v. 3, n. 6, 2014. Disponível em</w:t>
            </w:r>
          </w:p>
          <w:p>
            <w:pPr>
              <w:pBdr>
                <w:top w:val="none" w:color="auto" w:sz="0" w:space="0"/>
                <w:left w:val="none" w:color="auto" w:sz="0" w:space="0"/>
                <w:bottom w:val="none" w:color="auto" w:sz="0" w:space="0"/>
                <w:right w:val="none" w:color="auto" w:sz="0" w:space="0"/>
                <w:between w:val="none" w:color="auto" w:sz="0" w:space="0"/>
              </w:pBdr>
              <w:spacing w:before="2" w:after="140" w:line="360" w:lineRule="auto"/>
              <w:ind w:left="0" w:right="1199" w:hanging="2"/>
              <w:rPr>
                <w:rFonts w:ascii="Times New Roman" w:hAnsi="Times New Roman" w:eastAsia="Times New Roman" w:cs="Times New Roman"/>
                <w:color w:val="000000"/>
              </w:rPr>
            </w:pPr>
            <w:r>
              <w:rPr>
                <w:rFonts w:ascii="Times New Roman" w:hAnsi="Times New Roman" w:eastAsia="Times New Roman" w:cs="Times New Roman"/>
                <w:color w:val="000000"/>
              </w:rPr>
              <w:t>&lt;http://rhhj.anpuh.org/ojs/index.php/RHHJ/issue/view/RHHJ%2C%20v.%203%2C%20 n.%206&gt;. Acesso 23 fev. 2015.</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2º Encontro:</w:t>
            </w:r>
          </w:p>
          <w:p>
            <w:pPr>
              <w:pBdr>
                <w:top w:val="none" w:color="auto" w:sz="0" w:space="0"/>
                <w:left w:val="none" w:color="auto" w:sz="0" w:space="0"/>
                <w:bottom w:val="none" w:color="auto" w:sz="0" w:space="0"/>
                <w:right w:val="none" w:color="auto" w:sz="0" w:space="0"/>
                <w:between w:val="none" w:color="auto" w:sz="0" w:space="0"/>
              </w:pBdr>
              <w:spacing w:before="141" w:after="14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PEREIRA, Júnia Sales e MIRANDA, Sônia Regina. Por que seguir pensando, hoje em dia, nas conexões entre práticas de memória, patrimônio e Ensino de História? (p. 11 - 18)</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3º Encontro:</w:t>
            </w:r>
          </w:p>
          <w:p>
            <w:pPr>
              <w:pBdr>
                <w:top w:val="none" w:color="auto" w:sz="0" w:space="0"/>
                <w:left w:val="none" w:color="auto" w:sz="0" w:space="0"/>
                <w:bottom w:val="none" w:color="auto" w:sz="0" w:space="0"/>
                <w:right w:val="none" w:color="auto" w:sz="0" w:space="0"/>
                <w:between w:val="none" w:color="auto" w:sz="0" w:space="0"/>
              </w:pBdr>
              <w:spacing w:before="141" w:after="14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LUCINI, Marizete. A memória como patrimônio ou a História como prática social? Reflexões sobre práticas de memória e ensino de história na Pedagogia do Movimento Sem Terra (p. 19- 41).</w:t>
            </w:r>
          </w:p>
          <w:p>
            <w:pPr>
              <w:pBdr>
                <w:top w:val="none" w:color="auto" w:sz="0" w:space="0"/>
                <w:left w:val="none" w:color="auto" w:sz="0" w:space="0"/>
                <w:bottom w:val="none" w:color="auto" w:sz="0" w:space="0"/>
                <w:right w:val="none" w:color="auto" w:sz="0" w:space="0"/>
                <w:between w:val="none" w:color="auto" w:sz="0" w:space="0"/>
              </w:pBdr>
              <w:spacing w:before="142" w:after="14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4oº Encontro:</w:t>
            </w:r>
          </w:p>
          <w:p>
            <w:pPr>
              <w:pBdr>
                <w:top w:val="none" w:color="auto" w:sz="0" w:space="0"/>
                <w:left w:val="none" w:color="auto" w:sz="0" w:space="0"/>
                <w:bottom w:val="none" w:color="auto" w:sz="0" w:space="0"/>
                <w:right w:val="none" w:color="auto" w:sz="0" w:space="0"/>
                <w:between w:val="none" w:color="auto" w:sz="0" w:space="0"/>
              </w:pBdr>
              <w:spacing w:before="137" w:after="14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ORIÁ, Ricardo. Construindo o Panteão dos Heróis Nacionais: monumentos à República, rituais cívicos e o ensino de História (p. 43 - 66).</w:t>
            </w:r>
          </w:p>
          <w:p>
            <w:pPr>
              <w:pBdr>
                <w:top w:val="none" w:color="auto" w:sz="0" w:space="0"/>
                <w:left w:val="none" w:color="auto" w:sz="0" w:space="0"/>
                <w:bottom w:val="none" w:color="auto" w:sz="0" w:space="0"/>
                <w:right w:val="none" w:color="auto" w:sz="0" w:space="0"/>
                <w:between w:val="none" w:color="auto" w:sz="0" w:space="0"/>
              </w:pBdr>
              <w:spacing w:before="3" w:after="14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5º Encontro:</w:t>
            </w:r>
          </w:p>
          <w:p>
            <w:pPr>
              <w:pBdr>
                <w:top w:val="none" w:color="auto" w:sz="0" w:space="0"/>
                <w:left w:val="none" w:color="auto" w:sz="0" w:space="0"/>
                <w:bottom w:val="none" w:color="auto" w:sz="0" w:space="0"/>
                <w:right w:val="none" w:color="auto" w:sz="0" w:space="0"/>
                <w:between w:val="none" w:color="auto" w:sz="0" w:space="0"/>
              </w:pBdr>
              <w:spacing w:before="137" w:after="14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BECHLER, Ribeiro; PEREIRA, Júnia Sales. Ouro Preto de todos os tempos: sentidos e efeitos do patrimônio na condição histórica da cidade (p. 67 - 90).</w:t>
            </w:r>
          </w:p>
          <w:p>
            <w:pPr>
              <w:pBdr>
                <w:top w:val="none" w:color="auto" w:sz="0" w:space="0"/>
                <w:left w:val="none" w:color="auto" w:sz="0" w:space="0"/>
                <w:bottom w:val="none" w:color="auto" w:sz="0" w:space="0"/>
                <w:right w:val="none" w:color="auto" w:sz="0" w:space="0"/>
                <w:between w:val="none" w:color="auto" w:sz="0" w:space="0"/>
              </w:pBdr>
              <w:spacing w:before="2" w:after="14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6º Encontro:</w:t>
            </w:r>
          </w:p>
          <w:p>
            <w:pPr>
              <w:pBdr>
                <w:top w:val="none" w:color="auto" w:sz="0" w:space="0"/>
                <w:left w:val="none" w:color="auto" w:sz="0" w:space="0"/>
                <w:bottom w:val="none" w:color="auto" w:sz="0" w:space="0"/>
                <w:right w:val="none" w:color="auto" w:sz="0" w:space="0"/>
                <w:between w:val="none" w:color="auto" w:sz="0" w:space="0"/>
              </w:pBdr>
              <w:spacing w:before="138" w:after="14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ERVEN, Maria Fernanda Van; MIRANDA, Sonia Regina. Crianças nos templos das Musas: mediadores culturais, processos de significação e aprendizagens em museus (p. 91 - 119).</w:t>
            </w:r>
          </w:p>
          <w:p>
            <w:pPr>
              <w:pBdr>
                <w:top w:val="none" w:color="auto" w:sz="0" w:space="0"/>
                <w:left w:val="none" w:color="auto" w:sz="0" w:space="0"/>
                <w:bottom w:val="none" w:color="auto" w:sz="0" w:space="0"/>
                <w:right w:val="none" w:color="auto" w:sz="0" w:space="0"/>
                <w:between w:val="none" w:color="auto" w:sz="0" w:space="0"/>
              </w:pBdr>
              <w:spacing w:before="3" w:after="14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7º Encontro: prova (2,5 pontos)</w:t>
            </w:r>
          </w:p>
          <w:p>
            <w:pPr>
              <w:pBdr>
                <w:top w:val="none" w:color="auto" w:sz="0" w:space="0"/>
                <w:left w:val="none" w:color="auto" w:sz="0" w:space="0"/>
                <w:bottom w:val="none" w:color="auto" w:sz="0" w:space="0"/>
                <w:right w:val="none" w:color="auto" w:sz="0" w:space="0"/>
                <w:between w:val="none" w:color="auto" w:sz="0" w:space="0"/>
              </w:pBdr>
              <w:spacing w:before="137" w:after="140" w:line="360" w:lineRule="auto"/>
              <w:ind w:left="0" w:right="1382" w:hanging="2"/>
              <w:rPr>
                <w:rFonts w:ascii="Times New Roman" w:hAnsi="Times New Roman" w:eastAsia="Times New Roman" w:cs="Times New Roman"/>
                <w:color w:val="000000"/>
              </w:rPr>
            </w:pPr>
            <w:r>
              <w:rPr>
                <w:rFonts w:ascii="Times New Roman" w:hAnsi="Times New Roman" w:eastAsia="Times New Roman" w:cs="Times New Roman"/>
                <w:color w:val="000000"/>
              </w:rPr>
              <w:t>8º Encontro: Apresentação de propostas de oficinas educativas em museus, por grupos de licenciandos (1,5 pontos).</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9º Encontro: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OLIVEIRA, Sandra Regina Ferreira de. Da sala de aula para a rua ou da rua para a sala de aula? Os movimentos inesperados da vida na cidade e a relação com o saber escolar (p. 121 - 137) 10º Encontro:</w:t>
            </w:r>
          </w:p>
          <w:p>
            <w:pPr>
              <w:widowControl w:val="0"/>
              <w:pBdr>
                <w:top w:val="none" w:color="auto" w:sz="0" w:space="0"/>
                <w:left w:val="none" w:color="auto" w:sz="0" w:space="0"/>
                <w:bottom w:val="none" w:color="auto" w:sz="0" w:space="0"/>
                <w:right w:val="none" w:color="auto" w:sz="0" w:space="0"/>
                <w:between w:val="none" w:color="auto" w:sz="0" w:space="0"/>
              </w:pBdr>
              <w:spacing w:before="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RIOS, Kênia Sousa. O amor no museu: uma experiência de ensino de História com objetos do amor romântico (p. 139 -153)</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SILVA, Cláudia Rose Ribeiro da; Peregrino, Miriane da Costa. Experiências de ações educativo--comunitárias no Museu da Maré (p. 155 – 180) 11º Encontro: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SEABRA, Elizabeth Aparecida Duque, MELO, Maria do Céu Imaginar os romanos e a romanização: exposição de trabalhos de alunos no museu (p. 181 - 194).</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12º Encontro:</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right="356" w:hanging="2"/>
              <w:rPr>
                <w:rFonts w:ascii="Times New Roman" w:hAnsi="Times New Roman" w:eastAsia="Times New Roman" w:cs="Times New Roman"/>
                <w:color w:val="000000"/>
              </w:rPr>
            </w:pPr>
            <w:r>
              <w:rPr>
                <w:rFonts w:ascii="Times New Roman" w:hAnsi="Times New Roman" w:eastAsia="Times New Roman" w:cs="Times New Roman"/>
                <w:color w:val="000000"/>
              </w:rPr>
              <w:t>FERNANDES, Eunícia. Lembranças da escola: sentidos históricos e questão indígena (p. 195 - 221).</w:t>
            </w:r>
          </w:p>
          <w:p>
            <w:pPr>
              <w:widowControl w:val="0"/>
              <w:pBdr>
                <w:top w:val="none" w:color="auto" w:sz="0" w:space="0"/>
                <w:left w:val="none" w:color="auto" w:sz="0" w:space="0"/>
                <w:bottom w:val="none" w:color="auto" w:sz="0" w:space="0"/>
                <w:right w:val="none" w:color="auto" w:sz="0" w:space="0"/>
                <w:between w:val="none" w:color="auto" w:sz="0" w:space="0"/>
              </w:pBdr>
              <w:spacing w:before="2"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ROZA, Luciano Magela. Heterogeneidade temática e usos da memória de uma experiência histórica: uma visita ao Museu Digital da Memória Afro-Brasileira e Africana (p. 223 - 238).</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13º Encontro: Prova (2,5 pontos).</w:t>
            </w: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14º e 15º Encontros: Participação no colóquio de ensino de História, com apresentação oral e escrita de relatório de estágio (3,5 pontos).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32" w:hanging="2"/>
              <w:rPr>
                <w:rFonts w:ascii="Times New Roman" w:hAnsi="Times New Roman" w:eastAsia="Times New Roman" w:cs="Times New Roman"/>
                <w:color w:val="000000"/>
              </w:rPr>
            </w:pPr>
          </w:p>
        </w:tc>
      </w:tr>
      <w:tr>
        <w:tblPrEx>
          <w:tblCellMar>
            <w:top w:w="0" w:type="dxa"/>
            <w:left w:w="22" w:type="dxa"/>
            <w:bottom w:w="0" w:type="dxa"/>
            <w:right w:w="5" w:type="dxa"/>
          </w:tblCellMar>
        </w:tblPrEx>
        <w:trPr>
          <w:trHeight w:val="1656" w:hRule="atLeast"/>
        </w:trPr>
        <w:tc>
          <w:tcPr>
            <w:tcW w:w="9959" w:type="dxa"/>
            <w:gridSpan w:val="4"/>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right="7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BARBOSA, Andresa Cristina Oliver e SILVA, Haike Roselane Kleber da. Difusão em Arquivos. Definição, políticas e implementação de projetos no Arquivo Público do Estado de São Paulo. Acervo, Rio de Janeiro, v. 25, n. 1, p. 45-66, jan./jun. 2012.</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7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CARDOSO, Claudira do Socorro Cirino. Estudantes brincam e aprendem como é o cotidiano do Arquivo Público do Rio Grande do Sul. Revista de História, Rio de Janeiro, dez. 2010. Disponível em: </w:t>
            </w:r>
            <w:r>
              <w:fldChar w:fldCharType="begin"/>
            </w:r>
            <w:r>
              <w:instrText xml:space="preserve"> HYPERLINK "http://www.revistadehistoria.com.br/secao/educacao/caca-tesouros-em-arquivo" \h </w:instrText>
            </w:r>
            <w:r>
              <w:fldChar w:fldCharType="separate"/>
            </w:r>
            <w:r>
              <w:rPr>
                <w:rFonts w:ascii="Times New Roman" w:hAnsi="Times New Roman" w:eastAsia="Times New Roman" w:cs="Times New Roman"/>
                <w:color w:val="0000FF"/>
                <w:u w:val="single"/>
              </w:rPr>
              <w:t>http://www.revistadehistoria.com.br/secao/educacao/caca-tesouros-em-arquivo.</w:t>
            </w:r>
            <w:r>
              <w:rPr>
                <w:rFonts w:ascii="Times New Roman" w:hAnsi="Times New Roman" w:eastAsia="Times New Roman" w:cs="Times New Roman"/>
                <w:color w:val="0000FF"/>
                <w:u w:val="single"/>
              </w:rPr>
              <w:fldChar w:fldCharType="end"/>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CUNHA, Nara Rúbia de Carvalho. Chão de pedras, céu de estrelas: o Museu-Escola do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07"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Museu da Inconfidência, Ouro Preto, década de 1980. Dissertação (Mestrado em Educação). Campinas: Faculdade de Educação da UNICAMP, 2011. p. 61-98. GALZERANI, Maria Carolina Bovério. Memória, História e Tempo: perspectivas teórico-metodológicas para a pesquisa em Ensino de História. Cadernos do Ceom, n. 28, 2008.</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GERMINARI, Geyso Dongley. Arquivar a vida: uma possibilidade para o ensino de</w:t>
            </w:r>
          </w:p>
          <w:p>
            <w:pPr>
              <w:pBdr>
                <w:top w:val="none" w:color="auto" w:sz="0" w:space="0"/>
                <w:left w:val="none" w:color="auto" w:sz="0" w:space="0"/>
                <w:bottom w:val="none" w:color="auto" w:sz="0" w:space="0"/>
                <w:right w:val="none" w:color="auto" w:sz="0" w:space="0"/>
                <w:between w:val="none" w:color="auto" w:sz="0" w:space="0"/>
              </w:pBdr>
              <w:spacing w:before="90" w:after="140" w:line="288"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história. Roteiro, Joaçaba, v. 37, n. 1, p. 51-70, jan./jun. 2012.</w:t>
            </w:r>
          </w:p>
        </w:tc>
      </w:tr>
      <w:tr>
        <w:tblPrEx>
          <w:tblCellMar>
            <w:top w:w="0" w:type="dxa"/>
            <w:left w:w="22" w:type="dxa"/>
            <w:bottom w:w="0" w:type="dxa"/>
            <w:right w:w="5" w:type="dxa"/>
          </w:tblCellMar>
        </w:tblPrEx>
        <w:trPr>
          <w:trHeight w:val="1656" w:hRule="atLeast"/>
        </w:trPr>
        <w:tc>
          <w:tcPr>
            <w:tcW w:w="9959" w:type="dxa"/>
            <w:gridSpan w:val="4"/>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141" w:line="360" w:lineRule="auto"/>
              <w:ind w:left="0" w:right="23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ORTA, Daniel Augusto Arpelau. Nos trilhos da cultura ferroviária: documentos de arquivo familiar no ensino de história. História &amp; Ensino, Londrina, v, 13, p.71-90, set. 2007.</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PEREIRA, Júnia Sales et alii. Escola e Museu: diálogos e práticas. Belo Horizonte: Secretaria de Estado e Cultura/Superintendência de Museus/PUC-MG/ Cefor, 2007. RAMOS, Francisco R. L. A história nos objetos e O objeto gerador. In: A danação do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objeto: o museu no ensino de História. Chapecó: Argos, 2004. p. 19-36.</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506"/>
        <w:tblW w:w="10015" w:type="dxa"/>
        <w:tblInd w:w="-317" w:type="dxa"/>
        <w:tblLayout w:type="fixed"/>
        <w:tblCellMar>
          <w:top w:w="0" w:type="dxa"/>
          <w:left w:w="0" w:type="dxa"/>
          <w:bottom w:w="0" w:type="dxa"/>
          <w:right w:w="22" w:type="dxa"/>
        </w:tblCellMar>
      </w:tblPr>
      <w:tblGrid>
        <w:gridCol w:w="42"/>
        <w:gridCol w:w="43"/>
        <w:gridCol w:w="3063"/>
        <w:gridCol w:w="3039"/>
        <w:gridCol w:w="523"/>
        <w:gridCol w:w="3246"/>
        <w:gridCol w:w="59"/>
      </w:tblGrid>
      <w:tr>
        <w:tblPrEx>
          <w:tblCellMar>
            <w:top w:w="0" w:type="dxa"/>
            <w:left w:w="0" w:type="dxa"/>
            <w:bottom w:w="0" w:type="dxa"/>
            <w:right w:w="22" w:type="dxa"/>
          </w:tblCellMar>
        </w:tblPrEx>
        <w:trPr>
          <w:trHeight w:val="926" w:hRule="atLeast"/>
        </w:trPr>
        <w:tc>
          <w:tcPr>
            <w:tcW w:w="42" w:type="dxa"/>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tc>
        <w:tc>
          <w:tcPr>
            <w:tcW w:w="43" w:type="dxa"/>
            <w:tcBorders>
              <w:top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tc>
        <w:tc>
          <w:tcPr>
            <w:tcW w:w="6625" w:type="dxa"/>
            <w:gridSpan w:val="3"/>
            <w:tcBorders>
              <w:top w:val="single" w:color="000000" w:sz="12" w:space="0"/>
              <w:left w:val="single" w:color="000000" w:sz="18"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Disciplina: Política e Gestão Educacional</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Policy and Educational Regulation</w:t>
            </w:r>
          </w:p>
        </w:tc>
        <w:tc>
          <w:tcPr>
            <w:tcW w:w="3246" w:type="dxa"/>
            <w:tcBorders>
              <w:top w:val="single" w:color="000000" w:sz="12"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EDU254</w:t>
            </w:r>
          </w:p>
        </w:tc>
        <w:tc>
          <w:tcPr>
            <w:tcW w:w="59" w:type="dxa"/>
            <w:tcBorders>
              <w:top w:val="single" w:color="000000" w:sz="4" w:space="0"/>
              <w:lef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tc>
      </w:tr>
      <w:tr>
        <w:tblPrEx>
          <w:tblCellMar>
            <w:top w:w="0" w:type="dxa"/>
            <w:left w:w="0" w:type="dxa"/>
            <w:bottom w:w="0" w:type="dxa"/>
            <w:right w:w="22" w:type="dxa"/>
          </w:tblCellMar>
        </w:tblPrEx>
        <w:trPr>
          <w:trHeight w:val="802" w:hRule="atLeast"/>
        </w:trPr>
        <w:tc>
          <w:tcPr>
            <w:tcW w:w="42" w:type="dxa"/>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tc>
        <w:tc>
          <w:tcPr>
            <w:tcW w:w="43" w:type="dxa"/>
            <w:tcBorders>
              <w:top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tc>
        <w:tc>
          <w:tcPr>
            <w:tcW w:w="6625" w:type="dxa"/>
            <w:gridSpan w:val="3"/>
            <w:tcBorders>
              <w:top w:val="single" w:color="000000" w:sz="8" w:space="0"/>
              <w:left w:val="single" w:color="000000" w:sz="18"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Departamento de Educação – DEEDU</w:t>
            </w:r>
          </w:p>
        </w:tc>
        <w:tc>
          <w:tcPr>
            <w:tcW w:w="3246" w:type="dxa"/>
            <w:tcBorders>
              <w:top w:val="single" w:color="000000" w:sz="8"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c>
          <w:tcPr>
            <w:tcW w:w="59" w:type="dxa"/>
            <w:tcBorders>
              <w:top w:val="single" w:color="000000" w:sz="4" w:space="0"/>
              <w:lef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tc>
      </w:tr>
      <w:tr>
        <w:tblPrEx>
          <w:tblCellMar>
            <w:top w:w="0" w:type="dxa"/>
            <w:left w:w="0" w:type="dxa"/>
            <w:bottom w:w="0" w:type="dxa"/>
            <w:right w:w="22" w:type="dxa"/>
          </w:tblCellMar>
        </w:tblPrEx>
        <w:trPr>
          <w:trHeight w:val="1242" w:hRule="atLeast"/>
        </w:trPr>
        <w:tc>
          <w:tcPr>
            <w:tcW w:w="42" w:type="dxa"/>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tc>
        <w:tc>
          <w:tcPr>
            <w:tcW w:w="43" w:type="dxa"/>
            <w:tcBorders>
              <w:top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tc>
        <w:tc>
          <w:tcPr>
            <w:tcW w:w="3063" w:type="dxa"/>
            <w:tcBorders>
              <w:top w:val="single" w:color="000000" w:sz="8" w:space="0"/>
              <w:left w:val="single" w:color="000000" w:sz="18"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369"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60h</w:t>
            </w:r>
          </w:p>
        </w:tc>
        <w:tc>
          <w:tcPr>
            <w:tcW w:w="3039" w:type="dxa"/>
            <w:tcBorders>
              <w:top w:val="single" w:color="000000" w:sz="8"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42"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04horas/aulas</w:t>
            </w:r>
          </w:p>
        </w:tc>
        <w:tc>
          <w:tcPr>
            <w:tcW w:w="3769" w:type="dxa"/>
            <w:gridSpan w:val="2"/>
            <w:tcBorders>
              <w:top w:val="single" w:color="000000" w:sz="8"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44"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00horas/aulas</w:t>
            </w:r>
          </w:p>
        </w:tc>
        <w:tc>
          <w:tcPr>
            <w:tcW w:w="59" w:type="dxa"/>
            <w:tcBorders>
              <w:top w:val="single" w:color="000000" w:sz="4" w:space="0"/>
              <w:lef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tc>
      </w:tr>
      <w:tr>
        <w:tblPrEx>
          <w:tblCellMar>
            <w:top w:w="0" w:type="dxa"/>
            <w:left w:w="0" w:type="dxa"/>
            <w:bottom w:w="0" w:type="dxa"/>
            <w:right w:w="22" w:type="dxa"/>
          </w:tblCellMar>
        </w:tblPrEx>
        <w:trPr>
          <w:cantSplit/>
          <w:trHeight w:val="1242" w:hRule="atLeast"/>
        </w:trPr>
        <w:tc>
          <w:tcPr>
            <w:tcW w:w="42" w:type="dxa"/>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tc>
        <w:tc>
          <w:tcPr>
            <w:tcW w:w="43" w:type="dxa"/>
            <w:vMerge w:val="restart"/>
            <w:tcBorders>
              <w:top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tc>
        <w:tc>
          <w:tcPr>
            <w:tcW w:w="9871" w:type="dxa"/>
            <w:gridSpan w:val="4"/>
            <w:tcBorders>
              <w:top w:val="single" w:color="000000" w:sz="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Ementa: A organização dos sistemas da Educação Básica e a articulação entre os</w:t>
            </w:r>
          </w:p>
          <w:p>
            <w:pPr>
              <w:widowControl w:val="0"/>
              <w:pBdr>
                <w:top w:val="none" w:color="auto" w:sz="0" w:space="0"/>
                <w:left w:val="none" w:color="auto" w:sz="0" w:space="0"/>
                <w:bottom w:val="none" w:color="auto" w:sz="0" w:space="0"/>
                <w:right w:val="none" w:color="auto" w:sz="0" w:space="0"/>
                <w:between w:val="none" w:color="auto" w:sz="0" w:space="0"/>
              </w:pBdr>
              <w:spacing w:before="3"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diferentes níveis, etapas e modalidades de ensino. Legislação, reformas e políticas educacionais. Planejamento, gestão e financiamento da educação.</w:t>
            </w:r>
          </w:p>
        </w:tc>
        <w:tc>
          <w:tcPr>
            <w:tcW w:w="59" w:type="dxa"/>
            <w:vMerge w:val="restart"/>
            <w:tcBorders>
              <w:top w:val="single" w:color="000000" w:sz="4" w:space="0"/>
              <w:lef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tc>
      </w:tr>
      <w:tr>
        <w:tblPrEx>
          <w:tblCellMar>
            <w:top w:w="0" w:type="dxa"/>
            <w:left w:w="0" w:type="dxa"/>
            <w:bottom w:w="0" w:type="dxa"/>
            <w:right w:w="22" w:type="dxa"/>
          </w:tblCellMar>
        </w:tblPrEx>
        <w:trPr>
          <w:cantSplit/>
          <w:trHeight w:val="2073" w:hRule="atLeast"/>
        </w:trPr>
        <w:tc>
          <w:tcPr>
            <w:tcW w:w="42" w:type="dxa"/>
          </w:tcPr>
          <w:p>
            <w:pPr>
              <w:ind w:left="0" w:hanging="2"/>
              <w:rPr>
                <w:rFonts w:ascii="Times New Roman" w:hAnsi="Times New Roman" w:eastAsia="Times New Roman" w:cs="Times New Roman"/>
              </w:rPr>
            </w:pPr>
          </w:p>
        </w:tc>
        <w:tc>
          <w:tcPr>
            <w:tcW w:w="43" w:type="dxa"/>
            <w:vMerge w:val="continue"/>
            <w:tcBorders>
              <w:top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Times New Roman" w:cs="Times New Roman"/>
              </w:rPr>
            </w:pPr>
          </w:p>
        </w:tc>
        <w:tc>
          <w:tcPr>
            <w:tcW w:w="9871" w:type="dxa"/>
            <w:gridSpan w:val="4"/>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numPr>
                <w:ilvl w:val="0"/>
                <w:numId w:val="22"/>
              </w:numPr>
              <w:pBdr>
                <w:top w:val="none" w:color="auto" w:sz="0" w:space="0"/>
                <w:left w:val="none" w:color="auto" w:sz="0" w:space="0"/>
                <w:bottom w:val="none" w:color="auto" w:sz="0" w:space="0"/>
                <w:right w:val="none" w:color="auto" w:sz="0" w:space="0"/>
                <w:between w:val="none" w:color="auto" w:sz="0" w:space="0"/>
              </w:pBdr>
              <w:tabs>
                <w:tab w:val="left" w:pos="0"/>
                <w:tab w:val="left" w:pos="357"/>
              </w:tabs>
              <w:spacing w:before="14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Estado e educação</w:t>
            </w:r>
          </w:p>
          <w:p>
            <w:pPr>
              <w:widowControl w:val="0"/>
              <w:numPr>
                <w:ilvl w:val="1"/>
                <w:numId w:val="22"/>
              </w:numPr>
              <w:pBdr>
                <w:top w:val="none" w:color="auto" w:sz="0" w:space="0"/>
                <w:left w:val="none" w:color="auto" w:sz="0" w:space="0"/>
                <w:bottom w:val="none" w:color="auto" w:sz="0" w:space="0"/>
                <w:right w:val="none" w:color="auto" w:sz="0" w:space="0"/>
                <w:between w:val="none" w:color="auto" w:sz="0" w:space="0"/>
              </w:pBdr>
              <w:tabs>
                <w:tab w:val="left" w:pos="0"/>
                <w:tab w:val="left" w:pos="535"/>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Apresentação sintética sobre a organização da educação brasileira</w:t>
            </w:r>
          </w:p>
          <w:p>
            <w:pPr>
              <w:widowControl w:val="0"/>
              <w:numPr>
                <w:ilvl w:val="1"/>
                <w:numId w:val="22"/>
              </w:numPr>
              <w:pBdr>
                <w:top w:val="none" w:color="auto" w:sz="0" w:space="0"/>
                <w:left w:val="none" w:color="auto" w:sz="0" w:space="0"/>
                <w:bottom w:val="none" w:color="auto" w:sz="0" w:space="0"/>
                <w:right w:val="none" w:color="auto" w:sz="0" w:space="0"/>
                <w:between w:val="none" w:color="auto" w:sz="0" w:space="0"/>
              </w:pBdr>
              <w:tabs>
                <w:tab w:val="left" w:pos="0"/>
                <w:tab w:val="left" w:pos="535"/>
              </w:tabs>
              <w:spacing w:before="138"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O papel do Estado frente ao direito à educação</w:t>
            </w:r>
          </w:p>
          <w:p>
            <w:pPr>
              <w:widowControl w:val="0"/>
              <w:numPr>
                <w:ilvl w:val="1"/>
                <w:numId w:val="22"/>
              </w:numPr>
              <w:pBdr>
                <w:top w:val="none" w:color="auto" w:sz="0" w:space="0"/>
                <w:left w:val="none" w:color="auto" w:sz="0" w:space="0"/>
                <w:bottom w:val="none" w:color="auto" w:sz="0" w:space="0"/>
                <w:right w:val="none" w:color="auto" w:sz="0" w:space="0"/>
                <w:between w:val="none" w:color="auto" w:sz="0" w:space="0"/>
              </w:pBdr>
              <w:tabs>
                <w:tab w:val="left" w:pos="0"/>
                <w:tab w:val="left" w:pos="535"/>
              </w:tabs>
              <w:spacing w:before="136"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Legislação educacional</w:t>
            </w:r>
          </w:p>
          <w:p>
            <w:pPr>
              <w:widowControl w:val="0"/>
              <w:numPr>
                <w:ilvl w:val="0"/>
                <w:numId w:val="23"/>
              </w:numPr>
              <w:pBdr>
                <w:top w:val="none" w:color="auto" w:sz="0" w:space="0"/>
                <w:left w:val="none" w:color="auto" w:sz="0" w:space="0"/>
                <w:bottom w:val="none" w:color="auto" w:sz="0" w:space="0"/>
                <w:right w:val="none" w:color="auto" w:sz="0" w:space="0"/>
                <w:between w:val="none" w:color="auto" w:sz="0" w:space="0"/>
              </w:pBdr>
              <w:tabs>
                <w:tab w:val="left" w:pos="0"/>
                <w:tab w:val="left" w:pos="361"/>
              </w:tabs>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Constituição Federal</w:t>
            </w:r>
          </w:p>
          <w:p>
            <w:pPr>
              <w:widowControl w:val="0"/>
              <w:numPr>
                <w:ilvl w:val="0"/>
                <w:numId w:val="23"/>
              </w:numPr>
              <w:pBdr>
                <w:top w:val="none" w:color="auto" w:sz="0" w:space="0"/>
                <w:left w:val="none" w:color="auto" w:sz="0" w:space="0"/>
                <w:bottom w:val="none" w:color="auto" w:sz="0" w:space="0"/>
                <w:right w:val="none" w:color="auto" w:sz="0" w:space="0"/>
                <w:between w:val="none" w:color="auto" w:sz="0" w:space="0"/>
              </w:pBdr>
              <w:tabs>
                <w:tab w:val="left" w:pos="0"/>
                <w:tab w:val="left" w:pos="371"/>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LDB</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right="91" w:hanging="2"/>
              <w:rPr>
                <w:rFonts w:ascii="Times New Roman" w:hAnsi="Times New Roman" w:eastAsia="Times New Roman" w:cs="Times New Roman"/>
                <w:color w:val="000000"/>
              </w:rPr>
            </w:pPr>
            <w:r>
              <w:rPr>
                <w:rFonts w:ascii="Times New Roman" w:hAnsi="Times New Roman" w:eastAsia="Times New Roman" w:cs="Times New Roman"/>
                <w:color w:val="000000"/>
              </w:rPr>
              <w:t>2. Planejamento e gestão da educação: Plano Nacional de Educação e conceito de sistema</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right="91" w:hanging="2"/>
              <w:rPr>
                <w:rFonts w:ascii="Times New Roman" w:hAnsi="Times New Roman" w:eastAsia="Times New Roman" w:cs="Times New Roman"/>
                <w:color w:val="000000"/>
              </w:rPr>
            </w:pPr>
            <w:r>
              <w:rPr>
                <w:rFonts w:ascii="Times New Roman" w:hAnsi="Times New Roman" w:eastAsia="Times New Roman" w:cs="Times New Roman"/>
                <w:color w:val="000000"/>
              </w:rPr>
              <w:t>3. Financiamento da educação</w:t>
            </w:r>
          </w:p>
          <w:p>
            <w:pPr>
              <w:widowControl w:val="0"/>
              <w:numPr>
                <w:ilvl w:val="0"/>
                <w:numId w:val="24"/>
              </w:numPr>
              <w:pBdr>
                <w:top w:val="none" w:color="auto" w:sz="0" w:space="0"/>
                <w:left w:val="none" w:color="auto" w:sz="0" w:space="0"/>
                <w:bottom w:val="none" w:color="auto" w:sz="0" w:space="0"/>
                <w:right w:val="none" w:color="auto" w:sz="0" w:space="0"/>
                <w:between w:val="none" w:color="auto" w:sz="0" w:space="0"/>
              </w:pBdr>
              <w:tabs>
                <w:tab w:val="left" w:pos="0"/>
                <w:tab w:val="left" w:pos="357"/>
              </w:tabs>
              <w:spacing w:before="2"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Políticas de avaliação: o Sistema Nacional de Avaliação da Educação Básica</w:t>
            </w:r>
          </w:p>
          <w:p>
            <w:pPr>
              <w:widowControl w:val="0"/>
              <w:numPr>
                <w:ilvl w:val="0"/>
                <w:numId w:val="24"/>
              </w:numPr>
              <w:pBdr>
                <w:top w:val="none" w:color="auto" w:sz="0" w:space="0"/>
                <w:left w:val="none" w:color="auto" w:sz="0" w:space="0"/>
                <w:bottom w:val="none" w:color="auto" w:sz="0" w:space="0"/>
                <w:right w:val="none" w:color="auto" w:sz="0" w:space="0"/>
                <w:between w:val="none" w:color="auto" w:sz="0" w:space="0"/>
              </w:pBdr>
              <w:tabs>
                <w:tab w:val="left" w:pos="0"/>
                <w:tab w:val="left" w:pos="357"/>
              </w:tabs>
              <w:spacing w:before="138"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Políticas para os profissionais da educação</w:t>
            </w:r>
          </w:p>
          <w:p>
            <w:pPr>
              <w:widowControl w:val="0"/>
              <w:numPr>
                <w:ilvl w:val="0"/>
                <w:numId w:val="24"/>
              </w:numPr>
              <w:pBdr>
                <w:top w:val="none" w:color="auto" w:sz="0" w:space="0"/>
                <w:left w:val="none" w:color="auto" w:sz="0" w:space="0"/>
                <w:bottom w:val="none" w:color="auto" w:sz="0" w:space="0"/>
                <w:right w:val="none" w:color="auto" w:sz="0" w:space="0"/>
                <w:between w:val="none" w:color="auto" w:sz="0" w:space="0"/>
              </w:pBdr>
              <w:tabs>
                <w:tab w:val="left" w:pos="0"/>
                <w:tab w:val="left" w:pos="357"/>
              </w:tabs>
              <w:spacing w:before="138"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Reformas educacionais</w:t>
            </w:r>
          </w:p>
        </w:tc>
        <w:tc>
          <w:tcPr>
            <w:tcW w:w="59" w:type="dxa"/>
            <w:vMerge w:val="continue"/>
            <w:tcBorders>
              <w:top w:val="single" w:color="000000" w:sz="4" w:space="0"/>
              <w:lef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Times New Roman" w:cs="Times New Roman"/>
                <w:color w:val="000000"/>
              </w:rPr>
            </w:pPr>
          </w:p>
        </w:tc>
      </w:tr>
      <w:tr>
        <w:tblPrEx>
          <w:tblCellMar>
            <w:top w:w="0" w:type="dxa"/>
            <w:left w:w="0" w:type="dxa"/>
            <w:bottom w:w="0" w:type="dxa"/>
            <w:right w:w="22" w:type="dxa"/>
          </w:tblCellMar>
        </w:tblPrEx>
        <w:trPr>
          <w:trHeight w:val="3312" w:hRule="atLeast"/>
        </w:trPr>
        <w:tc>
          <w:tcPr>
            <w:tcW w:w="42" w:type="dxa"/>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tc>
        <w:tc>
          <w:tcPr>
            <w:tcW w:w="43" w:type="dxa"/>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tc>
        <w:tc>
          <w:tcPr>
            <w:tcW w:w="9871" w:type="dxa"/>
            <w:gridSpan w:val="4"/>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right="64"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FERREIRA, Naura Syria Carapeto (Org.). </w:t>
            </w:r>
            <w:r>
              <w:rPr>
                <w:rFonts w:ascii="Times New Roman" w:hAnsi="Times New Roman" w:eastAsia="Times New Roman" w:cs="Times New Roman"/>
                <w:b/>
                <w:color w:val="000000"/>
              </w:rPr>
              <w:t>Gestão da educação</w:t>
            </w:r>
            <w:r>
              <w:rPr>
                <w:rFonts w:ascii="Times New Roman" w:hAnsi="Times New Roman" w:eastAsia="Times New Roman" w:cs="Times New Roman"/>
                <w:color w:val="000000"/>
              </w:rPr>
              <w:t>: impasses, perspectivas e compromissos. São Paulo: Cortez, 2006.</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OLIVEIRA, Romualdo Portela de. </w:t>
            </w:r>
            <w:r>
              <w:rPr>
                <w:rFonts w:ascii="Times New Roman" w:hAnsi="Times New Roman" w:eastAsia="Times New Roman" w:cs="Times New Roman"/>
                <w:b/>
                <w:color w:val="000000"/>
              </w:rPr>
              <w:t>Política educacional</w:t>
            </w:r>
            <w:r>
              <w:rPr>
                <w:rFonts w:ascii="Times New Roman" w:hAnsi="Times New Roman" w:eastAsia="Times New Roman" w:cs="Times New Roman"/>
                <w:color w:val="000000"/>
              </w:rPr>
              <w:t>: impasses e alternativas. São Paulo: Cortez, 1995.</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OLIVEIRA, Dalila Andrade; DUARTE, Adriana; FERNANDES, Milton. (Orgs.).</w:t>
            </w:r>
          </w:p>
          <w:p>
            <w:pPr>
              <w:widowControl w:val="0"/>
              <w:pBdr>
                <w:top w:val="none" w:color="auto" w:sz="0" w:space="0"/>
                <w:left w:val="none" w:color="auto" w:sz="0" w:space="0"/>
                <w:bottom w:val="none" w:color="auto" w:sz="0" w:space="0"/>
                <w:right w:val="none" w:color="auto" w:sz="0" w:space="0"/>
                <w:between w:val="none" w:color="auto" w:sz="0" w:space="0"/>
              </w:pBdr>
              <w:spacing w:before="3"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b/>
                <w:color w:val="000000"/>
              </w:rPr>
              <w:t>Políticas públicas e educação</w:t>
            </w:r>
            <w:r>
              <w:rPr>
                <w:rFonts w:ascii="Times New Roman" w:hAnsi="Times New Roman" w:eastAsia="Times New Roman" w:cs="Times New Roman"/>
                <w:color w:val="000000"/>
              </w:rPr>
              <w:t>: regulação e conhecimento. Belo Horizonte: Fino Traço, 2011.</w:t>
            </w:r>
          </w:p>
        </w:tc>
        <w:tc>
          <w:tcPr>
            <w:tcW w:w="59" w:type="dxa"/>
            <w:tcBorders>
              <w:left w:val="single" w:color="000000" w:sz="18" w:space="0"/>
            </w:tcBorders>
          </w:tcPr>
          <w:p>
            <w:pPr>
              <w:ind w:left="0" w:hanging="2"/>
              <w:rPr>
                <w:rFonts w:ascii="Times New Roman" w:hAnsi="Times New Roman" w:cs="Times New Roman"/>
              </w:rPr>
            </w:pPr>
          </w:p>
        </w:tc>
      </w:tr>
      <w:tr>
        <w:tblPrEx>
          <w:tblCellMar>
            <w:top w:w="0" w:type="dxa"/>
            <w:left w:w="0" w:type="dxa"/>
            <w:bottom w:w="0" w:type="dxa"/>
            <w:right w:w="22" w:type="dxa"/>
          </w:tblCellMar>
        </w:tblPrEx>
        <w:trPr>
          <w:trHeight w:val="4973" w:hRule="atLeast"/>
        </w:trPr>
        <w:tc>
          <w:tcPr>
            <w:tcW w:w="42" w:type="dxa"/>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p>
        </w:tc>
        <w:tc>
          <w:tcPr>
            <w:tcW w:w="43" w:type="dxa"/>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p>
        </w:tc>
        <w:tc>
          <w:tcPr>
            <w:tcW w:w="9871" w:type="dxa"/>
            <w:gridSpan w:val="4"/>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right="61"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CURY, Carlos Roberto Jamil. </w:t>
            </w:r>
            <w:r>
              <w:rPr>
                <w:rFonts w:ascii="Times New Roman" w:hAnsi="Times New Roman" w:eastAsia="Times New Roman" w:cs="Times New Roman"/>
                <w:b/>
                <w:color w:val="000000"/>
              </w:rPr>
              <w:t>Legislação educacional brasileira</w:t>
            </w:r>
            <w:r>
              <w:rPr>
                <w:rFonts w:ascii="Times New Roman" w:hAnsi="Times New Roman" w:eastAsia="Times New Roman" w:cs="Times New Roman"/>
                <w:color w:val="000000"/>
              </w:rPr>
              <w:t>. Rio de Janeiro: DP&amp;A, 2002.</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7"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DOURADO, Luiz Fernandes. </w:t>
            </w:r>
            <w:r>
              <w:rPr>
                <w:rFonts w:ascii="Times New Roman" w:hAnsi="Times New Roman" w:eastAsia="Times New Roman" w:cs="Times New Roman"/>
                <w:b/>
                <w:color w:val="000000"/>
              </w:rPr>
              <w:t>Plano Nacional de Educação (2011-2020)</w:t>
            </w:r>
            <w:r>
              <w:rPr>
                <w:rFonts w:ascii="Times New Roman" w:hAnsi="Times New Roman" w:eastAsia="Times New Roman" w:cs="Times New Roman"/>
                <w:color w:val="000000"/>
              </w:rPr>
              <w:t>: avaliação e perspectivas. Goiânia: UFG, 2011.</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8"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PARO, Vitor Henrique. </w:t>
            </w:r>
            <w:r>
              <w:rPr>
                <w:rFonts w:ascii="Times New Roman" w:hAnsi="Times New Roman" w:eastAsia="Times New Roman" w:cs="Times New Roman"/>
                <w:b/>
                <w:color w:val="000000"/>
              </w:rPr>
              <w:t>Gestão escolar, democracia e qualidade de ensino</w:t>
            </w:r>
            <w:r>
              <w:rPr>
                <w:rFonts w:ascii="Times New Roman" w:hAnsi="Times New Roman" w:eastAsia="Times New Roman" w:cs="Times New Roman"/>
                <w:color w:val="000000"/>
              </w:rPr>
              <w:t>. São Paulo: Ática,2008.</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3"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OLIVEIRA, Romualdo Portela de; ADRIÃO, Theresa. </w:t>
            </w:r>
            <w:r>
              <w:rPr>
                <w:rFonts w:ascii="Times New Roman" w:hAnsi="Times New Roman" w:eastAsia="Times New Roman" w:cs="Times New Roman"/>
                <w:b/>
                <w:color w:val="000000"/>
              </w:rPr>
              <w:t>Gestão, financiamento e direito à educação</w:t>
            </w:r>
            <w:r>
              <w:rPr>
                <w:rFonts w:ascii="Times New Roman" w:hAnsi="Times New Roman" w:eastAsia="Times New Roman" w:cs="Times New Roman"/>
                <w:color w:val="000000"/>
              </w:rPr>
              <w:t>: análise da Constituição Federal e da LDB. 3. ed. rev. e ampl. São Paulo: Xamã,2007.</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SAVIANI, Demerval. </w:t>
            </w:r>
            <w:r>
              <w:rPr>
                <w:rFonts w:ascii="Times New Roman" w:hAnsi="Times New Roman" w:eastAsia="Times New Roman" w:cs="Times New Roman"/>
                <w:b/>
                <w:color w:val="000000"/>
              </w:rPr>
              <w:t>Educação brasileira</w:t>
            </w:r>
            <w:r>
              <w:rPr>
                <w:rFonts w:ascii="Times New Roman" w:hAnsi="Times New Roman" w:eastAsia="Times New Roman" w:cs="Times New Roman"/>
                <w:color w:val="000000"/>
              </w:rPr>
              <w:t>: estrutura e sistema. Campinas, SP: Autores</w:t>
            </w:r>
          </w:p>
          <w:p>
            <w:pPr>
              <w:widowControl w:val="0"/>
              <w:pBdr>
                <w:top w:val="none" w:color="auto" w:sz="0" w:space="0"/>
                <w:left w:val="none" w:color="auto" w:sz="0" w:space="0"/>
                <w:bottom w:val="none" w:color="auto" w:sz="0" w:space="0"/>
                <w:right w:val="none" w:color="auto" w:sz="0" w:space="0"/>
                <w:between w:val="none" w:color="auto" w:sz="0" w:space="0"/>
              </w:pBdr>
              <w:spacing w:before="131"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Associados, 2005.</w:t>
            </w:r>
          </w:p>
        </w:tc>
        <w:tc>
          <w:tcPr>
            <w:tcW w:w="59" w:type="dxa"/>
            <w:tcBorders>
              <w:left w:val="single" w:color="000000" w:sz="18" w:space="0"/>
            </w:tcBorders>
          </w:tcPr>
          <w:p>
            <w:pPr>
              <w:ind w:left="0" w:hanging="2"/>
              <w:rPr>
                <w:rFonts w:ascii="Times New Roman" w:hAnsi="Times New Roman" w:cs="Times New Roman"/>
              </w:rPr>
            </w:pP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widowControl w:val="0"/>
        <w:numPr>
          <w:ilvl w:val="0"/>
          <w:numId w:val="25"/>
        </w:numPr>
        <w:pBdr>
          <w:top w:val="none" w:color="auto" w:sz="0" w:space="0"/>
          <w:left w:val="none" w:color="auto" w:sz="0" w:space="0"/>
          <w:bottom w:val="none" w:color="auto" w:sz="0" w:space="0"/>
          <w:right w:val="none" w:color="auto" w:sz="0" w:space="0"/>
          <w:between w:val="none" w:color="auto" w:sz="0" w:space="0"/>
        </w:pBdr>
        <w:tabs>
          <w:tab w:val="left" w:pos="0"/>
        </w:tabs>
        <w:spacing w:line="240" w:lineRule="auto"/>
        <w:ind w:hanging="2"/>
        <w:rPr>
          <w:rFonts w:ascii="Times New Roman" w:hAnsi="Times New Roman" w:eastAsia="Times New Roman" w:cs="Times New Roman"/>
          <w:b/>
          <w:color w:val="000000"/>
        </w:rPr>
      </w:pPr>
      <w:r>
        <w:rPr>
          <w:rFonts w:ascii="Times New Roman" w:hAnsi="Times New Roman" w:eastAsia="Times New Roman" w:cs="Times New Roman"/>
          <w:b/>
          <w:color w:val="000000"/>
        </w:rPr>
        <w:t>7° Período</w:t>
      </w: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507"/>
        <w:tblW w:w="9163" w:type="dxa"/>
        <w:tblInd w:w="-140" w:type="dxa"/>
        <w:tblLayout w:type="fixed"/>
        <w:tblCellMar>
          <w:top w:w="0" w:type="dxa"/>
          <w:left w:w="22" w:type="dxa"/>
          <w:bottom w:w="0" w:type="dxa"/>
          <w:right w:w="5" w:type="dxa"/>
        </w:tblCellMar>
      </w:tblPr>
      <w:tblGrid>
        <w:gridCol w:w="3043"/>
        <w:gridCol w:w="3314"/>
        <w:gridCol w:w="2806"/>
      </w:tblGrid>
      <w:tr>
        <w:tblPrEx>
          <w:tblCellMar>
            <w:top w:w="0" w:type="dxa"/>
            <w:left w:w="22" w:type="dxa"/>
            <w:bottom w:w="0" w:type="dxa"/>
            <w:right w:w="5" w:type="dxa"/>
          </w:tblCellMar>
        </w:tblPrEx>
        <w:trPr>
          <w:trHeight w:val="1655" w:hRule="atLeast"/>
        </w:trPr>
        <w:tc>
          <w:tcPr>
            <w:tcW w:w="6357"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4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Estágio Supervisionado de História IV</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Supervised</w:t>
            </w:r>
          </w:p>
          <w:p>
            <w:pPr>
              <w:widowControl w:val="0"/>
              <w:pBdr>
                <w:top w:val="none" w:color="auto" w:sz="0" w:space="0"/>
                <w:left w:val="none" w:color="auto" w:sz="0" w:space="0"/>
                <w:bottom w:val="none" w:color="auto" w:sz="0" w:space="0"/>
                <w:right w:val="none" w:color="auto" w:sz="0" w:space="0"/>
                <w:between w:val="none" w:color="auto" w:sz="0" w:space="0"/>
              </w:pBdr>
              <w:spacing w:before="128"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Internship in History IV</w:t>
            </w:r>
          </w:p>
        </w:tc>
        <w:tc>
          <w:tcPr>
            <w:tcW w:w="2806"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HIS 599</w:t>
            </w:r>
          </w:p>
        </w:tc>
      </w:tr>
      <w:tr>
        <w:tblPrEx>
          <w:tblCellMar>
            <w:top w:w="0" w:type="dxa"/>
            <w:left w:w="22" w:type="dxa"/>
            <w:bottom w:w="0" w:type="dxa"/>
            <w:right w:w="5" w:type="dxa"/>
          </w:tblCellMar>
        </w:tblPrEx>
        <w:trPr>
          <w:trHeight w:val="830" w:hRule="atLeast"/>
        </w:trPr>
        <w:tc>
          <w:tcPr>
            <w:tcW w:w="6357"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 História</w:t>
            </w:r>
          </w:p>
          <w:p>
            <w:pPr>
              <w:widowControl w:val="0"/>
              <w:pBdr>
                <w:top w:val="none" w:color="auto" w:sz="0" w:space="0"/>
                <w:left w:val="none" w:color="auto" w:sz="0" w:space="0"/>
                <w:bottom w:val="none" w:color="auto" w:sz="0" w:space="0"/>
                <w:right w:val="none" w:color="auto" w:sz="0" w:space="0"/>
                <w:between w:val="none" w:color="auto" w:sz="0" w:space="0"/>
              </w:pBdr>
              <w:spacing w:before="14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DEHIS</w:t>
            </w:r>
          </w:p>
        </w:tc>
        <w:tc>
          <w:tcPr>
            <w:tcW w:w="280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5" w:type="dxa"/>
          </w:tblCellMar>
        </w:tblPrEx>
        <w:trPr>
          <w:trHeight w:val="1243" w:hRule="atLeast"/>
        </w:trPr>
        <w:tc>
          <w:tcPr>
            <w:tcW w:w="3043"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0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501"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105 horas</w:t>
            </w:r>
          </w:p>
        </w:tc>
        <w:tc>
          <w:tcPr>
            <w:tcW w:w="3314"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02 horas/aula</w:t>
            </w:r>
          </w:p>
        </w:tc>
        <w:tc>
          <w:tcPr>
            <w:tcW w:w="280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 05 horas/aula</w:t>
            </w:r>
          </w:p>
        </w:tc>
      </w:tr>
      <w:tr>
        <w:tblPrEx>
          <w:tblCellMar>
            <w:top w:w="0" w:type="dxa"/>
            <w:left w:w="22" w:type="dxa"/>
            <w:bottom w:w="0" w:type="dxa"/>
            <w:right w:w="5" w:type="dxa"/>
          </w:tblCellMar>
        </w:tblPrEx>
        <w:trPr>
          <w:trHeight w:val="1655" w:hRule="atLeast"/>
        </w:trPr>
        <w:tc>
          <w:tcPr>
            <w:tcW w:w="9163"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89" w:hanging="2"/>
              <w:rPr>
                <w:rFonts w:ascii="Times New Roman" w:hAnsi="Times New Roman" w:eastAsia="Times New Roman" w:cs="Times New Roman"/>
                <w:color w:val="000000"/>
              </w:rPr>
            </w:pPr>
            <w:r>
              <w:rPr>
                <w:rFonts w:ascii="Times New Roman" w:hAnsi="Times New Roman" w:eastAsia="Times New Roman" w:cs="Times New Roman"/>
                <w:color w:val="000000"/>
              </w:rPr>
              <w:t>Ementa: A formação e atuação do professor-pesquisador; Identidade nacional, história local e memória no ensino de História; Espaços “extra-classe” para o ensino de História: museus, arquivos, etc; Avaliação de projetos educativos nesses espaços e</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elaboração de oficinas educativas.</w:t>
            </w:r>
          </w:p>
        </w:tc>
      </w:tr>
      <w:tr>
        <w:tblPrEx>
          <w:tblCellMar>
            <w:top w:w="0" w:type="dxa"/>
            <w:left w:w="22" w:type="dxa"/>
            <w:bottom w:w="0" w:type="dxa"/>
            <w:right w:w="5" w:type="dxa"/>
          </w:tblCellMar>
        </w:tblPrEx>
        <w:trPr>
          <w:trHeight w:val="7451" w:hRule="atLeast"/>
        </w:trPr>
        <w:tc>
          <w:tcPr>
            <w:tcW w:w="9163"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17"/>
                <w:tab w:val="left" w:pos="818"/>
              </w:tabs>
              <w:spacing w:before="136" w:line="240" w:lineRule="auto"/>
              <w:ind w:left="0" w:hanging="2"/>
              <w:rPr>
                <w:rFonts w:ascii="Times New Roman" w:hAnsi="Times New Roman" w:eastAsia="Times New Roman" w:cs="Times New Roman"/>
              </w:rPr>
            </w:pPr>
            <w:r>
              <w:rPr>
                <w:rFonts w:ascii="Times New Roman" w:hAnsi="Times New Roman" w:eastAsia="Times New Roman" w:cs="Times New Roman"/>
              </w:rPr>
              <w:t>O curso sustenta-se na ideia de que a história como disciplina escolar realiza-se na tensão entre uma pedagogia da memória e da memorização e a investigação da memória social, entendendo que a história como disciplina também é parte dela. Seguindo a sequência dos estágios, neste momento nos dedicamos a pensar a relação entre cidade, patrimônio e ensino de história. Contemplando o caráter prático do estágio supervisionado, a unidade II é reservada à produção de uma proposta de aula ou sequência didática que transforma a cidade e o patrimônio em objetos de investigação no ensino de história.</w:t>
            </w: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17"/>
                <w:tab w:val="left" w:pos="818"/>
              </w:tabs>
              <w:spacing w:before="136" w:line="240" w:lineRule="auto"/>
              <w:ind w:left="0" w:hanging="2"/>
              <w:rPr>
                <w:rFonts w:ascii="Times New Roman" w:hAnsi="Times New Roman" w:eastAsia="Times New Roman" w:cs="Times New Roman"/>
              </w:rPr>
            </w:pP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17"/>
                <w:tab w:val="left" w:pos="818"/>
              </w:tabs>
              <w:spacing w:before="136" w:line="240" w:lineRule="auto"/>
              <w:ind w:left="0" w:hanging="2"/>
              <w:rPr>
                <w:rFonts w:ascii="Times New Roman" w:hAnsi="Times New Roman" w:eastAsia="Times New Roman" w:cs="Times New Roman"/>
              </w:rPr>
            </w:pPr>
            <w:r>
              <w:rPr>
                <w:rFonts w:ascii="Times New Roman" w:hAnsi="Times New Roman" w:eastAsia="Times New Roman" w:cs="Times New Roman"/>
              </w:rPr>
              <w:t>UNIDADE I – HISTÓRIA, CIDADE E EDUCAÇÃO</w:t>
            </w: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17"/>
                <w:tab w:val="left" w:pos="818"/>
              </w:tabs>
              <w:spacing w:before="136" w:line="240" w:lineRule="auto"/>
              <w:ind w:left="0" w:hanging="2"/>
              <w:rPr>
                <w:rFonts w:ascii="Times New Roman" w:hAnsi="Times New Roman" w:eastAsia="Times New Roman" w:cs="Times New Roman"/>
              </w:rPr>
            </w:pPr>
            <w:r>
              <w:rPr>
                <w:rFonts w:ascii="Times New Roman" w:hAnsi="Times New Roman" w:eastAsia="Times New Roman" w:cs="Times New Roman"/>
              </w:rPr>
              <w:t>1.</w:t>
            </w:r>
            <w:r>
              <w:rPr>
                <w:rFonts w:ascii="Times New Roman" w:hAnsi="Times New Roman" w:eastAsia="Times New Roman" w:cs="Times New Roman"/>
              </w:rPr>
              <w:tab/>
            </w:r>
            <w:r>
              <w:rPr>
                <w:rFonts w:ascii="Times New Roman" w:hAnsi="Times New Roman" w:eastAsia="Times New Roman" w:cs="Times New Roman"/>
              </w:rPr>
              <w:t>Espaço, cidade e história;</w:t>
            </w: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17"/>
                <w:tab w:val="left" w:pos="818"/>
              </w:tabs>
              <w:spacing w:before="136" w:line="240" w:lineRule="auto"/>
              <w:ind w:left="0" w:hanging="2"/>
              <w:rPr>
                <w:rFonts w:ascii="Times New Roman" w:hAnsi="Times New Roman" w:eastAsia="Times New Roman" w:cs="Times New Roman"/>
              </w:rPr>
            </w:pPr>
            <w:r>
              <w:rPr>
                <w:rFonts w:ascii="Times New Roman" w:hAnsi="Times New Roman" w:eastAsia="Times New Roman" w:cs="Times New Roman"/>
              </w:rPr>
              <w:t>2.</w:t>
            </w:r>
            <w:r>
              <w:rPr>
                <w:rFonts w:ascii="Times New Roman" w:hAnsi="Times New Roman" w:eastAsia="Times New Roman" w:cs="Times New Roman"/>
              </w:rPr>
              <w:tab/>
            </w:r>
            <w:r>
              <w:rPr>
                <w:rFonts w:ascii="Times New Roman" w:hAnsi="Times New Roman" w:eastAsia="Times New Roman" w:cs="Times New Roman"/>
              </w:rPr>
              <w:t>Cidade e patrimônio;</w:t>
            </w: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17"/>
                <w:tab w:val="left" w:pos="818"/>
              </w:tabs>
              <w:spacing w:before="136" w:line="240" w:lineRule="auto"/>
              <w:ind w:left="0" w:hanging="2"/>
              <w:rPr>
                <w:rFonts w:ascii="Times New Roman" w:hAnsi="Times New Roman" w:eastAsia="Times New Roman" w:cs="Times New Roman"/>
              </w:rPr>
            </w:pPr>
            <w:r>
              <w:rPr>
                <w:rFonts w:ascii="Times New Roman" w:hAnsi="Times New Roman" w:eastAsia="Times New Roman" w:cs="Times New Roman"/>
              </w:rPr>
              <w:t>3.</w:t>
            </w:r>
            <w:r>
              <w:rPr>
                <w:rFonts w:ascii="Times New Roman" w:hAnsi="Times New Roman" w:eastAsia="Times New Roman" w:cs="Times New Roman"/>
              </w:rPr>
              <w:tab/>
            </w:r>
            <w:r>
              <w:rPr>
                <w:rFonts w:ascii="Times New Roman" w:hAnsi="Times New Roman" w:eastAsia="Times New Roman" w:cs="Times New Roman"/>
              </w:rPr>
              <w:t>Cidade e educação;</w:t>
            </w: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17"/>
                <w:tab w:val="left" w:pos="818"/>
              </w:tabs>
              <w:spacing w:before="136" w:line="240" w:lineRule="auto"/>
              <w:ind w:left="0" w:hanging="2"/>
              <w:rPr>
                <w:rFonts w:ascii="Times New Roman" w:hAnsi="Times New Roman" w:eastAsia="Times New Roman" w:cs="Times New Roman"/>
              </w:rPr>
            </w:pPr>
            <w:r>
              <w:rPr>
                <w:rFonts w:ascii="Times New Roman" w:hAnsi="Times New Roman" w:eastAsia="Times New Roman" w:cs="Times New Roman"/>
              </w:rPr>
              <w:t>4.</w:t>
            </w:r>
            <w:r>
              <w:rPr>
                <w:rFonts w:ascii="Times New Roman" w:hAnsi="Times New Roman" w:eastAsia="Times New Roman" w:cs="Times New Roman"/>
              </w:rPr>
              <w:tab/>
            </w:r>
            <w:r>
              <w:rPr>
                <w:rFonts w:ascii="Times New Roman" w:hAnsi="Times New Roman" w:eastAsia="Times New Roman" w:cs="Times New Roman"/>
              </w:rPr>
              <w:t>Cidade e educação patrimonial.</w:t>
            </w: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17"/>
                <w:tab w:val="left" w:pos="818"/>
              </w:tabs>
              <w:spacing w:before="136" w:line="240" w:lineRule="auto"/>
              <w:ind w:left="0" w:hanging="2"/>
              <w:rPr>
                <w:rFonts w:ascii="Times New Roman" w:hAnsi="Times New Roman" w:eastAsia="Times New Roman" w:cs="Times New Roman"/>
              </w:rPr>
            </w:pP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17"/>
                <w:tab w:val="left" w:pos="818"/>
              </w:tabs>
              <w:spacing w:before="136" w:line="240" w:lineRule="auto"/>
              <w:ind w:left="0" w:hanging="2"/>
              <w:rPr>
                <w:rFonts w:ascii="Times New Roman" w:hAnsi="Times New Roman" w:eastAsia="Times New Roman" w:cs="Times New Roman"/>
              </w:rPr>
            </w:pPr>
            <w:r>
              <w:rPr>
                <w:rFonts w:ascii="Times New Roman" w:hAnsi="Times New Roman" w:eastAsia="Times New Roman" w:cs="Times New Roman"/>
              </w:rPr>
              <w:t>UNIDADE II: CIDADE, PATRIMÔNIO E PRÁTICA DO ENSINO DE HISTÓRIA</w:t>
            </w: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17"/>
                <w:tab w:val="left" w:pos="818"/>
              </w:tabs>
              <w:spacing w:before="136" w:line="240" w:lineRule="auto"/>
              <w:ind w:left="0" w:hanging="2"/>
              <w:rPr>
                <w:rFonts w:ascii="Times New Roman" w:hAnsi="Times New Roman" w:eastAsia="Times New Roman" w:cs="Times New Roman"/>
              </w:rPr>
            </w:pPr>
            <w:r>
              <w:rPr>
                <w:rFonts w:ascii="Times New Roman" w:hAnsi="Times New Roman" w:eastAsia="Times New Roman" w:cs="Times New Roman"/>
              </w:rPr>
              <w:t>1.</w:t>
            </w:r>
            <w:r>
              <w:rPr>
                <w:rFonts w:ascii="Times New Roman" w:hAnsi="Times New Roman" w:eastAsia="Times New Roman" w:cs="Times New Roman"/>
              </w:rPr>
              <w:tab/>
            </w:r>
            <w:r>
              <w:rPr>
                <w:rFonts w:ascii="Times New Roman" w:hAnsi="Times New Roman" w:eastAsia="Times New Roman" w:cs="Times New Roman"/>
              </w:rPr>
              <w:t>Criando sequências didáticas/orientação para as atividades;</w:t>
            </w: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17"/>
                <w:tab w:val="left" w:pos="818"/>
              </w:tabs>
              <w:spacing w:before="136" w:line="240" w:lineRule="auto"/>
              <w:ind w:left="0" w:hanging="2"/>
              <w:rPr>
                <w:rFonts w:ascii="Times New Roman" w:hAnsi="Times New Roman" w:eastAsia="Times New Roman" w:cs="Times New Roman"/>
              </w:rPr>
            </w:pPr>
            <w:r>
              <w:rPr>
                <w:rFonts w:ascii="Times New Roman" w:hAnsi="Times New Roman" w:eastAsia="Times New Roman" w:cs="Times New Roman"/>
              </w:rPr>
              <w:t>2.</w:t>
            </w:r>
            <w:r>
              <w:rPr>
                <w:rFonts w:ascii="Times New Roman" w:hAnsi="Times New Roman" w:eastAsia="Times New Roman" w:cs="Times New Roman"/>
              </w:rPr>
              <w:tab/>
            </w:r>
            <w:r>
              <w:rPr>
                <w:rFonts w:ascii="Times New Roman" w:hAnsi="Times New Roman" w:eastAsia="Times New Roman" w:cs="Times New Roman"/>
              </w:rPr>
              <w:t>Orientação para as atividades;</w:t>
            </w: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17"/>
                <w:tab w:val="left" w:pos="818"/>
              </w:tabs>
              <w:spacing w:before="136" w:line="240" w:lineRule="auto"/>
              <w:ind w:left="0" w:hanging="2"/>
              <w:rPr>
                <w:rFonts w:ascii="Times New Roman" w:hAnsi="Times New Roman" w:eastAsia="Times New Roman" w:cs="Times New Roman"/>
              </w:rPr>
            </w:pPr>
            <w:r>
              <w:rPr>
                <w:rFonts w:ascii="Times New Roman" w:hAnsi="Times New Roman" w:eastAsia="Times New Roman" w:cs="Times New Roman"/>
              </w:rPr>
              <w:t>3.</w:t>
            </w:r>
            <w:r>
              <w:rPr>
                <w:rFonts w:ascii="Times New Roman" w:hAnsi="Times New Roman" w:eastAsia="Times New Roman" w:cs="Times New Roman"/>
              </w:rPr>
              <w:tab/>
            </w:r>
            <w:r>
              <w:rPr>
                <w:rFonts w:ascii="Times New Roman" w:hAnsi="Times New Roman" w:eastAsia="Times New Roman" w:cs="Times New Roman"/>
              </w:rPr>
              <w:t>Orientação para o relatório final</w:t>
            </w: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17"/>
                <w:tab w:val="left" w:pos="818"/>
              </w:tabs>
              <w:spacing w:before="136" w:line="240" w:lineRule="auto"/>
              <w:ind w:left="0" w:hanging="2"/>
              <w:rPr>
                <w:rFonts w:ascii="Times New Roman" w:hAnsi="Times New Roman" w:eastAsia="Times New Roman" w:cs="Times New Roman"/>
              </w:rPr>
            </w:pP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17"/>
                <w:tab w:val="left" w:pos="818"/>
              </w:tabs>
              <w:spacing w:before="136" w:line="240" w:lineRule="auto"/>
              <w:ind w:left="0" w:hanging="2"/>
              <w:rPr>
                <w:rFonts w:ascii="Times New Roman" w:hAnsi="Times New Roman" w:eastAsia="Times New Roman" w:cs="Times New Roman"/>
              </w:rPr>
            </w:pPr>
            <w:r>
              <w:rPr>
                <w:rFonts w:ascii="Times New Roman" w:hAnsi="Times New Roman" w:eastAsia="Times New Roman" w:cs="Times New Roman"/>
              </w:rPr>
              <w:t>BIBLIOGRAFIA GERAL</w:t>
            </w: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17"/>
                <w:tab w:val="left" w:pos="818"/>
              </w:tabs>
              <w:spacing w:before="136" w:line="240" w:lineRule="auto"/>
              <w:ind w:left="0" w:hanging="2"/>
              <w:rPr>
                <w:rFonts w:ascii="Times New Roman" w:hAnsi="Times New Roman" w:eastAsia="Times New Roman" w:cs="Times New Roman"/>
              </w:rPr>
            </w:pPr>
            <w:r>
              <w:rPr>
                <w:rFonts w:ascii="Times New Roman" w:hAnsi="Times New Roman" w:eastAsia="Times New Roman" w:cs="Times New Roman"/>
              </w:rPr>
              <w:t xml:space="preserve">ARGAN, Giulio Carlo. A história da arte como história da cidade. São Paulo: Martins Fontes, 1995. p. 73-84; p. 211-224; </w:t>
            </w: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17"/>
                <w:tab w:val="left" w:pos="818"/>
              </w:tabs>
              <w:spacing w:before="136" w:line="240" w:lineRule="auto"/>
              <w:ind w:left="0" w:hanging="2"/>
              <w:rPr>
                <w:rFonts w:ascii="Times New Roman" w:hAnsi="Times New Roman" w:eastAsia="Times New Roman" w:cs="Times New Roman"/>
              </w:rPr>
            </w:pPr>
            <w:r>
              <w:rPr>
                <w:rFonts w:ascii="Times New Roman" w:hAnsi="Times New Roman" w:eastAsia="Times New Roman" w:cs="Times New Roman"/>
              </w:rPr>
              <w:t>Cadernos CEDES, Campinas, vol. 25, n. 67, set./dez. 2005. Disponível em: http://www.cedes.unicamp.br</w:t>
            </w: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17"/>
                <w:tab w:val="left" w:pos="818"/>
              </w:tabs>
              <w:spacing w:before="136" w:line="240" w:lineRule="auto"/>
              <w:ind w:left="0" w:hanging="2"/>
              <w:rPr>
                <w:rFonts w:ascii="Times New Roman" w:hAnsi="Times New Roman" w:eastAsia="Times New Roman" w:cs="Times New Roman"/>
              </w:rPr>
            </w:pPr>
            <w:r>
              <w:rPr>
                <w:rFonts w:ascii="Times New Roman" w:hAnsi="Times New Roman" w:eastAsia="Times New Roman" w:cs="Times New Roman"/>
              </w:rPr>
              <w:t>Cadernos CEDES, Campinas, vol.30, no. 82, set./dez. 2010. Disponível em: http://www.cedes.unicamp.br</w:t>
            </w: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17"/>
                <w:tab w:val="left" w:pos="818"/>
              </w:tabs>
              <w:spacing w:before="136" w:line="240" w:lineRule="auto"/>
              <w:ind w:left="0" w:hanging="2"/>
              <w:rPr>
                <w:rFonts w:ascii="Times New Roman" w:hAnsi="Times New Roman" w:eastAsia="Times New Roman" w:cs="Times New Roman"/>
              </w:rPr>
            </w:pPr>
            <w:r>
              <w:rPr>
                <w:rFonts w:ascii="Times New Roman" w:hAnsi="Times New Roman" w:eastAsia="Times New Roman" w:cs="Times New Roman"/>
              </w:rPr>
              <w:t xml:space="preserve">CHOAY, Françoise. A alegoria do patrimônio. São Paulo: Estação Liberdade; Ed.UNESP, 2001. p. 125-173. </w:t>
            </w: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17"/>
                <w:tab w:val="left" w:pos="818"/>
              </w:tabs>
              <w:spacing w:before="136" w:line="240" w:lineRule="auto"/>
              <w:ind w:left="0" w:hanging="2"/>
              <w:rPr>
                <w:rFonts w:ascii="Times New Roman" w:hAnsi="Times New Roman" w:eastAsia="Times New Roman" w:cs="Times New Roman"/>
              </w:rPr>
            </w:pPr>
            <w:r>
              <w:rPr>
                <w:rFonts w:ascii="Times New Roman" w:hAnsi="Times New Roman" w:eastAsia="Times New Roman" w:cs="Times New Roman"/>
              </w:rPr>
              <w:t>CHUVA, Márcia . Fundando a nação: a representação de um Brasil barroco, moderno e civilizado. Topoi, v. 4, p. 313-333, 2003.BITTENCOURT, Circe Maria Fernandes (org.). O saber histórico na sala de aula. São Paulo:</w:t>
            </w: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17"/>
                <w:tab w:val="left" w:pos="818"/>
              </w:tabs>
              <w:spacing w:before="136" w:line="240" w:lineRule="auto"/>
              <w:ind w:left="0" w:hanging="2"/>
              <w:rPr>
                <w:rFonts w:ascii="Times New Roman" w:hAnsi="Times New Roman" w:eastAsia="Times New Roman" w:cs="Times New Roman"/>
              </w:rPr>
            </w:pPr>
            <w:r>
              <w:rPr>
                <w:rFonts w:ascii="Times New Roman" w:hAnsi="Times New Roman" w:eastAsia="Times New Roman" w:cs="Times New Roman"/>
              </w:rPr>
              <w:t>FONSECA, Selva Guimarães. Didática e prática de ensino de história. – 8ª Ed. – Campinas: Papirus, 2009.</w:t>
            </w: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17"/>
                <w:tab w:val="left" w:pos="818"/>
              </w:tabs>
              <w:spacing w:before="136" w:line="240" w:lineRule="auto"/>
              <w:ind w:left="0" w:hanging="2"/>
              <w:rPr>
                <w:rFonts w:ascii="Times New Roman" w:hAnsi="Times New Roman" w:eastAsia="Times New Roman" w:cs="Times New Roman"/>
              </w:rPr>
            </w:pPr>
            <w:r>
              <w:rPr>
                <w:rFonts w:ascii="Times New Roman" w:hAnsi="Times New Roman" w:eastAsia="Times New Roman" w:cs="Times New Roman"/>
              </w:rPr>
              <w:t>GONÇALVES, José Reginaldo Santos. Autenticidade, Memória e Ideologias Nacionais: O Problema dos Patrimônios Culturais. Estudos Históricos, Rio de Janeiro, Rio de Janeiro, v. 1, n.2, p. 5-14, 1988.</w:t>
            </w: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17"/>
                <w:tab w:val="left" w:pos="818"/>
              </w:tabs>
              <w:spacing w:before="136" w:line="240" w:lineRule="auto"/>
              <w:ind w:left="0" w:hanging="2"/>
              <w:rPr>
                <w:rFonts w:ascii="Times New Roman" w:hAnsi="Times New Roman" w:eastAsia="Times New Roman" w:cs="Times New Roman"/>
              </w:rPr>
            </w:pPr>
            <w:r>
              <w:rPr>
                <w:rFonts w:ascii="Times New Roman" w:hAnsi="Times New Roman" w:eastAsia="Times New Roman" w:cs="Times New Roman"/>
              </w:rPr>
              <w:t>MIRANDA, Sonia Regina de e SIMAN, Lana Mara Castro. Cidade, memória e educação. Juiz de Fora: Ed.UFRJ, 2013. p. 13-37.</w:t>
            </w: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17"/>
                <w:tab w:val="left" w:pos="818"/>
              </w:tabs>
              <w:spacing w:before="136" w:line="240" w:lineRule="auto"/>
              <w:ind w:left="0" w:hanging="2"/>
              <w:rPr>
                <w:rFonts w:ascii="Times New Roman" w:hAnsi="Times New Roman" w:eastAsia="Times New Roman" w:cs="Times New Roman"/>
              </w:rPr>
            </w:pPr>
            <w:r>
              <w:rPr>
                <w:rFonts w:ascii="Times New Roman" w:hAnsi="Times New Roman" w:eastAsia="Times New Roman" w:cs="Times New Roman"/>
              </w:rPr>
              <w:t>PEREIRA, Júnia Sales e ORIÁ, Ricardo. Desafios teórico-metodológicos da relação educação e patrimônio. RESGATE, v. 20, no. 23, p. 161-171, jan./jun. 2012.</w:t>
            </w: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17"/>
                <w:tab w:val="left" w:pos="818"/>
              </w:tabs>
              <w:spacing w:before="136" w:line="240" w:lineRule="auto"/>
              <w:ind w:left="0" w:hanging="2"/>
              <w:rPr>
                <w:rFonts w:ascii="Times New Roman" w:hAnsi="Times New Roman" w:eastAsia="Times New Roman" w:cs="Times New Roman"/>
              </w:rPr>
            </w:pPr>
            <w:r>
              <w:rPr>
                <w:rFonts w:ascii="Times New Roman" w:hAnsi="Times New Roman" w:eastAsia="Times New Roman" w:cs="Times New Roman"/>
              </w:rPr>
              <w:t>ROCHA, Helenice Magalhães, M. e GONTIJO, R. A escrita da história escolar. Memória e historiografia, RJ: FGV editora, 2009, p. 107-126.</w:t>
            </w: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17"/>
                <w:tab w:val="left" w:pos="818"/>
              </w:tabs>
              <w:spacing w:before="136" w:line="240" w:lineRule="auto"/>
              <w:ind w:left="0" w:hanging="2"/>
              <w:rPr>
                <w:rFonts w:ascii="Times New Roman" w:hAnsi="Times New Roman" w:eastAsia="Times New Roman" w:cs="Times New Roman"/>
              </w:rPr>
            </w:pPr>
            <w:r>
              <w:rPr>
                <w:rFonts w:ascii="Times New Roman" w:hAnsi="Times New Roman" w:eastAsia="Times New Roman" w:cs="Times New Roman"/>
              </w:rPr>
              <w:t>SILVA, Marcos &amp; Fonseca, Selva Guimarães. Ensinar história no século XXI; em busca do tempo entendido. – 3ª Ed. – Campinas: Papirus, 2007.</w:t>
            </w: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17"/>
                <w:tab w:val="left" w:pos="818"/>
              </w:tabs>
              <w:spacing w:before="136" w:line="240" w:lineRule="auto"/>
              <w:ind w:left="0" w:hanging="2"/>
              <w:rPr>
                <w:rFonts w:ascii="Times New Roman" w:hAnsi="Times New Roman" w:eastAsia="Times New Roman" w:cs="Times New Roman"/>
              </w:rPr>
            </w:pPr>
            <w:r>
              <w:rPr>
                <w:rFonts w:ascii="Times New Roman" w:hAnsi="Times New Roman" w:eastAsia="Times New Roman" w:cs="Times New Roman"/>
              </w:rPr>
              <w:t>ZABALA, Antoni. A prática educativa - Como ensinar. Porto Alegre: Artes Médicas, 1998.</w:t>
            </w: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17"/>
                <w:tab w:val="left" w:pos="818"/>
              </w:tabs>
              <w:spacing w:before="136" w:line="240" w:lineRule="auto"/>
              <w:ind w:left="0" w:hanging="2"/>
              <w:rPr>
                <w:rFonts w:ascii="Times New Roman" w:hAnsi="Times New Roman" w:eastAsia="Times New Roman" w:cs="Times New Roman"/>
              </w:rPr>
            </w:pP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17"/>
                <w:tab w:val="left" w:pos="818"/>
              </w:tabs>
              <w:spacing w:before="136" w:line="240" w:lineRule="auto"/>
              <w:ind w:left="0" w:hanging="2"/>
              <w:rPr>
                <w:rFonts w:ascii="Times New Roman" w:hAnsi="Times New Roman" w:eastAsia="Times New Roman" w:cs="Times New Roman"/>
              </w:rPr>
            </w:pPr>
            <w:r>
              <w:rPr>
                <w:rFonts w:ascii="Times New Roman" w:hAnsi="Times New Roman" w:eastAsia="Times New Roman" w:cs="Times New Roman"/>
              </w:rPr>
              <w:t>AVALIAÇÃO</w:t>
            </w: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17"/>
                <w:tab w:val="left" w:pos="818"/>
              </w:tabs>
              <w:spacing w:before="136" w:line="240" w:lineRule="auto"/>
              <w:ind w:left="0" w:hanging="2"/>
              <w:rPr>
                <w:rFonts w:ascii="Times New Roman" w:hAnsi="Times New Roman" w:eastAsia="Times New Roman" w:cs="Times New Roman"/>
              </w:rPr>
            </w:pP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17"/>
                <w:tab w:val="left" w:pos="818"/>
              </w:tabs>
              <w:spacing w:before="136" w:line="240" w:lineRule="auto"/>
              <w:ind w:left="0" w:hanging="2"/>
              <w:rPr>
                <w:rFonts w:ascii="Times New Roman" w:hAnsi="Times New Roman" w:eastAsia="Times New Roman" w:cs="Times New Roman"/>
              </w:rPr>
            </w:pPr>
            <w:r>
              <w:rPr>
                <w:rFonts w:ascii="Times New Roman" w:hAnsi="Times New Roman" w:eastAsia="Times New Roman" w:cs="Times New Roman"/>
              </w:rPr>
              <w:t xml:space="preserve">A dinâmica das aulas sustenta-se na exposição dos temas e discussão dos textos indicados. Dessa forma, a participação nas discussões é importantíssima, até porque as leituras deverão ser tratadas nas seguintes atividades: </w:t>
            </w: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17"/>
                <w:tab w:val="left" w:pos="818"/>
              </w:tabs>
              <w:spacing w:before="136" w:line="240" w:lineRule="auto"/>
              <w:ind w:left="0" w:hanging="2"/>
              <w:rPr>
                <w:rFonts w:ascii="Times New Roman" w:hAnsi="Times New Roman" w:eastAsia="Times New Roman" w:cs="Times New Roman"/>
              </w:rPr>
            </w:pPr>
            <w:r>
              <w:rPr>
                <w:rFonts w:ascii="Times New Roman" w:hAnsi="Times New Roman" w:eastAsia="Times New Roman" w:cs="Times New Roman"/>
              </w:rPr>
              <w:t>1.</w:t>
            </w:r>
            <w:r>
              <w:rPr>
                <w:rFonts w:ascii="Times New Roman" w:hAnsi="Times New Roman" w:eastAsia="Times New Roman" w:cs="Times New Roman"/>
              </w:rPr>
              <w:tab/>
            </w:r>
            <w:r>
              <w:rPr>
                <w:rFonts w:ascii="Times New Roman" w:hAnsi="Times New Roman" w:eastAsia="Times New Roman" w:cs="Times New Roman"/>
              </w:rPr>
              <w:t>Prova (30 pontos);</w:t>
            </w: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17"/>
                <w:tab w:val="left" w:pos="818"/>
              </w:tabs>
              <w:spacing w:before="136" w:line="240" w:lineRule="auto"/>
              <w:ind w:left="0" w:hanging="2"/>
              <w:rPr>
                <w:rFonts w:ascii="Times New Roman" w:hAnsi="Times New Roman" w:eastAsia="Times New Roman" w:cs="Times New Roman"/>
              </w:rPr>
            </w:pPr>
            <w:r>
              <w:rPr>
                <w:rFonts w:ascii="Times New Roman" w:hAnsi="Times New Roman" w:eastAsia="Times New Roman" w:cs="Times New Roman"/>
              </w:rPr>
              <w:t>2.</w:t>
            </w:r>
            <w:r>
              <w:rPr>
                <w:rFonts w:ascii="Times New Roman" w:hAnsi="Times New Roman" w:eastAsia="Times New Roman" w:cs="Times New Roman"/>
              </w:rPr>
              <w:tab/>
            </w:r>
            <w:r>
              <w:rPr>
                <w:rFonts w:ascii="Times New Roman" w:hAnsi="Times New Roman" w:eastAsia="Times New Roman" w:cs="Times New Roman"/>
              </w:rPr>
              <w:t>Sequência didática (30)</w:t>
            </w: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17"/>
                <w:tab w:val="left" w:pos="818"/>
              </w:tabs>
              <w:spacing w:before="136" w:line="240" w:lineRule="auto"/>
              <w:ind w:left="0" w:hanging="2"/>
              <w:rPr>
                <w:rFonts w:ascii="Times New Roman" w:hAnsi="Times New Roman" w:eastAsia="Times New Roman" w:cs="Times New Roman"/>
              </w:rPr>
            </w:pPr>
            <w:r>
              <w:rPr>
                <w:rFonts w:ascii="Times New Roman" w:hAnsi="Times New Roman" w:eastAsia="Times New Roman" w:cs="Times New Roman"/>
              </w:rPr>
              <w:t>3.</w:t>
            </w:r>
            <w:r>
              <w:rPr>
                <w:rFonts w:ascii="Times New Roman" w:hAnsi="Times New Roman" w:eastAsia="Times New Roman" w:cs="Times New Roman"/>
              </w:rPr>
              <w:tab/>
            </w:r>
            <w:r>
              <w:rPr>
                <w:rFonts w:ascii="Times New Roman" w:hAnsi="Times New Roman" w:eastAsia="Times New Roman" w:cs="Times New Roman"/>
              </w:rPr>
              <w:t>Relatório final de estágio (40 pontos);</w:t>
            </w: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17"/>
                <w:tab w:val="left" w:pos="818"/>
              </w:tabs>
              <w:spacing w:before="136" w:line="240" w:lineRule="auto"/>
              <w:ind w:left="0" w:hanging="2"/>
              <w:rPr>
                <w:rFonts w:ascii="Times New Roman" w:hAnsi="Times New Roman" w:eastAsia="Times New Roman" w:cs="Times New Roman"/>
              </w:rPr>
            </w:pP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17"/>
                <w:tab w:val="left" w:pos="818"/>
              </w:tabs>
              <w:spacing w:before="136" w:line="240" w:lineRule="auto"/>
              <w:ind w:left="0" w:hanging="2"/>
              <w:rPr>
                <w:rFonts w:ascii="Times New Roman" w:hAnsi="Times New Roman" w:eastAsia="Times New Roman" w:cs="Times New Roman"/>
              </w:rPr>
            </w:pPr>
            <w:r>
              <w:rPr>
                <w:rFonts w:ascii="Times New Roman" w:hAnsi="Times New Roman" w:eastAsia="Times New Roman" w:cs="Times New Roman"/>
              </w:rPr>
              <w:t>Critérios: 1) Prova: clareza da argumentação, uso pertinente da bibliografia, redação; 2) Sequência didática: organização do material, adequação às propostas curriculares das escolas onde se realiza o estágio (considerando os objetivos, conteúdos e o grau de ensino), criatividade, redação do memorial descritivo da atividade (OBS: apresentarei em tempo o roteiro das oficinas); 3) Relatório final: organização do material, qualidade da reflexão sobre a experiência do estágio, redação;</w:t>
            </w: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17"/>
                <w:tab w:val="left" w:pos="818"/>
              </w:tabs>
              <w:spacing w:before="136" w:line="240" w:lineRule="auto"/>
              <w:ind w:left="0" w:hanging="2"/>
              <w:rPr>
                <w:rFonts w:ascii="Times New Roman" w:hAnsi="Times New Roman" w:eastAsia="Times New Roman" w:cs="Times New Roman"/>
              </w:rPr>
            </w:pPr>
          </w:p>
        </w:tc>
      </w:tr>
      <w:tr>
        <w:tblPrEx>
          <w:tblCellMar>
            <w:top w:w="0" w:type="dxa"/>
            <w:left w:w="22" w:type="dxa"/>
            <w:bottom w:w="0" w:type="dxa"/>
            <w:right w:w="5" w:type="dxa"/>
          </w:tblCellMar>
        </w:tblPrEx>
        <w:trPr>
          <w:trHeight w:val="5381" w:hRule="atLeast"/>
        </w:trPr>
        <w:tc>
          <w:tcPr>
            <w:tcW w:w="9163" w:type="dxa"/>
            <w:gridSpan w:val="3"/>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ARGAN, Giulio Carlo. A história da arte como história da cidade. São Paulo: Martins Fontes, 1995. p. 73-84; p. 211-224;</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268" w:hanging="2"/>
              <w:rPr>
                <w:rFonts w:ascii="Times New Roman" w:hAnsi="Times New Roman" w:eastAsia="Times New Roman" w:cs="Times New Roman"/>
                <w:color w:val="000000"/>
              </w:rPr>
            </w:pPr>
            <w:r>
              <w:rPr>
                <w:rFonts w:ascii="Times New Roman" w:hAnsi="Times New Roman" w:eastAsia="Times New Roman" w:cs="Times New Roman"/>
                <w:color w:val="000000"/>
              </w:rPr>
              <w:t>Cadernos CEDES, Campinas, vol. 25, n. 67, set./dez. 2005. Disponível em:</w:t>
            </w:r>
            <w:r>
              <w:fldChar w:fldCharType="begin"/>
            </w:r>
            <w:r>
              <w:instrText xml:space="preserve"> HYPERLINK "http://www.cedes.unicamp.br/" \h </w:instrText>
            </w:r>
            <w:r>
              <w:fldChar w:fldCharType="separate"/>
            </w:r>
            <w:r>
              <w:rPr>
                <w:rFonts w:ascii="Times New Roman" w:hAnsi="Times New Roman" w:eastAsia="Times New Roman" w:cs="Times New Roman"/>
                <w:color w:val="0000FF"/>
                <w:u w:val="single"/>
              </w:rPr>
              <w:t xml:space="preserve"> http://www.cedes.unicamp.br</w:t>
            </w:r>
            <w:r>
              <w:rPr>
                <w:rFonts w:ascii="Times New Roman" w:hAnsi="Times New Roman" w:eastAsia="Times New Roman" w:cs="Times New Roman"/>
                <w:color w:val="0000FF"/>
                <w:u w:val="single"/>
              </w:rPr>
              <w:fldChar w:fldCharType="end"/>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Cadernos CEDES, Campinas, vol.30, no. 82, set./dez. 2010. Disponível em:</w:t>
            </w:r>
            <w:r>
              <w:fldChar w:fldCharType="begin"/>
            </w:r>
            <w:r>
              <w:instrText xml:space="preserve"> HYPERLINK "http://www.cedes.unicamp.br/" \h </w:instrText>
            </w:r>
            <w:r>
              <w:fldChar w:fldCharType="separate"/>
            </w:r>
            <w:r>
              <w:rPr>
                <w:rFonts w:ascii="Times New Roman" w:hAnsi="Times New Roman" w:eastAsia="Times New Roman" w:cs="Times New Roman"/>
                <w:color w:val="0000FF"/>
                <w:u w:val="single"/>
              </w:rPr>
              <w:t xml:space="preserve"> http://www.cedes.unicamp.br</w:t>
            </w:r>
            <w:r>
              <w:rPr>
                <w:rFonts w:ascii="Times New Roman" w:hAnsi="Times New Roman" w:eastAsia="Times New Roman" w:cs="Times New Roman"/>
                <w:color w:val="0000FF"/>
                <w:u w:val="single"/>
              </w:rPr>
              <w:fldChar w:fldCharType="end"/>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CHOAY, Françoise. A alegoria do patrimônio. São Paulo: Estação Liberdade; Ed.UNESP, 2001. p. 125-173.</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CHUVA, Márcia. Fundando a nação: a representação de um Brasil barroco, moderno e civilizado. Topoi, v. 4, p. 313-333, 2003. BITTENCOURT, Circe Maria Fernandes (org.). O saber histórico na sala de aula. São Paulo: FONSECA, Selva Guimarães.</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Didática e prática de ensino de história. – 8ª Ed. – Campinas: Papirus, 2009.</w:t>
            </w:r>
          </w:p>
        </w:tc>
      </w:tr>
      <w:tr>
        <w:tblPrEx>
          <w:tblCellMar>
            <w:top w:w="0" w:type="dxa"/>
            <w:left w:w="22" w:type="dxa"/>
            <w:bottom w:w="0" w:type="dxa"/>
            <w:right w:w="5" w:type="dxa"/>
          </w:tblCellMar>
        </w:tblPrEx>
        <w:trPr>
          <w:trHeight w:val="5795" w:hRule="atLeast"/>
        </w:trPr>
        <w:tc>
          <w:tcPr>
            <w:tcW w:w="9163" w:type="dxa"/>
            <w:gridSpan w:val="3"/>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right="136" w:hanging="2"/>
              <w:rPr>
                <w:rFonts w:ascii="Times New Roman" w:hAnsi="Times New Roman" w:eastAsia="Times New Roman" w:cs="Times New Roman"/>
                <w:color w:val="000000"/>
              </w:rPr>
            </w:pPr>
            <w:r>
              <w:rPr>
                <w:rFonts w:ascii="Times New Roman" w:hAnsi="Times New Roman" w:eastAsia="Times New Roman" w:cs="Times New Roman"/>
              </w:rPr>
              <w:t>GONÇALVES,</w:t>
            </w:r>
            <w:r>
              <w:rPr>
                <w:rFonts w:ascii="Times New Roman" w:hAnsi="Times New Roman" w:eastAsia="Times New Roman" w:cs="Times New Roman"/>
                <w:color w:val="000000"/>
              </w:rPr>
              <w:t xml:space="preserve"> José Reginaldo Santos. Autenticidade, </w:t>
            </w:r>
            <w:r>
              <w:rPr>
                <w:rFonts w:ascii="Times New Roman" w:hAnsi="Times New Roman" w:eastAsia="Times New Roman" w:cs="Times New Roman"/>
              </w:rPr>
              <w:t>Memória</w:t>
            </w:r>
            <w:r>
              <w:rPr>
                <w:rFonts w:ascii="Times New Roman" w:hAnsi="Times New Roman" w:eastAsia="Times New Roman" w:cs="Times New Roman"/>
                <w:color w:val="000000"/>
              </w:rPr>
              <w:t xml:space="preserve"> e Ideologias Nacionais: O Problema dos Patrimônios Culturais. Estudos Históricos, Rio de Janeiro, Rio de Janeiro, v. 1, n.2, p. 5-14, 1988.</w:t>
            </w: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MIRANDA, Sonia Regina de e SIMAN, Lana Mara Castro. Cidade, memória e educação. Juiz de Fora: Ed.UFRJ, 2013. p. 13-37.</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PEREIRA, Júnia Sales e ORIÁ, Ricardo. Desafios teórico-metodológicos da relação educação e patrimônio. RESGATE, v. 20, no. 23, p. 161-171, jan./jun. 2012.</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ROCHA, Helenice., MAGALHAES, M. e GONTIJO, R. A escrita da história escolar. Memória e historiografia, RJ: FGV editora, 2009, p. 107-126.</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SILVA, Marcos &amp; FONSECA, Selva Guimarães. Ensinar história no século XXI; em busca do tempo entendido. – 3ª Ed. – Campinas: Papirus, 2007.</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ZABALA, Antoni. A prática educativa - Como ensinar. Porto Alegre: Artes Médicas,</w:t>
            </w:r>
          </w:p>
          <w:p>
            <w:pPr>
              <w:widowControl w:val="0"/>
              <w:pBdr>
                <w:top w:val="none" w:color="auto" w:sz="0" w:space="0"/>
                <w:left w:val="none" w:color="auto" w:sz="0" w:space="0"/>
                <w:bottom w:val="none" w:color="auto" w:sz="0" w:space="0"/>
                <w:right w:val="none" w:color="auto" w:sz="0" w:space="0"/>
                <w:between w:val="none" w:color="auto" w:sz="0" w:space="0"/>
              </w:pBdr>
              <w:spacing w:before="130"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1998.</w:t>
            </w:r>
          </w:p>
        </w:tc>
      </w:tr>
    </w:tbl>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tbl>
      <w:tblPr>
        <w:tblStyle w:val="508"/>
        <w:tblW w:w="9163" w:type="dxa"/>
        <w:tblInd w:w="-140" w:type="dxa"/>
        <w:tblLayout w:type="fixed"/>
        <w:tblCellMar>
          <w:top w:w="0" w:type="dxa"/>
          <w:left w:w="22" w:type="dxa"/>
          <w:bottom w:w="0" w:type="dxa"/>
          <w:right w:w="5" w:type="dxa"/>
        </w:tblCellMar>
      </w:tblPr>
      <w:tblGrid>
        <w:gridCol w:w="3073"/>
        <w:gridCol w:w="3283"/>
        <w:gridCol w:w="2807"/>
      </w:tblGrid>
      <w:tr>
        <w:tblPrEx>
          <w:tblCellMar>
            <w:top w:w="0" w:type="dxa"/>
            <w:left w:w="22" w:type="dxa"/>
            <w:bottom w:w="0" w:type="dxa"/>
            <w:right w:w="5" w:type="dxa"/>
          </w:tblCellMar>
        </w:tblPrEx>
        <w:trPr>
          <w:trHeight w:val="1655" w:hRule="atLeast"/>
        </w:trPr>
        <w:tc>
          <w:tcPr>
            <w:tcW w:w="6356"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tabs>
                <w:tab w:val="left" w:pos="960"/>
                <w:tab w:val="left" w:pos="1469"/>
                <w:tab w:val="left" w:pos="2960"/>
                <w:tab w:val="left" w:pos="4206"/>
                <w:tab w:val="left" w:pos="4762"/>
              </w:tabs>
              <w:spacing w:line="360" w:lineRule="auto"/>
              <w:ind w:left="0" w:right="76" w:hanging="2"/>
              <w:rPr>
                <w:rFonts w:ascii="Times New Roman" w:hAnsi="Times New Roman" w:eastAsia="Times New Roman" w:cs="Times New Roman"/>
                <w:color w:val="000000"/>
              </w:rPr>
            </w:pPr>
            <w:r>
              <w:rPr>
                <w:rFonts w:ascii="Times New Roman" w:hAnsi="Times New Roman" w:eastAsia="Times New Roman" w:cs="Times New Roman"/>
                <w:color w:val="000000"/>
              </w:rPr>
              <w:t>Nome</w:t>
            </w:r>
            <w:r>
              <w:rPr>
                <w:rFonts w:ascii="Times New Roman" w:hAnsi="Times New Roman" w:eastAsia="Times New Roman" w:cs="Times New Roman"/>
                <w:color w:val="000000"/>
              </w:rPr>
              <w:tab/>
            </w:r>
            <w:r>
              <w:rPr>
                <w:rFonts w:ascii="Times New Roman" w:hAnsi="Times New Roman" w:eastAsia="Times New Roman" w:cs="Times New Roman"/>
                <w:color w:val="000000"/>
              </w:rPr>
              <w:t>do</w:t>
            </w:r>
            <w:r>
              <w:rPr>
                <w:rFonts w:ascii="Times New Roman" w:hAnsi="Times New Roman" w:eastAsia="Times New Roman" w:cs="Times New Roman"/>
                <w:color w:val="000000"/>
              </w:rPr>
              <w:tab/>
            </w:r>
            <w:r>
              <w:rPr>
                <w:rFonts w:ascii="Times New Roman" w:hAnsi="Times New Roman" w:eastAsia="Times New Roman" w:cs="Times New Roman"/>
                <w:color w:val="000000"/>
              </w:rPr>
              <w:t>Componente</w:t>
            </w:r>
            <w:r>
              <w:rPr>
                <w:rFonts w:ascii="Times New Roman" w:hAnsi="Times New Roman" w:eastAsia="Times New Roman" w:cs="Times New Roman"/>
                <w:color w:val="000000"/>
              </w:rPr>
              <w:tab/>
            </w:r>
            <w:r>
              <w:rPr>
                <w:rFonts w:ascii="Times New Roman" w:hAnsi="Times New Roman" w:eastAsia="Times New Roman" w:cs="Times New Roman"/>
                <w:color w:val="000000"/>
              </w:rPr>
              <w:t>Curricular</w:t>
            </w:r>
            <w:r>
              <w:rPr>
                <w:rFonts w:ascii="Times New Roman" w:hAnsi="Times New Roman" w:eastAsia="Times New Roman" w:cs="Times New Roman"/>
                <w:color w:val="000000"/>
              </w:rPr>
              <w:tab/>
            </w:r>
            <w:r>
              <w:rPr>
                <w:rFonts w:ascii="Times New Roman" w:hAnsi="Times New Roman" w:eastAsia="Times New Roman" w:cs="Times New Roman"/>
                <w:color w:val="000000"/>
              </w:rPr>
              <w:t>em</w:t>
            </w:r>
            <w:r>
              <w:rPr>
                <w:rFonts w:ascii="Times New Roman" w:hAnsi="Times New Roman" w:eastAsia="Times New Roman" w:cs="Times New Roman"/>
                <w:color w:val="000000"/>
              </w:rPr>
              <w:tab/>
            </w:r>
            <w:r>
              <w:rPr>
                <w:rFonts w:ascii="Times New Roman" w:hAnsi="Times New Roman" w:eastAsia="Times New Roman" w:cs="Times New Roman"/>
                <w:color w:val="000000"/>
              </w:rPr>
              <w:t>português: Introdução a Libras</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Introduction</w:t>
            </w:r>
          </w:p>
          <w:p>
            <w:pPr>
              <w:widowControl w:val="0"/>
              <w:pBdr>
                <w:top w:val="none" w:color="auto" w:sz="0" w:space="0"/>
                <w:left w:val="none" w:color="auto" w:sz="0" w:space="0"/>
                <w:bottom w:val="none" w:color="auto" w:sz="0" w:space="0"/>
                <w:right w:val="none" w:color="auto" w:sz="0" w:space="0"/>
                <w:between w:val="none" w:color="auto" w:sz="0" w:space="0"/>
              </w:pBdr>
              <w:spacing w:before="128"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to Pounds</w:t>
            </w:r>
          </w:p>
        </w:tc>
        <w:tc>
          <w:tcPr>
            <w:tcW w:w="2807"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LET 966</w:t>
            </w:r>
          </w:p>
        </w:tc>
      </w:tr>
      <w:tr>
        <w:tblPrEx>
          <w:tblCellMar>
            <w:top w:w="0" w:type="dxa"/>
            <w:left w:w="22" w:type="dxa"/>
            <w:bottom w:w="0" w:type="dxa"/>
            <w:right w:w="5" w:type="dxa"/>
          </w:tblCellMar>
        </w:tblPrEx>
        <w:trPr>
          <w:trHeight w:val="830" w:hRule="atLeast"/>
        </w:trPr>
        <w:tc>
          <w:tcPr>
            <w:tcW w:w="6356"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 História-</w:t>
            </w:r>
          </w:p>
          <w:p>
            <w:pPr>
              <w:widowControl w:val="0"/>
              <w:pBdr>
                <w:top w:val="none" w:color="auto" w:sz="0" w:space="0"/>
                <w:left w:val="none" w:color="auto" w:sz="0" w:space="0"/>
                <w:bottom w:val="none" w:color="auto" w:sz="0" w:space="0"/>
                <w:right w:val="none" w:color="auto" w:sz="0" w:space="0"/>
                <w:between w:val="none" w:color="auto" w:sz="0" w:space="0"/>
              </w:pBdr>
              <w:spacing w:before="14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DEHIS</w:t>
            </w:r>
          </w:p>
        </w:tc>
        <w:tc>
          <w:tcPr>
            <w:tcW w:w="2807"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5" w:type="dxa"/>
          </w:tblCellMar>
        </w:tblPrEx>
        <w:trPr>
          <w:trHeight w:val="1243" w:hRule="atLeast"/>
        </w:trPr>
        <w:tc>
          <w:tcPr>
            <w:tcW w:w="3073"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3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53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60 horas</w:t>
            </w:r>
          </w:p>
        </w:tc>
        <w:tc>
          <w:tcPr>
            <w:tcW w:w="3283"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02 horas/aula</w:t>
            </w:r>
          </w:p>
        </w:tc>
        <w:tc>
          <w:tcPr>
            <w:tcW w:w="2807"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 02 horas/aula</w:t>
            </w:r>
          </w:p>
        </w:tc>
      </w:tr>
      <w:tr>
        <w:tblPrEx>
          <w:tblCellMar>
            <w:top w:w="0" w:type="dxa"/>
            <w:left w:w="22" w:type="dxa"/>
            <w:bottom w:w="0" w:type="dxa"/>
            <w:right w:w="5" w:type="dxa"/>
          </w:tblCellMar>
        </w:tblPrEx>
        <w:trPr>
          <w:trHeight w:val="1238" w:hRule="atLeast"/>
        </w:trPr>
        <w:tc>
          <w:tcPr>
            <w:tcW w:w="9163"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19" w:hanging="2"/>
              <w:rPr>
                <w:rFonts w:ascii="Times New Roman" w:hAnsi="Times New Roman" w:eastAsia="Times New Roman" w:cs="Times New Roman"/>
                <w:color w:val="000000"/>
              </w:rPr>
            </w:pPr>
            <w:r>
              <w:rPr>
                <w:rFonts w:ascii="Times New Roman" w:hAnsi="Times New Roman" w:eastAsia="Times New Roman" w:cs="Times New Roman"/>
                <w:color w:val="000000"/>
              </w:rPr>
              <w:t>Ementa: Princípios básicos do funcionamento da Língua Brasileira de Sinais – LIBRAS. Estrutura linguística em contextos comunicativos. Aspectos peculiares da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cultura das pessoas surdas.</w:t>
            </w:r>
          </w:p>
        </w:tc>
      </w:tr>
      <w:tr>
        <w:tblPrEx>
          <w:tblCellMar>
            <w:top w:w="0" w:type="dxa"/>
            <w:left w:w="22" w:type="dxa"/>
            <w:bottom w:w="0" w:type="dxa"/>
            <w:right w:w="5" w:type="dxa"/>
          </w:tblCellMar>
        </w:tblPrEx>
        <w:trPr>
          <w:trHeight w:val="6861" w:hRule="atLeast"/>
        </w:trPr>
        <w:tc>
          <w:tcPr>
            <w:tcW w:w="9163"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 Conceitual</w:t>
            </w:r>
          </w:p>
          <w:p>
            <w:pPr>
              <w:widowControl w:val="0"/>
              <w:pBdr>
                <w:top w:val="none" w:color="auto" w:sz="0" w:space="0"/>
                <w:left w:val="none" w:color="auto" w:sz="0" w:space="0"/>
                <w:bottom w:val="none" w:color="auto" w:sz="0" w:space="0"/>
                <w:right w:val="none" w:color="auto" w:sz="0" w:space="0"/>
                <w:between w:val="none" w:color="auto" w:sz="0" w:space="0"/>
              </w:pBdr>
              <w:spacing w:before="9" w:line="240" w:lineRule="auto"/>
              <w:ind w:left="0" w:hanging="2"/>
              <w:rPr>
                <w:rFonts w:ascii="Times New Roman" w:hAnsi="Times New Roman" w:eastAsia="Times New Roman" w:cs="Times New Roman"/>
                <w:color w:val="000000"/>
              </w:rPr>
            </w:pPr>
          </w:p>
          <w:p>
            <w:pPr>
              <w:widowControl w:val="0"/>
              <w:numPr>
                <w:ilvl w:val="0"/>
                <w:numId w:val="26"/>
              </w:numPr>
              <w:pBdr>
                <w:top w:val="none" w:color="auto" w:sz="0" w:space="0"/>
                <w:left w:val="none" w:color="auto" w:sz="0" w:space="0"/>
                <w:bottom w:val="none" w:color="auto" w:sz="0" w:space="0"/>
                <w:right w:val="none" w:color="auto" w:sz="0" w:space="0"/>
                <w:between w:val="none" w:color="auto" w:sz="0" w:space="0"/>
              </w:pBdr>
              <w:tabs>
                <w:tab w:val="left" w:pos="0"/>
                <w:tab w:val="left" w:pos="429"/>
              </w:tabs>
              <w:spacing w:line="360" w:lineRule="auto"/>
              <w:ind w:left="0" w:right="78" w:hanging="2"/>
              <w:rPr>
                <w:rFonts w:ascii="Times New Roman" w:hAnsi="Times New Roman" w:eastAsia="Times New Roman" w:cs="Times New Roman"/>
                <w:color w:val="000000"/>
              </w:rPr>
            </w:pPr>
            <w:r>
              <w:rPr>
                <w:rFonts w:ascii="Times New Roman" w:hAnsi="Times New Roman" w:eastAsia="Times New Roman" w:cs="Times New Roman"/>
                <w:color w:val="000000"/>
              </w:rPr>
              <w:t>Adquirir conhecimentos básicos de um conjunto lexical envolvendo a variação dialetal da LIBRAS praticada em Minas Gerais;</w:t>
            </w:r>
          </w:p>
          <w:p>
            <w:pPr>
              <w:widowControl w:val="0"/>
              <w:numPr>
                <w:ilvl w:val="0"/>
                <w:numId w:val="26"/>
              </w:numPr>
              <w:pBdr>
                <w:top w:val="none" w:color="auto" w:sz="0" w:space="0"/>
                <w:left w:val="none" w:color="auto" w:sz="0" w:space="0"/>
                <w:bottom w:val="none" w:color="auto" w:sz="0" w:space="0"/>
                <w:right w:val="none" w:color="auto" w:sz="0" w:space="0"/>
                <w:between w:val="none" w:color="auto" w:sz="0" w:space="0"/>
              </w:pBdr>
              <w:tabs>
                <w:tab w:val="left" w:pos="0"/>
                <w:tab w:val="left" w:pos="395"/>
              </w:tabs>
              <w:spacing w:before="3" w:line="360" w:lineRule="auto"/>
              <w:ind w:left="0" w:right="63" w:hanging="2"/>
              <w:rPr>
                <w:rFonts w:ascii="Times New Roman" w:hAnsi="Times New Roman" w:eastAsia="Times New Roman" w:cs="Times New Roman"/>
                <w:color w:val="000000"/>
              </w:rPr>
            </w:pPr>
            <w:r>
              <w:rPr>
                <w:rFonts w:ascii="Times New Roman" w:hAnsi="Times New Roman" w:eastAsia="Times New Roman" w:cs="Times New Roman"/>
                <w:color w:val="000000"/>
              </w:rPr>
              <w:t>Compreender o código gestual do Alfabeto Manual ou escrita manual datilológica e como a mesma é utilizada em situações comunicativas;</w:t>
            </w:r>
          </w:p>
          <w:p>
            <w:pPr>
              <w:widowControl w:val="0"/>
              <w:numPr>
                <w:ilvl w:val="0"/>
                <w:numId w:val="26"/>
              </w:numPr>
              <w:pBdr>
                <w:top w:val="none" w:color="auto" w:sz="0" w:space="0"/>
                <w:left w:val="none" w:color="auto" w:sz="0" w:space="0"/>
                <w:bottom w:val="none" w:color="auto" w:sz="0" w:space="0"/>
                <w:right w:val="none" w:color="auto" w:sz="0" w:space="0"/>
                <w:between w:val="none" w:color="auto" w:sz="0" w:space="0"/>
              </w:pBdr>
              <w:tabs>
                <w:tab w:val="left" w:pos="0"/>
                <w:tab w:val="left" w:pos="400"/>
              </w:tabs>
              <w:spacing w:line="360" w:lineRule="auto"/>
              <w:ind w:left="0" w:right="71" w:hanging="2"/>
              <w:rPr>
                <w:rFonts w:ascii="Times New Roman" w:hAnsi="Times New Roman" w:eastAsia="Times New Roman" w:cs="Times New Roman"/>
                <w:color w:val="000000"/>
              </w:rPr>
            </w:pPr>
            <w:r>
              <w:rPr>
                <w:rFonts w:ascii="Times New Roman" w:hAnsi="Times New Roman" w:eastAsia="Times New Roman" w:cs="Times New Roman"/>
                <w:color w:val="000000"/>
              </w:rPr>
              <w:t>Adquirir noções básicas da organização fonológica da LIBRAS, expressas através dos Parâmetros Fonológicos da LIBRAS;</w:t>
            </w:r>
          </w:p>
          <w:p>
            <w:pPr>
              <w:widowControl w:val="0"/>
              <w:numPr>
                <w:ilvl w:val="0"/>
                <w:numId w:val="26"/>
              </w:numPr>
              <w:pBdr>
                <w:top w:val="none" w:color="auto" w:sz="0" w:space="0"/>
                <w:left w:val="none" w:color="auto" w:sz="0" w:space="0"/>
                <w:bottom w:val="none" w:color="auto" w:sz="0" w:space="0"/>
                <w:right w:val="none" w:color="auto" w:sz="0" w:space="0"/>
                <w:between w:val="none" w:color="auto" w:sz="0" w:space="0"/>
              </w:pBdr>
              <w:tabs>
                <w:tab w:val="left" w:pos="0"/>
                <w:tab w:val="left" w:pos="362"/>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Adquirir noções básicas da organização morfossintática da LIBRAS;</w:t>
            </w:r>
          </w:p>
          <w:p>
            <w:pPr>
              <w:widowControl w:val="0"/>
              <w:numPr>
                <w:ilvl w:val="0"/>
                <w:numId w:val="26"/>
              </w:numPr>
              <w:pBdr>
                <w:top w:val="none" w:color="auto" w:sz="0" w:space="0"/>
                <w:left w:val="none" w:color="auto" w:sz="0" w:space="0"/>
                <w:bottom w:val="none" w:color="auto" w:sz="0" w:space="0"/>
                <w:right w:val="none" w:color="auto" w:sz="0" w:space="0"/>
                <w:between w:val="none" w:color="auto" w:sz="0" w:space="0"/>
              </w:pBdr>
              <w:tabs>
                <w:tab w:val="left" w:pos="0"/>
                <w:tab w:val="left" w:pos="429"/>
              </w:tabs>
              <w:spacing w:before="137" w:line="360" w:lineRule="auto"/>
              <w:ind w:left="0" w:right="62" w:hanging="2"/>
              <w:rPr>
                <w:rFonts w:ascii="Times New Roman" w:hAnsi="Times New Roman" w:eastAsia="Times New Roman" w:cs="Times New Roman"/>
                <w:color w:val="000000"/>
              </w:rPr>
            </w:pPr>
            <w:r>
              <w:rPr>
                <w:rFonts w:ascii="Times New Roman" w:hAnsi="Times New Roman" w:eastAsia="Times New Roman" w:cs="Times New Roman"/>
                <w:color w:val="000000"/>
              </w:rPr>
              <w:t>Refletir criticamente sobre a concepção da LIBRAS enquanto língua com status linguístico equivalente ao das línguas orais;</w:t>
            </w:r>
          </w:p>
          <w:p>
            <w:pPr>
              <w:widowControl w:val="0"/>
              <w:numPr>
                <w:ilvl w:val="0"/>
                <w:numId w:val="26"/>
              </w:numPr>
              <w:pBdr>
                <w:top w:val="none" w:color="auto" w:sz="0" w:space="0"/>
                <w:left w:val="none" w:color="auto" w:sz="0" w:space="0"/>
                <w:bottom w:val="none" w:color="auto" w:sz="0" w:space="0"/>
                <w:right w:val="none" w:color="auto" w:sz="0" w:space="0"/>
                <w:between w:val="none" w:color="auto" w:sz="0" w:space="0"/>
              </w:pBdr>
              <w:tabs>
                <w:tab w:val="left" w:pos="0"/>
                <w:tab w:val="left" w:pos="367"/>
              </w:tabs>
              <w:spacing w:line="360" w:lineRule="auto"/>
              <w:ind w:left="0" w:right="75" w:hanging="2"/>
              <w:rPr>
                <w:rFonts w:ascii="Times New Roman" w:hAnsi="Times New Roman" w:eastAsia="Times New Roman" w:cs="Times New Roman"/>
                <w:color w:val="000000"/>
              </w:rPr>
            </w:pPr>
            <w:r>
              <w:rPr>
                <w:rFonts w:ascii="Times New Roman" w:hAnsi="Times New Roman" w:eastAsia="Times New Roman" w:cs="Times New Roman"/>
                <w:color w:val="000000"/>
              </w:rPr>
              <w:t>Adquirir noções básicas de dialeto, variação dialetal, idioleto, empréstimo linguístico e regionalismo em LIBRAS.</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 Procedimental</w:t>
            </w:r>
          </w:p>
          <w:p>
            <w:pPr>
              <w:widowControl w:val="0"/>
              <w:pBdr>
                <w:top w:val="none" w:color="auto" w:sz="0" w:space="0"/>
                <w:left w:val="none" w:color="auto" w:sz="0" w:space="0"/>
                <w:bottom w:val="none" w:color="auto" w:sz="0" w:space="0"/>
                <w:right w:val="none" w:color="auto" w:sz="0" w:space="0"/>
                <w:between w:val="none" w:color="auto" w:sz="0" w:space="0"/>
              </w:pBdr>
              <w:spacing w:before="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1) Desenvolver estratégias de leitura, interação e compreensão de textos sinalizados e registrados em vídeos;</w:t>
            </w:r>
          </w:p>
        </w:tc>
      </w:tr>
      <w:tr>
        <w:tblPrEx>
          <w:tblCellMar>
            <w:top w:w="0" w:type="dxa"/>
            <w:left w:w="22" w:type="dxa"/>
            <w:bottom w:w="0" w:type="dxa"/>
            <w:right w:w="5" w:type="dxa"/>
          </w:tblCellMar>
        </w:tblPrEx>
        <w:trPr>
          <w:trHeight w:val="8694" w:hRule="atLeast"/>
        </w:trPr>
        <w:tc>
          <w:tcPr>
            <w:tcW w:w="9163" w:type="dxa"/>
            <w:gridSpan w:val="3"/>
            <w:tcBorders>
              <w:top w:val="single" w:color="000000" w:sz="4" w:space="0"/>
              <w:left w:val="single" w:color="000000" w:sz="18" w:space="0"/>
              <w:bottom w:val="single" w:color="000000" w:sz="4" w:space="0"/>
              <w:right w:val="single" w:color="000000" w:sz="18" w:space="0"/>
            </w:tcBorders>
          </w:tcPr>
          <w:p>
            <w:pPr>
              <w:widowControl w:val="0"/>
              <w:numPr>
                <w:ilvl w:val="0"/>
                <w:numId w:val="27"/>
              </w:numPr>
              <w:pBdr>
                <w:top w:val="none" w:color="auto" w:sz="0" w:space="0"/>
                <w:left w:val="none" w:color="auto" w:sz="0" w:space="0"/>
                <w:bottom w:val="none" w:color="auto" w:sz="0" w:space="0"/>
                <w:right w:val="none" w:color="auto" w:sz="0" w:space="0"/>
                <w:between w:val="none" w:color="auto" w:sz="0" w:space="0"/>
              </w:pBdr>
              <w:tabs>
                <w:tab w:val="left" w:pos="0"/>
                <w:tab w:val="left" w:pos="376"/>
              </w:tabs>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Desenvolver estratégias de conversação em LIBRAS;</w:t>
            </w:r>
          </w:p>
          <w:p>
            <w:pPr>
              <w:widowControl w:val="0"/>
              <w:numPr>
                <w:ilvl w:val="0"/>
                <w:numId w:val="27"/>
              </w:numPr>
              <w:pBdr>
                <w:top w:val="none" w:color="auto" w:sz="0" w:space="0"/>
                <w:left w:val="none" w:color="auto" w:sz="0" w:space="0"/>
                <w:bottom w:val="none" w:color="auto" w:sz="0" w:space="0"/>
                <w:right w:val="none" w:color="auto" w:sz="0" w:space="0"/>
                <w:between w:val="none" w:color="auto" w:sz="0" w:space="0"/>
              </w:pBdr>
              <w:tabs>
                <w:tab w:val="left" w:pos="0"/>
                <w:tab w:val="left" w:pos="376"/>
              </w:tabs>
              <w:spacing w:before="137"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Desenvolver estratégias de conversação que utilizem o Alfabeto Manual;</w:t>
            </w:r>
          </w:p>
          <w:p>
            <w:pPr>
              <w:widowControl w:val="0"/>
              <w:numPr>
                <w:ilvl w:val="0"/>
                <w:numId w:val="27"/>
              </w:numPr>
              <w:pBdr>
                <w:top w:val="none" w:color="auto" w:sz="0" w:space="0"/>
                <w:left w:val="none" w:color="auto" w:sz="0" w:space="0"/>
                <w:bottom w:val="none" w:color="auto" w:sz="0" w:space="0"/>
                <w:right w:val="none" w:color="auto" w:sz="0" w:space="0"/>
                <w:between w:val="none" w:color="auto" w:sz="0" w:space="0"/>
              </w:pBdr>
              <w:tabs>
                <w:tab w:val="left" w:pos="0"/>
                <w:tab w:val="left" w:pos="390"/>
              </w:tabs>
              <w:spacing w:before="137" w:line="360" w:lineRule="auto"/>
              <w:ind w:left="0" w:right="7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Desenvolver a habilidade de reconhecer e produzir enunciados básicos em situações comunicativas envolvendo as seguintes temáticas: saudação, apresentação, escolaridade, organização espacial e temporal;</w:t>
            </w:r>
          </w:p>
          <w:p>
            <w:pPr>
              <w:widowControl w:val="0"/>
              <w:numPr>
                <w:ilvl w:val="0"/>
                <w:numId w:val="27"/>
              </w:numPr>
              <w:pBdr>
                <w:top w:val="none" w:color="auto" w:sz="0" w:space="0"/>
                <w:left w:val="none" w:color="auto" w:sz="0" w:space="0"/>
                <w:bottom w:val="none" w:color="auto" w:sz="0" w:space="0"/>
                <w:right w:val="none" w:color="auto" w:sz="0" w:space="0"/>
                <w:between w:val="none" w:color="auto" w:sz="0" w:space="0"/>
              </w:pBdr>
              <w:tabs>
                <w:tab w:val="left" w:pos="0"/>
                <w:tab w:val="left" w:pos="376"/>
              </w:tabs>
              <w:spacing w:before="2"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Principiar o desenvolvimento da habilidade de produção do sentido em LIBRAS;</w:t>
            </w:r>
          </w:p>
          <w:p>
            <w:pPr>
              <w:widowControl w:val="0"/>
              <w:numPr>
                <w:ilvl w:val="0"/>
                <w:numId w:val="27"/>
              </w:numPr>
              <w:pBdr>
                <w:top w:val="none" w:color="auto" w:sz="0" w:space="0"/>
                <w:left w:val="none" w:color="auto" w:sz="0" w:space="0"/>
                <w:bottom w:val="none" w:color="auto" w:sz="0" w:space="0"/>
                <w:right w:val="none" w:color="auto" w:sz="0" w:space="0"/>
                <w:between w:val="none" w:color="auto" w:sz="0" w:space="0"/>
              </w:pBdr>
              <w:tabs>
                <w:tab w:val="left" w:pos="0"/>
                <w:tab w:val="left" w:pos="376"/>
              </w:tabs>
              <w:spacing w:before="136"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Desenvolver estratégias para aprimorar as habilidades gestuais/motoras e visuais.</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before="3"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C) Atitudinal</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before="10" w:line="240" w:lineRule="auto"/>
              <w:ind w:left="0" w:hanging="2"/>
              <w:rPr>
                <w:rFonts w:ascii="Times New Roman" w:hAnsi="Times New Roman" w:eastAsia="Times New Roman" w:cs="Times New Roman"/>
                <w:color w:val="000000"/>
              </w:rPr>
            </w:pPr>
          </w:p>
          <w:p>
            <w:pPr>
              <w:widowControl w:val="0"/>
              <w:numPr>
                <w:ilvl w:val="0"/>
                <w:numId w:val="28"/>
              </w:numPr>
              <w:pBdr>
                <w:top w:val="none" w:color="auto" w:sz="0" w:space="0"/>
                <w:left w:val="none" w:color="auto" w:sz="0" w:space="0"/>
                <w:bottom w:val="none" w:color="auto" w:sz="0" w:space="0"/>
                <w:right w:val="none" w:color="auto" w:sz="0" w:space="0"/>
                <w:between w:val="none" w:color="auto" w:sz="0" w:space="0"/>
              </w:pBdr>
              <w:tabs>
                <w:tab w:val="left" w:pos="0"/>
                <w:tab w:val="left" w:pos="386"/>
              </w:tabs>
              <w:spacing w:line="360" w:lineRule="auto"/>
              <w:ind w:left="0" w:right="62"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Posicionar-se criticamente enquanto discente que compartilha a sala de aula com um profissional surdo na condição de docente e refletir sobre o respeito e valorização dispensada a este profissional às pessoas surdas em geral;</w:t>
            </w:r>
          </w:p>
          <w:p>
            <w:pPr>
              <w:widowControl w:val="0"/>
              <w:numPr>
                <w:ilvl w:val="0"/>
                <w:numId w:val="28"/>
              </w:numPr>
              <w:pBdr>
                <w:top w:val="none" w:color="auto" w:sz="0" w:space="0"/>
                <w:left w:val="none" w:color="auto" w:sz="0" w:space="0"/>
                <w:bottom w:val="none" w:color="auto" w:sz="0" w:space="0"/>
                <w:right w:val="none" w:color="auto" w:sz="0" w:space="0"/>
                <w:between w:val="none" w:color="auto" w:sz="0" w:space="0"/>
              </w:pBdr>
              <w:tabs>
                <w:tab w:val="left" w:pos="0"/>
                <w:tab w:val="left" w:pos="376"/>
              </w:tabs>
              <w:spacing w:before="1"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Refletir criticamente sobre a pessoa surda como sujeito da enunciação;</w:t>
            </w:r>
          </w:p>
          <w:p>
            <w:pPr>
              <w:widowControl w:val="0"/>
              <w:numPr>
                <w:ilvl w:val="0"/>
                <w:numId w:val="28"/>
              </w:numPr>
              <w:pBdr>
                <w:top w:val="none" w:color="auto" w:sz="0" w:space="0"/>
                <w:left w:val="none" w:color="auto" w:sz="0" w:space="0"/>
                <w:bottom w:val="none" w:color="auto" w:sz="0" w:space="0"/>
                <w:right w:val="none" w:color="auto" w:sz="0" w:space="0"/>
                <w:between w:val="none" w:color="auto" w:sz="0" w:space="0"/>
              </w:pBdr>
              <w:tabs>
                <w:tab w:val="left" w:pos="0"/>
                <w:tab w:val="left" w:pos="429"/>
              </w:tabs>
              <w:spacing w:before="137" w:line="360" w:lineRule="auto"/>
              <w:ind w:left="0" w:right="74"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Refletir sobre a importância e o valor linguístico, histórico, social e cultural da LIBRAS;</w:t>
            </w:r>
          </w:p>
          <w:p>
            <w:pPr>
              <w:widowControl w:val="0"/>
              <w:numPr>
                <w:ilvl w:val="0"/>
                <w:numId w:val="28"/>
              </w:numPr>
              <w:pBdr>
                <w:top w:val="none" w:color="auto" w:sz="0" w:space="0"/>
                <w:left w:val="none" w:color="auto" w:sz="0" w:space="0"/>
                <w:bottom w:val="none" w:color="auto" w:sz="0" w:space="0"/>
                <w:right w:val="none" w:color="auto" w:sz="0" w:space="0"/>
                <w:between w:val="none" w:color="auto" w:sz="0" w:space="0"/>
              </w:pBdr>
              <w:tabs>
                <w:tab w:val="left" w:pos="0"/>
                <w:tab w:val="left" w:pos="386"/>
              </w:tabs>
              <w:spacing w:before="3" w:line="360" w:lineRule="auto"/>
              <w:ind w:left="0" w:right="59" w:hanging="2"/>
              <w:rPr>
                <w:rFonts w:ascii="Times New Roman" w:hAnsi="Times New Roman" w:eastAsia="Times New Roman" w:cs="Times New Roman"/>
                <w:color w:val="000000"/>
              </w:rPr>
            </w:pPr>
            <w:r>
              <w:rPr>
                <w:rFonts w:ascii="Times New Roman" w:hAnsi="Times New Roman" w:eastAsia="Times New Roman" w:cs="Times New Roman"/>
                <w:color w:val="000000"/>
              </w:rPr>
              <w:t>Refletir criticamente sobre o respeito e valorização dos hábitos, costumes e tradições culturais das pessoas surdas;</w:t>
            </w:r>
          </w:p>
          <w:p>
            <w:pPr>
              <w:widowControl w:val="0"/>
              <w:numPr>
                <w:ilvl w:val="0"/>
                <w:numId w:val="28"/>
              </w:numPr>
              <w:pBdr>
                <w:top w:val="none" w:color="auto" w:sz="0" w:space="0"/>
                <w:left w:val="none" w:color="auto" w:sz="0" w:space="0"/>
                <w:bottom w:val="none" w:color="auto" w:sz="0" w:space="0"/>
                <w:right w:val="none" w:color="auto" w:sz="0" w:space="0"/>
                <w:between w:val="none" w:color="auto" w:sz="0" w:space="0"/>
              </w:pBdr>
              <w:tabs>
                <w:tab w:val="left" w:pos="0"/>
                <w:tab w:val="left" w:pos="376"/>
              </w:tabs>
              <w:spacing w:line="360" w:lineRule="auto"/>
              <w:ind w:left="0" w:right="234" w:hanging="2"/>
              <w:rPr>
                <w:rFonts w:ascii="Times New Roman" w:hAnsi="Times New Roman" w:eastAsia="Times New Roman" w:cs="Times New Roman"/>
                <w:color w:val="000000"/>
              </w:rPr>
            </w:pPr>
            <w:r>
              <w:rPr>
                <w:rFonts w:ascii="Times New Roman" w:hAnsi="Times New Roman" w:eastAsia="Times New Roman" w:cs="Times New Roman"/>
                <w:color w:val="000000"/>
              </w:rPr>
              <w:t>Reconhecer-se como sujeito que está a desenvolver enunciados em uma modalidade de língua gestual-visual, portanto diferente da modalidade oral que é utilizada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predominantemente na sociedade.</w:t>
            </w:r>
          </w:p>
        </w:tc>
      </w:tr>
      <w:tr>
        <w:tblPrEx>
          <w:tblCellMar>
            <w:top w:w="0" w:type="dxa"/>
            <w:left w:w="22" w:type="dxa"/>
            <w:bottom w:w="0" w:type="dxa"/>
            <w:right w:w="5" w:type="dxa"/>
          </w:tblCellMar>
        </w:tblPrEx>
        <w:trPr>
          <w:trHeight w:val="3255" w:hRule="atLeast"/>
        </w:trPr>
        <w:tc>
          <w:tcPr>
            <w:tcW w:w="9163"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right="63"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GESSER, Audrei. Libras?: que língua é essa? : crenças e preconceitos em torno da língua de sinais e da realidade surda. São Paulo: Parábola, 2009. 87 p. ISBN 9788579340017</w:t>
            </w: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right="611" w:hanging="2"/>
              <w:rPr>
                <w:rFonts w:ascii="Times New Roman" w:hAnsi="Times New Roman" w:eastAsia="Times New Roman" w:cs="Times New Roman"/>
                <w:color w:val="000000"/>
              </w:rPr>
            </w:pPr>
            <w:r>
              <w:rPr>
                <w:rFonts w:ascii="Times New Roman" w:hAnsi="Times New Roman" w:eastAsia="Times New Roman" w:cs="Times New Roman"/>
                <w:color w:val="000000"/>
              </w:rPr>
              <w:t>QUADROS, Ronice Müller de; KARNOPP, Lodenir. Língua de sinais brasileira: estudos linguísticos. Porto Alegre: Artmed, 2004. xi, 221 p. ISBN 8536303085 SOUZA, Tanya Amara Felipe de. Libras em Contexto: livro do estudante/cursista. Programa Nacional de Apoio à Educação do Surdo. MEC/SEESP,2001.</w:t>
            </w: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right="611" w:hanging="2"/>
              <w:rPr>
                <w:rFonts w:ascii="Times New Roman" w:hAnsi="Times New Roman" w:eastAsia="Times New Roman" w:cs="Times New Roman"/>
                <w:color w:val="000000"/>
              </w:rPr>
            </w:pPr>
          </w:p>
        </w:tc>
      </w:tr>
      <w:tr>
        <w:tblPrEx>
          <w:tblCellMar>
            <w:top w:w="0" w:type="dxa"/>
            <w:left w:w="22" w:type="dxa"/>
            <w:bottom w:w="0" w:type="dxa"/>
            <w:right w:w="5" w:type="dxa"/>
          </w:tblCellMar>
        </w:tblPrEx>
        <w:trPr>
          <w:trHeight w:val="829" w:hRule="atLeast"/>
        </w:trPr>
        <w:tc>
          <w:tcPr>
            <w:tcW w:w="9163"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BRITO, Lucinda Ferreira. Por uma gramática das línguas de sinais. Rio de Janeiro: Tempo Brasileiro, 1995. 273p. ISBN 8528200698.</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CAPOVILLA, Fernando César; RAPHAEL, Walkiria Duarte. Dicionário enciclopédico ilustrado trilíngüe da língua de sinais brasileira. 2. ed. São Paulo: Edusp, Imprensa Oficial, 2001. 2v. (1620p.) ISBN 8531406684 (v.1) 8531406692 (v.2).</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SACKS, Oliver W. Vendo vozes: uma jornada pelo mundo dos surdos. São Paulo: Companhia das Letras, 1998. 196p. ISBN 8571647798.</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SKLIAR, Carlos (Org.). A surdez: um olhar sobre as diferenças. 3. ed. Porto Alegre: Mediação, 2005. 192 p. ISBN 8587063170.</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STROBEL, Karin. As Imagens do outro sobre a cultura surda. 2. ed. rev. Florianópolis: Editora da UFSC, 2008. 133 p. ISBN 9788532804587</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tabs>
          <w:tab w:val="left" w:pos="6540"/>
        </w:tabs>
        <w:ind w:left="0" w:hanging="2"/>
        <w:rPr>
          <w:rFonts w:ascii="Times New Roman" w:hAnsi="Times New Roman" w:eastAsia="Times New Roman" w:cs="Times New Roman"/>
        </w:rPr>
      </w:pPr>
    </w:p>
    <w:tbl>
      <w:tblPr>
        <w:tblStyle w:val="509"/>
        <w:tblW w:w="9163" w:type="dxa"/>
        <w:tblInd w:w="-140" w:type="dxa"/>
        <w:tblLayout w:type="fixed"/>
        <w:tblCellMar>
          <w:top w:w="0" w:type="dxa"/>
          <w:left w:w="22" w:type="dxa"/>
          <w:bottom w:w="0" w:type="dxa"/>
          <w:right w:w="5" w:type="dxa"/>
        </w:tblCellMar>
      </w:tblPr>
      <w:tblGrid>
        <w:gridCol w:w="3009"/>
        <w:gridCol w:w="3347"/>
        <w:gridCol w:w="2807"/>
      </w:tblGrid>
      <w:tr>
        <w:tblPrEx>
          <w:tblCellMar>
            <w:top w:w="0" w:type="dxa"/>
            <w:left w:w="22" w:type="dxa"/>
            <w:bottom w:w="0" w:type="dxa"/>
            <w:right w:w="5" w:type="dxa"/>
          </w:tblCellMar>
        </w:tblPrEx>
        <w:trPr>
          <w:trHeight w:val="1900" w:hRule="atLeast"/>
        </w:trPr>
        <w:tc>
          <w:tcPr>
            <w:tcW w:w="6356"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tabs>
                <w:tab w:val="left" w:pos="932"/>
                <w:tab w:val="left" w:pos="1411"/>
                <w:tab w:val="left" w:pos="2874"/>
                <w:tab w:val="left" w:pos="4092"/>
                <w:tab w:val="left" w:pos="4620"/>
              </w:tabs>
              <w:spacing w:line="360" w:lineRule="auto"/>
              <w:ind w:left="0" w:right="87" w:hanging="2"/>
              <w:rPr>
                <w:rFonts w:ascii="Times New Roman" w:hAnsi="Times New Roman" w:eastAsia="Times New Roman" w:cs="Times New Roman"/>
                <w:color w:val="000000"/>
              </w:rPr>
            </w:pPr>
            <w:r>
              <w:rPr>
                <w:rFonts w:ascii="Times New Roman" w:hAnsi="Times New Roman" w:eastAsia="Times New Roman" w:cs="Times New Roman"/>
                <w:color w:val="000000"/>
              </w:rPr>
              <w:t>Nome</w:t>
            </w:r>
            <w:r>
              <w:rPr>
                <w:rFonts w:ascii="Times New Roman" w:hAnsi="Times New Roman" w:eastAsia="Times New Roman" w:cs="Times New Roman"/>
                <w:color w:val="000000"/>
              </w:rPr>
              <w:tab/>
            </w:r>
            <w:r>
              <w:rPr>
                <w:rFonts w:ascii="Times New Roman" w:hAnsi="Times New Roman" w:eastAsia="Times New Roman" w:cs="Times New Roman"/>
                <w:color w:val="000000"/>
              </w:rPr>
              <w:t>do</w:t>
            </w:r>
            <w:r>
              <w:rPr>
                <w:rFonts w:ascii="Times New Roman" w:hAnsi="Times New Roman" w:eastAsia="Times New Roman" w:cs="Times New Roman"/>
                <w:color w:val="000000"/>
              </w:rPr>
              <w:tab/>
            </w:r>
            <w:r>
              <w:rPr>
                <w:rFonts w:ascii="Times New Roman" w:hAnsi="Times New Roman" w:eastAsia="Times New Roman" w:cs="Times New Roman"/>
                <w:color w:val="000000"/>
              </w:rPr>
              <w:t>Componente</w:t>
            </w:r>
            <w:r>
              <w:rPr>
                <w:rFonts w:ascii="Times New Roman" w:hAnsi="Times New Roman" w:eastAsia="Times New Roman" w:cs="Times New Roman"/>
                <w:color w:val="000000"/>
              </w:rPr>
              <w:tab/>
            </w:r>
            <w:r>
              <w:rPr>
                <w:rFonts w:ascii="Times New Roman" w:hAnsi="Times New Roman" w:eastAsia="Times New Roman" w:cs="Times New Roman"/>
                <w:color w:val="000000"/>
              </w:rPr>
              <w:t>Curricular</w:t>
            </w:r>
            <w:r>
              <w:rPr>
                <w:rFonts w:ascii="Times New Roman" w:hAnsi="Times New Roman" w:eastAsia="Times New Roman" w:cs="Times New Roman"/>
                <w:color w:val="000000"/>
              </w:rPr>
              <w:tab/>
            </w:r>
            <w:r>
              <w:rPr>
                <w:rFonts w:ascii="Times New Roman" w:hAnsi="Times New Roman" w:eastAsia="Times New Roman" w:cs="Times New Roman"/>
                <w:color w:val="000000"/>
              </w:rPr>
              <w:t>em</w:t>
            </w:r>
            <w:r>
              <w:rPr>
                <w:rFonts w:ascii="Times New Roman" w:hAnsi="Times New Roman" w:eastAsia="Times New Roman" w:cs="Times New Roman"/>
                <w:color w:val="000000"/>
              </w:rPr>
              <w:tab/>
            </w:r>
            <w:r>
              <w:rPr>
                <w:rFonts w:ascii="Times New Roman" w:hAnsi="Times New Roman" w:eastAsia="Times New Roman" w:cs="Times New Roman"/>
                <w:color w:val="000000"/>
              </w:rPr>
              <w:t>português: Trabalho de Conclusão de Curso I</w:t>
            </w:r>
          </w:p>
          <w:p>
            <w:pPr>
              <w:widowControl w:val="0"/>
              <w:pBdr>
                <w:top w:val="none" w:color="auto" w:sz="0" w:space="0"/>
                <w:left w:val="none" w:color="auto" w:sz="0" w:space="0"/>
                <w:bottom w:val="none" w:color="auto" w:sz="0" w:space="0"/>
                <w:right w:val="none" w:color="auto" w:sz="0" w:space="0"/>
                <w:between w:val="none" w:color="auto" w:sz="0" w:space="0"/>
              </w:pBdr>
              <w:spacing w:before="100"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Course Completion Work II</w:t>
            </w:r>
          </w:p>
        </w:tc>
        <w:tc>
          <w:tcPr>
            <w:tcW w:w="2807"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HIS082</w:t>
            </w:r>
          </w:p>
        </w:tc>
      </w:tr>
      <w:tr>
        <w:tblPrEx>
          <w:tblCellMar>
            <w:top w:w="0" w:type="dxa"/>
            <w:left w:w="22" w:type="dxa"/>
            <w:bottom w:w="0" w:type="dxa"/>
            <w:right w:w="5" w:type="dxa"/>
          </w:tblCellMar>
        </w:tblPrEx>
        <w:trPr>
          <w:trHeight w:val="825" w:hRule="atLeast"/>
        </w:trPr>
        <w:tc>
          <w:tcPr>
            <w:tcW w:w="6356"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História - DEHIS</w:t>
            </w:r>
          </w:p>
        </w:tc>
        <w:tc>
          <w:tcPr>
            <w:tcW w:w="2807"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5" w:type="dxa"/>
          </w:tblCellMar>
        </w:tblPrEx>
        <w:trPr>
          <w:trHeight w:val="1242" w:hRule="atLeast"/>
        </w:trPr>
        <w:tc>
          <w:tcPr>
            <w:tcW w:w="3009"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6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semestral 90 horas</w:t>
            </w:r>
          </w:p>
        </w:tc>
        <w:tc>
          <w:tcPr>
            <w:tcW w:w="3347"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00 horas/aula</w:t>
            </w:r>
          </w:p>
        </w:tc>
        <w:tc>
          <w:tcPr>
            <w:tcW w:w="2807"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 6 horas/aula</w:t>
            </w:r>
          </w:p>
        </w:tc>
      </w:tr>
      <w:tr>
        <w:tblPrEx>
          <w:tblCellMar>
            <w:top w:w="0" w:type="dxa"/>
            <w:left w:w="22" w:type="dxa"/>
            <w:bottom w:w="0" w:type="dxa"/>
            <w:right w:w="5" w:type="dxa"/>
          </w:tblCellMar>
        </w:tblPrEx>
        <w:trPr>
          <w:trHeight w:val="1104" w:hRule="atLeast"/>
        </w:trPr>
        <w:tc>
          <w:tcPr>
            <w:tcW w:w="9163"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64"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Orientações para elaboração da pesquisa do Trabalho de Conclusão de Curso por meio da integração curricular e articulação de conhecimentos teóricos e práticos das disciplinas do curso.</w:t>
            </w:r>
          </w:p>
        </w:tc>
      </w:tr>
      <w:tr>
        <w:tblPrEx>
          <w:tblCellMar>
            <w:top w:w="0" w:type="dxa"/>
            <w:left w:w="22" w:type="dxa"/>
            <w:bottom w:w="0" w:type="dxa"/>
            <w:right w:w="5" w:type="dxa"/>
          </w:tblCellMar>
        </w:tblPrEx>
        <w:trPr>
          <w:trHeight w:val="1795" w:hRule="atLeast"/>
        </w:trPr>
        <w:tc>
          <w:tcPr>
            <w:tcW w:w="9163"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numPr>
                <w:ilvl w:val="0"/>
                <w:numId w:val="29"/>
              </w:numPr>
              <w:pBdr>
                <w:top w:val="none" w:color="auto" w:sz="0" w:space="0"/>
                <w:left w:val="none" w:color="auto" w:sz="0" w:space="0"/>
                <w:bottom w:val="none" w:color="auto" w:sz="0" w:space="0"/>
                <w:right w:val="none" w:color="auto" w:sz="0" w:space="0"/>
                <w:between w:val="none" w:color="auto" w:sz="0" w:space="0"/>
              </w:pBdr>
              <w:tabs>
                <w:tab w:val="left" w:pos="0"/>
                <w:tab w:val="left" w:pos="1063"/>
              </w:tabs>
              <w:spacing w:line="240" w:lineRule="auto"/>
              <w:ind w:left="0" w:right="57" w:hanging="2"/>
              <w:rPr>
                <w:rFonts w:ascii="Times New Roman" w:hAnsi="Times New Roman" w:eastAsia="Times New Roman" w:cs="Times New Roman"/>
                <w:color w:val="000000"/>
              </w:rPr>
            </w:pPr>
            <w:r>
              <w:rPr>
                <w:rFonts w:ascii="Times New Roman" w:hAnsi="Times New Roman" w:eastAsia="Times New Roman" w:cs="Times New Roman"/>
                <w:color w:val="000000"/>
              </w:rPr>
              <w:t>Elaboração de projeto de trabalho de conclusão de curso de História Licenciatura</w:t>
            </w:r>
          </w:p>
          <w:p>
            <w:pPr>
              <w:widowControl w:val="0"/>
              <w:numPr>
                <w:ilvl w:val="0"/>
                <w:numId w:val="29"/>
              </w:numPr>
              <w:pBdr>
                <w:top w:val="none" w:color="auto" w:sz="0" w:space="0"/>
                <w:left w:val="none" w:color="auto" w:sz="0" w:space="0"/>
                <w:bottom w:val="none" w:color="auto" w:sz="0" w:space="0"/>
                <w:right w:val="none" w:color="auto" w:sz="0" w:space="0"/>
                <w:between w:val="none" w:color="auto" w:sz="0" w:space="0"/>
              </w:pBdr>
              <w:tabs>
                <w:tab w:val="left" w:pos="0"/>
                <w:tab w:val="left" w:pos="976"/>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Desenvolvimento da pesquisa.</w:t>
            </w:r>
          </w:p>
        </w:tc>
      </w:tr>
      <w:tr>
        <w:tblPrEx>
          <w:tblCellMar>
            <w:top w:w="0" w:type="dxa"/>
            <w:left w:w="22" w:type="dxa"/>
            <w:bottom w:w="0" w:type="dxa"/>
            <w:right w:w="5" w:type="dxa"/>
          </w:tblCellMar>
        </w:tblPrEx>
        <w:trPr>
          <w:trHeight w:val="3586" w:hRule="atLeast"/>
        </w:trPr>
        <w:tc>
          <w:tcPr>
            <w:tcW w:w="9163" w:type="dxa"/>
            <w:gridSpan w:val="3"/>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before="2" w:line="360" w:lineRule="auto"/>
              <w:ind w:left="0" w:right="67"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BAUER, Martin W; GASKELL, George; GUARESCHI, Pedrinho A. Pesquisa qualitativa com texto, imagem e som: um manual prático. 3. ed. Petrópolis: Vozes 2004.</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23"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ECO, Umberto. Como se faz uma tese. 10. ed. São Paulo: Perspectiva 1993.</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23"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FRANÇA, Júnia Lessa; VASCONCELLOS, Ana Cristina de. Manual para normalização de publicações técnico-científicas. 9. ed. Belo Horizonte: UFMG, 2013.</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1"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LAKATOS, Eva Maria; MARCONI, Marina de Andrade. Fundamentos de metodologia científica. 6. ed. São Paulo, SP: Atlas, 2005. 315 p. ISBN 8522440158. PÁDUA, Elisabete Matallo M. Metodologia da Pesquisa. Abordagem teórico-prática. Campinas, São Paulo: Papirus, 2000.</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1"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MINAYO, Maria C. de Souza (org.) Pesquisa Social. Teoria, Método e Criatividade. Petrópolis, Rio de Janeiro: Vozes, 2000.</w:t>
            </w:r>
          </w:p>
        </w:tc>
      </w:tr>
      <w:tr>
        <w:tblPrEx>
          <w:tblCellMar>
            <w:top w:w="0" w:type="dxa"/>
            <w:left w:w="22" w:type="dxa"/>
            <w:bottom w:w="0" w:type="dxa"/>
            <w:right w:w="5" w:type="dxa"/>
          </w:tblCellMar>
        </w:tblPrEx>
        <w:trPr>
          <w:trHeight w:val="3869" w:hRule="atLeast"/>
        </w:trPr>
        <w:tc>
          <w:tcPr>
            <w:tcW w:w="9163" w:type="dxa"/>
            <w:gridSpan w:val="3"/>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21"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ANDRÉ , Marli E. D. A. (Org.) O papel da pesquisa na formação e na prática dos professores. 2. ed. Campinas, SP: Papirus, 2002.</w:t>
            </w:r>
          </w:p>
          <w:p>
            <w:pPr>
              <w:widowControl w:val="0"/>
              <w:pBdr>
                <w:top w:val="none" w:color="auto" w:sz="0" w:space="0"/>
                <w:left w:val="none" w:color="auto" w:sz="0" w:space="0"/>
                <w:bottom w:val="none" w:color="auto" w:sz="0" w:space="0"/>
                <w:right w:val="none" w:color="auto" w:sz="0" w:space="0"/>
                <w:between w:val="none" w:color="auto" w:sz="0" w:space="0"/>
              </w:pBdr>
              <w:spacing w:before="4" w:line="360" w:lineRule="auto"/>
              <w:ind w:left="0" w:right="435"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FAZENDA, Ivani (org.) Metodologia da Pesquisa Educacional. São Paulo: Cortez, 1997.</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LÜDKE, Menga e ANDRÉ, Marli E. D. A. Pesquisa em educação: abordagens qualitativas.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São Paulo: Epu, 1986.</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MINAYO, Maria C. de Souza (org.) Pesquisa Social. Teoria, Método e Criatividade. Petrópolis, Rio de Janeiro: Vozes, 2000.</w:t>
            </w:r>
          </w:p>
          <w:p>
            <w:pPr>
              <w:widowControl w:val="0"/>
              <w:pBdr>
                <w:top w:val="none" w:color="auto" w:sz="0" w:space="0"/>
                <w:left w:val="none" w:color="auto" w:sz="0" w:space="0"/>
                <w:bottom w:val="none" w:color="auto" w:sz="0" w:space="0"/>
                <w:right w:val="none" w:color="auto" w:sz="0" w:space="0"/>
                <w:between w:val="none" w:color="auto" w:sz="0" w:space="0"/>
              </w:pBdr>
              <w:spacing w:before="3" w:line="360" w:lineRule="auto"/>
              <w:ind w:left="0" w:right="10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POUPART, J. et al. A pesquisa qualitativa: enfoques epistemológicos e metodológicos. Trad. Ana Cristina Arantes Nasser. 2. ed. Petrópolis, RJ: Vozes, 2010.</w:t>
            </w:r>
          </w:p>
        </w:tc>
      </w:tr>
    </w:tbl>
    <w:p>
      <w:pPr>
        <w:ind w:left="0" w:hanging="2"/>
        <w:rPr>
          <w:rFonts w:ascii="Times New Roman" w:hAnsi="Times New Roman" w:cs="Times New Roman"/>
        </w:rPr>
        <w:sectPr>
          <w:headerReference r:id="rId16" w:type="first"/>
          <w:footerReference r:id="rId19" w:type="first"/>
          <w:headerReference r:id="rId14" w:type="default"/>
          <w:footerReference r:id="rId17" w:type="default"/>
          <w:headerReference r:id="rId15" w:type="even"/>
          <w:footerReference r:id="rId18" w:type="even"/>
          <w:pgSz w:w="11906" w:h="16838"/>
          <w:pgMar w:top="1840" w:right="260" w:bottom="1180" w:left="1420" w:header="571" w:footer="935" w:gutter="0"/>
          <w:cols w:space="720" w:num="1"/>
        </w:sectPr>
      </w:pPr>
    </w:p>
    <w:p>
      <w:pPr>
        <w:spacing w:before="90"/>
        <w:ind w:left="0" w:hanging="2"/>
        <w:rPr>
          <w:rFonts w:ascii="Times New Roman" w:hAnsi="Times New Roman" w:cs="Times New Roman"/>
        </w:rPr>
      </w:pPr>
      <w:r>
        <w:rPr>
          <w:rFonts w:ascii="Times New Roman" w:hAnsi="Times New Roman" w:eastAsia="Times New Roman" w:cs="Times New Roman"/>
          <w:b/>
        </w:rPr>
        <w:t>8° Período</w:t>
      </w:r>
    </w:p>
    <w:p>
      <w:pPr>
        <w:spacing w:before="90"/>
        <w:ind w:left="0" w:hanging="2"/>
        <w:rPr>
          <w:rFonts w:ascii="Times New Roman" w:hAnsi="Times New Roman" w:eastAsia="Times New Roman" w:cs="Times New Roman"/>
        </w:rPr>
      </w:pPr>
    </w:p>
    <w:tbl>
      <w:tblPr>
        <w:tblStyle w:val="510"/>
        <w:tblW w:w="9163" w:type="dxa"/>
        <w:tblInd w:w="-140" w:type="dxa"/>
        <w:tblLayout w:type="fixed"/>
        <w:tblCellMar>
          <w:top w:w="0" w:type="dxa"/>
          <w:left w:w="22" w:type="dxa"/>
          <w:bottom w:w="0" w:type="dxa"/>
          <w:right w:w="5" w:type="dxa"/>
        </w:tblCellMar>
      </w:tblPr>
      <w:tblGrid>
        <w:gridCol w:w="3010"/>
        <w:gridCol w:w="3205"/>
        <w:gridCol w:w="2948"/>
      </w:tblGrid>
      <w:tr>
        <w:tblPrEx>
          <w:tblCellMar>
            <w:top w:w="0" w:type="dxa"/>
            <w:left w:w="22" w:type="dxa"/>
            <w:bottom w:w="0" w:type="dxa"/>
            <w:right w:w="5" w:type="dxa"/>
          </w:tblCellMar>
        </w:tblPrEx>
        <w:trPr>
          <w:trHeight w:val="1900" w:hRule="atLeast"/>
        </w:trPr>
        <w:tc>
          <w:tcPr>
            <w:tcW w:w="6215"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tabs>
                <w:tab w:val="left" w:pos="932"/>
                <w:tab w:val="left" w:pos="1411"/>
                <w:tab w:val="left" w:pos="2874"/>
                <w:tab w:val="left" w:pos="4092"/>
                <w:tab w:val="left" w:pos="4620"/>
              </w:tabs>
              <w:spacing w:line="360" w:lineRule="auto"/>
              <w:ind w:left="0" w:right="87" w:hanging="2"/>
              <w:rPr>
                <w:rFonts w:ascii="Times New Roman" w:hAnsi="Times New Roman" w:eastAsia="Times New Roman" w:cs="Times New Roman"/>
                <w:color w:val="000000"/>
              </w:rPr>
            </w:pPr>
            <w:r>
              <w:rPr>
                <w:rFonts w:ascii="Times New Roman" w:hAnsi="Times New Roman" w:eastAsia="Times New Roman" w:cs="Times New Roman"/>
                <w:color w:val="000000"/>
              </w:rPr>
              <w:t>Nome</w:t>
            </w:r>
            <w:r>
              <w:rPr>
                <w:rFonts w:ascii="Times New Roman" w:hAnsi="Times New Roman" w:eastAsia="Times New Roman" w:cs="Times New Roman"/>
                <w:color w:val="000000"/>
              </w:rPr>
              <w:tab/>
            </w:r>
            <w:r>
              <w:rPr>
                <w:rFonts w:ascii="Times New Roman" w:hAnsi="Times New Roman" w:eastAsia="Times New Roman" w:cs="Times New Roman"/>
                <w:color w:val="000000"/>
              </w:rPr>
              <w:t>do</w:t>
            </w:r>
            <w:r>
              <w:rPr>
                <w:rFonts w:ascii="Times New Roman" w:hAnsi="Times New Roman" w:eastAsia="Times New Roman" w:cs="Times New Roman"/>
                <w:color w:val="000000"/>
              </w:rPr>
              <w:tab/>
            </w:r>
            <w:r>
              <w:rPr>
                <w:rFonts w:ascii="Times New Roman" w:hAnsi="Times New Roman" w:eastAsia="Times New Roman" w:cs="Times New Roman"/>
                <w:color w:val="000000"/>
              </w:rPr>
              <w:t>Componente</w:t>
            </w:r>
            <w:r>
              <w:rPr>
                <w:rFonts w:ascii="Times New Roman" w:hAnsi="Times New Roman" w:eastAsia="Times New Roman" w:cs="Times New Roman"/>
                <w:color w:val="000000"/>
              </w:rPr>
              <w:tab/>
            </w:r>
            <w:r>
              <w:rPr>
                <w:rFonts w:ascii="Times New Roman" w:hAnsi="Times New Roman" w:eastAsia="Times New Roman" w:cs="Times New Roman"/>
                <w:color w:val="000000"/>
              </w:rPr>
              <w:t>Curricular</w:t>
            </w:r>
            <w:r>
              <w:rPr>
                <w:rFonts w:ascii="Times New Roman" w:hAnsi="Times New Roman" w:eastAsia="Times New Roman" w:cs="Times New Roman"/>
                <w:color w:val="000000"/>
              </w:rPr>
              <w:tab/>
            </w:r>
            <w:r>
              <w:rPr>
                <w:rFonts w:ascii="Times New Roman" w:hAnsi="Times New Roman" w:eastAsia="Times New Roman" w:cs="Times New Roman"/>
                <w:color w:val="000000"/>
              </w:rPr>
              <w:t>em</w:t>
            </w:r>
            <w:r>
              <w:rPr>
                <w:rFonts w:ascii="Times New Roman" w:hAnsi="Times New Roman" w:eastAsia="Times New Roman" w:cs="Times New Roman"/>
                <w:color w:val="000000"/>
              </w:rPr>
              <w:tab/>
            </w:r>
            <w:r>
              <w:rPr>
                <w:rFonts w:ascii="Times New Roman" w:hAnsi="Times New Roman" w:eastAsia="Times New Roman" w:cs="Times New Roman"/>
                <w:color w:val="000000"/>
              </w:rPr>
              <w:t>português: Trabalho de Conclusão de Curso II</w:t>
            </w:r>
          </w:p>
          <w:p>
            <w:pPr>
              <w:widowControl w:val="0"/>
              <w:pBdr>
                <w:top w:val="none" w:color="auto" w:sz="0" w:space="0"/>
                <w:left w:val="none" w:color="auto" w:sz="0" w:space="0"/>
                <w:bottom w:val="none" w:color="auto" w:sz="0" w:space="0"/>
                <w:right w:val="none" w:color="auto" w:sz="0" w:space="0"/>
                <w:between w:val="none" w:color="auto" w:sz="0" w:space="0"/>
              </w:pBdr>
              <w:spacing w:before="99"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Course Completion Work II</w:t>
            </w:r>
          </w:p>
        </w:tc>
        <w:tc>
          <w:tcPr>
            <w:tcW w:w="2948"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HIS083</w:t>
            </w:r>
          </w:p>
        </w:tc>
      </w:tr>
      <w:tr>
        <w:tblPrEx>
          <w:tblCellMar>
            <w:top w:w="0" w:type="dxa"/>
            <w:left w:w="22" w:type="dxa"/>
            <w:bottom w:w="0" w:type="dxa"/>
            <w:right w:w="5" w:type="dxa"/>
          </w:tblCellMar>
        </w:tblPrEx>
        <w:trPr>
          <w:trHeight w:val="846" w:hRule="atLeast"/>
        </w:trPr>
        <w:tc>
          <w:tcPr>
            <w:tcW w:w="6215" w:type="dxa"/>
            <w:gridSpan w:val="2"/>
            <w:tcBorders>
              <w:top w:val="single" w:color="000000" w:sz="4" w:space="0"/>
              <w:left w:val="single" w:color="000000" w:sz="18" w:space="0"/>
              <w:bottom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História - DEHIS</w:t>
            </w:r>
          </w:p>
        </w:tc>
        <w:tc>
          <w:tcPr>
            <w:tcW w:w="2948" w:type="dxa"/>
            <w:tcBorders>
              <w:top w:val="single" w:color="000000" w:sz="4" w:space="0"/>
              <w:left w:val="single" w:color="000000" w:sz="4"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5" w:type="dxa"/>
          </w:tblCellMar>
        </w:tblPrEx>
        <w:trPr>
          <w:trHeight w:val="1242" w:hRule="atLeast"/>
        </w:trPr>
        <w:tc>
          <w:tcPr>
            <w:tcW w:w="3010" w:type="dxa"/>
            <w:tcBorders>
              <w:top w:val="single" w:color="000000" w:sz="18" w:space="0"/>
              <w:left w:val="single" w:color="000000" w:sz="18" w:space="0"/>
              <w:bottom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6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semestral 90 horas</w:t>
            </w:r>
          </w:p>
        </w:tc>
        <w:tc>
          <w:tcPr>
            <w:tcW w:w="3205" w:type="dxa"/>
            <w:tcBorders>
              <w:top w:val="single" w:color="000000" w:sz="18" w:space="0"/>
              <w:left w:val="single" w:color="000000" w:sz="18" w:space="0"/>
              <w:bottom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00 horas/aula</w:t>
            </w:r>
          </w:p>
        </w:tc>
        <w:tc>
          <w:tcPr>
            <w:tcW w:w="2948" w:type="dxa"/>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 06 horas/aula</w:t>
            </w:r>
          </w:p>
        </w:tc>
      </w:tr>
      <w:tr>
        <w:tblPrEx>
          <w:tblCellMar>
            <w:top w:w="0" w:type="dxa"/>
            <w:left w:w="22" w:type="dxa"/>
            <w:bottom w:w="0" w:type="dxa"/>
            <w:right w:w="5" w:type="dxa"/>
          </w:tblCellMar>
        </w:tblPrEx>
        <w:trPr>
          <w:trHeight w:val="1655" w:hRule="atLeast"/>
        </w:trPr>
        <w:tc>
          <w:tcPr>
            <w:tcW w:w="9163" w:type="dxa"/>
            <w:gridSpan w:val="3"/>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Ementa: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57"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Orientações para elaboração do Trabalho de Conclusão de Curso por meio da integração curricular e articulação de conhecimentos teóricos e práticos das disciplinas do curso.</w:t>
            </w:r>
          </w:p>
        </w:tc>
      </w:tr>
      <w:tr>
        <w:tblPrEx>
          <w:tblCellMar>
            <w:top w:w="0" w:type="dxa"/>
            <w:left w:w="22" w:type="dxa"/>
            <w:bottom w:w="0" w:type="dxa"/>
            <w:right w:w="5" w:type="dxa"/>
          </w:tblCellMar>
        </w:tblPrEx>
        <w:trPr>
          <w:trHeight w:val="1382" w:hRule="atLeast"/>
        </w:trPr>
        <w:tc>
          <w:tcPr>
            <w:tcW w:w="9163" w:type="dxa"/>
            <w:gridSpan w:val="3"/>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Elaboração do Trabalho de Conclusão de Curso de Licenciatura em História.</w:t>
            </w:r>
          </w:p>
        </w:tc>
      </w:tr>
      <w:tr>
        <w:tblPrEx>
          <w:tblCellMar>
            <w:top w:w="0" w:type="dxa"/>
            <w:left w:w="22" w:type="dxa"/>
            <w:bottom w:w="0" w:type="dxa"/>
            <w:right w:w="5" w:type="dxa"/>
          </w:tblCellMar>
        </w:tblPrEx>
        <w:trPr>
          <w:trHeight w:val="655" w:hRule="atLeast"/>
        </w:trPr>
        <w:tc>
          <w:tcPr>
            <w:tcW w:w="9163" w:type="dxa"/>
            <w:gridSpan w:val="3"/>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7"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BAUER, Martin W; GASKELL, George; GUARESCHI, Pedrinho A. Pesquisa qualitativa com texto, imagem e som: um manual prático. 3. ed. Petrópolis: Vozes 2004.</w:t>
            </w: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right="142"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ECO, Umberto. Como se faz uma tese. 10. ed. São Paulo: Perspectiva 1993. </w:t>
            </w: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right="142"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FRANÇA, Júnia Lessa; VASCONCELLOS, Ana Cristina de. Manual para normalização de publicações técnico-científicas. 9. ed. Belo Horizonte: UFMG, 2013.</w:t>
            </w:r>
          </w:p>
          <w:p>
            <w:pPr>
              <w:widowControl w:val="0"/>
              <w:pBdr>
                <w:top w:val="none" w:color="auto" w:sz="0" w:space="0"/>
                <w:left w:val="none" w:color="auto" w:sz="0" w:space="0"/>
                <w:bottom w:val="none" w:color="auto" w:sz="0" w:space="0"/>
                <w:right w:val="none" w:color="auto" w:sz="0" w:space="0"/>
                <w:between w:val="none" w:color="auto" w:sz="0" w:space="0"/>
              </w:pBdr>
              <w:spacing w:before="3" w:line="360" w:lineRule="auto"/>
              <w:ind w:left="0" w:right="61"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LAKATOS, Eva Maria; MARCONI, Marina de Andrade. Fundamentos de metodologia científica. 6. ed. São Paulo, SP: Atlas, 2005. 315 p. ISBN 8522440158. PÁDUA, Elisabete Matallo M. Metodologia da Pesquisa. Abordagem teórico-prática. Campinas, São Paulo: Papirus, 2000. </w:t>
            </w:r>
          </w:p>
          <w:p>
            <w:pPr>
              <w:widowControl w:val="0"/>
              <w:pBdr>
                <w:top w:val="none" w:color="auto" w:sz="0" w:space="0"/>
                <w:left w:val="none" w:color="auto" w:sz="0" w:space="0"/>
                <w:bottom w:val="none" w:color="auto" w:sz="0" w:space="0"/>
                <w:right w:val="none" w:color="auto" w:sz="0" w:space="0"/>
                <w:between w:val="none" w:color="auto" w:sz="0" w:space="0"/>
              </w:pBdr>
              <w:spacing w:before="3" w:line="360" w:lineRule="auto"/>
              <w:ind w:left="0" w:right="61"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MINAYO, Maria C. de Souza (org.) Pesquisa Social. Teoria, Método e Criatividade. Petrópolis, Rio de Janeiro: Vozes, 2000.</w:t>
            </w:r>
          </w:p>
        </w:tc>
      </w:tr>
      <w:tr>
        <w:tblPrEx>
          <w:tblCellMar>
            <w:top w:w="0" w:type="dxa"/>
            <w:left w:w="22" w:type="dxa"/>
            <w:bottom w:w="0" w:type="dxa"/>
            <w:right w:w="5" w:type="dxa"/>
          </w:tblCellMar>
        </w:tblPrEx>
        <w:trPr>
          <w:trHeight w:val="1129" w:hRule="atLeast"/>
        </w:trPr>
        <w:tc>
          <w:tcPr>
            <w:tcW w:w="9163" w:type="dxa"/>
            <w:gridSpan w:val="3"/>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27"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ANDRÉ , Marli E. D. A. (Org.) O papel da pesquisa na formação e na prática dos professores. 2. ed. Campinas, SP: Papirus, 2002.</w:t>
            </w:r>
          </w:p>
          <w:p>
            <w:pPr>
              <w:widowControl w:val="0"/>
              <w:pBdr>
                <w:top w:val="none" w:color="auto" w:sz="0" w:space="0"/>
                <w:left w:val="none" w:color="auto" w:sz="0" w:space="0"/>
                <w:bottom w:val="none" w:color="auto" w:sz="0" w:space="0"/>
                <w:right w:val="none" w:color="auto" w:sz="0" w:space="0"/>
                <w:between w:val="none" w:color="auto" w:sz="0" w:space="0"/>
              </w:pBdr>
              <w:spacing w:before="10" w:line="360" w:lineRule="auto"/>
              <w:ind w:left="0" w:right="142"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FAZENDA, Ivani (org.) Metodologia da Pesquisa Educacional. São Paulo: Cortez, 1997.</w:t>
            </w:r>
          </w:p>
          <w:p>
            <w:pPr>
              <w:widowControl w:val="0"/>
              <w:pBdr>
                <w:top w:val="none" w:color="auto" w:sz="0" w:space="0"/>
                <w:left w:val="none" w:color="auto" w:sz="0" w:space="0"/>
                <w:bottom w:val="none" w:color="auto" w:sz="0" w:space="0"/>
                <w:right w:val="none" w:color="auto" w:sz="0" w:space="0"/>
                <w:between w:val="none" w:color="auto" w:sz="0" w:space="0"/>
              </w:pBdr>
              <w:spacing w:before="5"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LÜDKE, Menga e ANDRÉ, Marli E. D. A. Pesquisa em educação: abordagens qualitativas.</w:t>
            </w:r>
          </w:p>
          <w:p>
            <w:pPr>
              <w:widowControl w:val="0"/>
              <w:pBdr>
                <w:top w:val="none" w:color="auto" w:sz="0" w:space="0"/>
                <w:left w:val="none" w:color="auto" w:sz="0" w:space="0"/>
                <w:bottom w:val="none" w:color="auto" w:sz="0" w:space="0"/>
                <w:right w:val="none" w:color="auto" w:sz="0" w:space="0"/>
                <w:between w:val="none" w:color="auto" w:sz="0" w:space="0"/>
              </w:pBdr>
              <w:spacing w:before="4"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São Paulo: Epu, 1986.</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MINAYO, Maria C. de Souza (org.) Pesquisa Social. Teoria, Método e Criatividade. Petrópolis, Rio de Janeiro: Vozes, 2000.</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POUPART, J. et al. A pesquisa qualitativa: enfoques epistemológicos metodológicos. Trad.</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Ana Cristina Arantes Nasser. 2. ed. Petrópolis, RJ: Vozes, 2010.</w:t>
            </w:r>
          </w:p>
        </w:tc>
      </w:tr>
    </w:tbl>
    <w:p>
      <w:pPr>
        <w:ind w:left="0" w:hanging="2"/>
        <w:rPr>
          <w:rFonts w:ascii="Times New Roman" w:hAnsi="Times New Roman" w:cs="Times New Roman"/>
        </w:rPr>
        <w:sectPr>
          <w:headerReference r:id="rId22" w:type="first"/>
          <w:footerReference r:id="rId25" w:type="first"/>
          <w:headerReference r:id="rId20" w:type="default"/>
          <w:footerReference r:id="rId23" w:type="default"/>
          <w:headerReference r:id="rId21" w:type="even"/>
          <w:footerReference r:id="rId24" w:type="even"/>
          <w:pgSz w:w="11906" w:h="16838"/>
          <w:pgMar w:top="1840" w:right="260" w:bottom="1180" w:left="1420" w:header="571" w:footer="935" w:gutter="0"/>
          <w:cols w:space="720" w:num="1"/>
        </w:sectPr>
      </w:pPr>
    </w:p>
    <w:p>
      <w:pPr>
        <w:ind w:left="0" w:hanging="2"/>
        <w:rPr>
          <w:rFonts w:ascii="Times New Roman" w:hAnsi="Times New Roman" w:cs="Times New Roman"/>
        </w:rPr>
      </w:pPr>
      <w:r>
        <w:rPr>
          <w:rFonts w:ascii="Times New Roman" w:hAnsi="Times New Roman" w:eastAsia="Times New Roman" w:cs="Times New Roman"/>
          <w:b/>
        </w:rPr>
        <w:t>Programas das Disciplinas Eletivas</w:t>
      </w: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511"/>
        <w:tblW w:w="8999" w:type="dxa"/>
        <w:tblInd w:w="2" w:type="dxa"/>
        <w:tblLayout w:type="fixed"/>
        <w:tblCellMar>
          <w:top w:w="0" w:type="dxa"/>
          <w:left w:w="22" w:type="dxa"/>
          <w:bottom w:w="0" w:type="dxa"/>
          <w:right w:w="5" w:type="dxa"/>
        </w:tblCellMar>
      </w:tblPr>
      <w:tblGrid>
        <w:gridCol w:w="2931"/>
        <w:gridCol w:w="3426"/>
        <w:gridCol w:w="2642"/>
      </w:tblGrid>
      <w:tr>
        <w:tblPrEx>
          <w:tblCellMar>
            <w:top w:w="0" w:type="dxa"/>
            <w:left w:w="22" w:type="dxa"/>
            <w:bottom w:w="0" w:type="dxa"/>
            <w:right w:w="5" w:type="dxa"/>
          </w:tblCellMar>
        </w:tblPrEx>
        <w:trPr>
          <w:trHeight w:val="2308" w:hRule="atLeast"/>
        </w:trPr>
        <w:tc>
          <w:tcPr>
            <w:tcW w:w="6357"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414"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Seminário em História da América III</w:t>
            </w:r>
          </w:p>
          <w:p>
            <w:pPr>
              <w:widowControl w:val="0"/>
              <w:pBdr>
                <w:top w:val="none" w:color="auto" w:sz="0" w:space="0"/>
                <w:left w:val="none" w:color="auto" w:sz="0" w:space="0"/>
                <w:bottom w:val="none" w:color="auto" w:sz="0" w:space="0"/>
                <w:right w:val="none" w:color="auto" w:sz="0" w:space="0"/>
                <w:between w:val="none" w:color="auto" w:sz="0" w:space="0"/>
              </w:pBdr>
              <w:spacing w:before="6"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before="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Seminar in History of America III</w:t>
            </w:r>
          </w:p>
        </w:tc>
        <w:tc>
          <w:tcPr>
            <w:tcW w:w="2642"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HIS 831</w:t>
            </w:r>
          </w:p>
        </w:tc>
      </w:tr>
      <w:tr>
        <w:tblPrEx>
          <w:tblCellMar>
            <w:top w:w="0" w:type="dxa"/>
            <w:left w:w="22" w:type="dxa"/>
            <w:bottom w:w="0" w:type="dxa"/>
            <w:right w:w="5" w:type="dxa"/>
          </w:tblCellMar>
        </w:tblPrEx>
        <w:trPr>
          <w:trHeight w:val="830" w:hRule="atLeast"/>
        </w:trPr>
        <w:tc>
          <w:tcPr>
            <w:tcW w:w="6357"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 História</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DEHIS</w:t>
            </w:r>
          </w:p>
        </w:tc>
        <w:tc>
          <w:tcPr>
            <w:tcW w:w="2642"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5" w:type="dxa"/>
          </w:tblCellMar>
        </w:tblPrEx>
        <w:trPr>
          <w:trHeight w:val="1242" w:hRule="atLeast"/>
        </w:trPr>
        <w:tc>
          <w:tcPr>
            <w:tcW w:w="2931"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3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53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3426"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2642"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 02 horas/aula</w:t>
            </w:r>
          </w:p>
        </w:tc>
      </w:tr>
      <w:tr>
        <w:tblPrEx>
          <w:tblCellMar>
            <w:top w:w="0" w:type="dxa"/>
            <w:left w:w="22" w:type="dxa"/>
            <w:bottom w:w="0" w:type="dxa"/>
            <w:right w:w="5" w:type="dxa"/>
          </w:tblCellMar>
        </w:tblPrEx>
        <w:trPr>
          <w:trHeight w:val="1655" w:hRule="atLeast"/>
        </w:trPr>
        <w:tc>
          <w:tcPr>
            <w:tcW w:w="8999"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5"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Discussões de temas e/ou historiografia em História das Américas, com ênfase no período de formação das nações, aprofundando assuntos previamente abordados nas disciplinas obrigatórias da área ou apresentando aspectos inéditos de forma detida e</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específica.</w:t>
            </w:r>
          </w:p>
        </w:tc>
      </w:tr>
      <w:tr>
        <w:tblPrEx>
          <w:tblCellMar>
            <w:top w:w="0" w:type="dxa"/>
            <w:left w:w="22" w:type="dxa"/>
            <w:bottom w:w="0" w:type="dxa"/>
            <w:right w:w="5" w:type="dxa"/>
          </w:tblCellMar>
        </w:tblPrEx>
        <w:trPr>
          <w:trHeight w:val="1656" w:hRule="atLeast"/>
        </w:trPr>
        <w:tc>
          <w:tcPr>
            <w:tcW w:w="8999"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right="2782" w:hanging="2"/>
              <w:rPr>
                <w:rFonts w:ascii="Times New Roman" w:hAnsi="Times New Roman" w:eastAsia="Times New Roman" w:cs="Times New Roman"/>
                <w:color w:val="000000"/>
              </w:rPr>
            </w:pPr>
            <w:r>
              <w:rPr>
                <w:rFonts w:ascii="Times New Roman" w:hAnsi="Times New Roman" w:eastAsia="Times New Roman" w:cs="Times New Roman"/>
                <w:color w:val="000000"/>
              </w:rPr>
              <w:t>A construção do conceito de América Latina no cinema. Temas mexicanos contemporâneos.</w:t>
            </w:r>
          </w:p>
          <w:p>
            <w:pPr>
              <w:widowControl w:val="0"/>
              <w:pBdr>
                <w:top w:val="none" w:color="auto" w:sz="0" w:space="0"/>
                <w:left w:val="none" w:color="auto" w:sz="0" w:space="0"/>
                <w:bottom w:val="none" w:color="auto" w:sz="0" w:space="0"/>
                <w:right w:val="none" w:color="auto" w:sz="0" w:space="0"/>
                <w:between w:val="none" w:color="auto" w:sz="0" w:space="0"/>
              </w:pBdr>
              <w:spacing w:before="2"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As ditaduras latino-americanas.</w:t>
            </w:r>
          </w:p>
        </w:tc>
      </w:tr>
      <w:tr>
        <w:tblPrEx>
          <w:tblCellMar>
            <w:top w:w="0" w:type="dxa"/>
            <w:left w:w="22" w:type="dxa"/>
            <w:bottom w:w="0" w:type="dxa"/>
            <w:right w:w="5" w:type="dxa"/>
          </w:tblCellMar>
        </w:tblPrEx>
        <w:trPr>
          <w:trHeight w:val="832" w:hRule="atLeast"/>
        </w:trPr>
        <w:tc>
          <w:tcPr>
            <w:tcW w:w="8999"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right="63"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AGUILAR, Gonzalo [et.al]. (org.) SARTORA, Josefina; RIVAL, Silvina. </w:t>
            </w:r>
            <w:r>
              <w:rPr>
                <w:rFonts w:ascii="Times New Roman" w:hAnsi="Times New Roman" w:eastAsia="Times New Roman" w:cs="Times New Roman"/>
                <w:b/>
                <w:color w:val="000000"/>
              </w:rPr>
              <w:t>Imágenes de lo real: la representación de lo político en lo documental argentino</w:t>
            </w:r>
            <w:r>
              <w:rPr>
                <w:rFonts w:ascii="Times New Roman" w:hAnsi="Times New Roman" w:eastAsia="Times New Roman" w:cs="Times New Roman"/>
                <w:color w:val="000000"/>
              </w:rPr>
              <w:t>. Buenos Aires: Libraría, 2007.</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7"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ALBORNOZ, César. Cultura en la Unidad Popular: porque esta vez no se trata de cambiar un presidente. In: PINTO, Julio (Coord.). </w:t>
            </w:r>
            <w:r>
              <w:rPr>
                <w:rFonts w:ascii="Times New Roman" w:hAnsi="Times New Roman" w:eastAsia="Times New Roman" w:cs="Times New Roman"/>
                <w:b/>
                <w:color w:val="000000"/>
              </w:rPr>
              <w:t>Cuando hicimos história: la experiencia de la Unidad Popular</w:t>
            </w:r>
            <w:r>
              <w:rPr>
                <w:rFonts w:ascii="Times New Roman" w:hAnsi="Times New Roman" w:eastAsia="Times New Roman" w:cs="Times New Roman"/>
                <w:color w:val="000000"/>
              </w:rPr>
              <w:t>. Santiago: LOM, 2005, p. 147-176.</w:t>
            </w:r>
          </w:p>
          <w:p>
            <w:pPr>
              <w:widowControl w:val="0"/>
              <w:pBdr>
                <w:top w:val="none" w:color="auto" w:sz="0" w:space="0"/>
                <w:left w:val="none" w:color="auto" w:sz="0" w:space="0"/>
                <w:bottom w:val="none" w:color="auto" w:sz="0" w:space="0"/>
                <w:right w:val="none" w:color="auto" w:sz="0" w:space="0"/>
                <w:between w:val="none" w:color="auto" w:sz="0" w:space="0"/>
              </w:pBdr>
              <w:tabs>
                <w:tab w:val="left" w:pos="7597"/>
              </w:tabs>
              <w:spacing w:line="360" w:lineRule="auto"/>
              <w:ind w:left="0" w:right="5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CATELLI  JUNIOR,  Roberto. Cinema e história na  sala de aula. In:</w:t>
            </w:r>
            <w:r>
              <w:rPr>
                <w:rFonts w:ascii="Times New Roman" w:hAnsi="Times New Roman" w:eastAsia="Times New Roman" w:cs="Times New Roman"/>
                <w:color w:val="000000"/>
                <w:u w:val="single"/>
              </w:rPr>
              <w:tab/>
            </w:r>
            <w:r>
              <w:rPr>
                <w:rFonts w:ascii="Times New Roman" w:hAnsi="Times New Roman" w:eastAsia="Times New Roman" w:cs="Times New Roman"/>
                <w:color w:val="000000"/>
              </w:rPr>
              <w:t xml:space="preserve">. </w:t>
            </w:r>
            <w:r>
              <w:rPr>
                <w:rFonts w:ascii="Times New Roman" w:hAnsi="Times New Roman" w:eastAsia="Times New Roman" w:cs="Times New Roman"/>
                <w:b/>
                <w:color w:val="000000"/>
              </w:rPr>
              <w:t>Temas e linguagens da história: ferramentas para a sala de aula no ensino médio</w:t>
            </w:r>
            <w:r>
              <w:rPr>
                <w:rFonts w:ascii="Times New Roman" w:hAnsi="Times New Roman" w:eastAsia="Times New Roman" w:cs="Times New Roman"/>
                <w:color w:val="000000"/>
              </w:rPr>
              <w:t>. São Paulo: Scipione, 2009, p.51-72.</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KORNIS, Mônica. História e cinema: um debate metodológico. </w:t>
            </w:r>
            <w:r>
              <w:rPr>
                <w:rFonts w:ascii="Times New Roman" w:hAnsi="Times New Roman" w:eastAsia="Times New Roman" w:cs="Times New Roman"/>
                <w:b/>
                <w:color w:val="000000"/>
              </w:rPr>
              <w:t>Revista Estudos Históricos</w:t>
            </w:r>
            <w:r>
              <w:rPr>
                <w:rFonts w:ascii="Times New Roman" w:hAnsi="Times New Roman" w:eastAsia="Times New Roman" w:cs="Times New Roman"/>
                <w:color w:val="000000"/>
              </w:rPr>
              <w:t>. Rio de Janeiro. V. 5, n. 10, 1992, p.237-250.</w:t>
            </w:r>
          </w:p>
          <w:p>
            <w:pPr>
              <w:widowControl w:val="0"/>
              <w:pBdr>
                <w:top w:val="none" w:color="auto" w:sz="0" w:space="0"/>
                <w:left w:val="none" w:color="auto" w:sz="0" w:space="0"/>
                <w:bottom w:val="none" w:color="auto" w:sz="0" w:space="0"/>
                <w:right w:val="none" w:color="auto" w:sz="0" w:space="0"/>
                <w:between w:val="none" w:color="auto" w:sz="0" w:space="0"/>
              </w:pBdr>
              <w:spacing w:before="133" w:line="360" w:lineRule="auto"/>
              <w:ind w:left="0" w:right="62"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LAGNY, Michèle. O cinema como fonte histórica. In NÓVOA, Jorge; FRESSATO, Soleni. </w:t>
            </w:r>
            <w:r>
              <w:rPr>
                <w:rFonts w:ascii="Times New Roman" w:hAnsi="Times New Roman" w:eastAsia="Times New Roman" w:cs="Times New Roman"/>
                <w:b/>
                <w:color w:val="000000"/>
              </w:rPr>
              <w:t>Cinematógrafo: um olhar sobre a história</w:t>
            </w:r>
            <w:r>
              <w:rPr>
                <w:rFonts w:ascii="Times New Roman" w:hAnsi="Times New Roman" w:eastAsia="Times New Roman" w:cs="Times New Roman"/>
                <w:color w:val="000000"/>
              </w:rPr>
              <w:t>. Salvador: EDUFBA; São Paulo: Ed. da UNESP, 2009, p. 99-131.</w:t>
            </w:r>
          </w:p>
          <w:p>
            <w:pPr>
              <w:widowControl w:val="0"/>
              <w:pBdr>
                <w:top w:val="none" w:color="auto" w:sz="0" w:space="0"/>
                <w:left w:val="none" w:color="auto" w:sz="0" w:space="0"/>
                <w:bottom w:val="none" w:color="auto" w:sz="0" w:space="0"/>
                <w:right w:val="none" w:color="auto" w:sz="0" w:space="0"/>
                <w:between w:val="none" w:color="auto" w:sz="0" w:space="0"/>
              </w:pBdr>
              <w:spacing w:before="3" w:line="240" w:lineRule="auto"/>
              <w:ind w:left="0" w:hanging="2"/>
              <w:rPr>
                <w:rFonts w:ascii="Times New Roman" w:hAnsi="Times New Roman" w:eastAsia="Times New Roman" w:cs="Times New Roman"/>
                <w:color w:val="000000"/>
              </w:rPr>
            </w:pPr>
          </w:p>
        </w:tc>
      </w:tr>
      <w:tr>
        <w:tblPrEx>
          <w:tblCellMar>
            <w:top w:w="0" w:type="dxa"/>
            <w:left w:w="22" w:type="dxa"/>
            <w:bottom w:w="0" w:type="dxa"/>
            <w:right w:w="5" w:type="dxa"/>
          </w:tblCellMar>
        </w:tblPrEx>
        <w:trPr>
          <w:trHeight w:val="6959" w:hRule="atLeast"/>
        </w:trPr>
        <w:tc>
          <w:tcPr>
            <w:tcW w:w="8999" w:type="dxa"/>
            <w:gridSpan w:val="3"/>
            <w:tcBorders>
              <w:top w:val="single" w:color="000000" w:sz="4"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right="6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AUMONT, Jacques. </w:t>
            </w:r>
            <w:r>
              <w:rPr>
                <w:rFonts w:ascii="Times New Roman" w:hAnsi="Times New Roman" w:eastAsia="Times New Roman" w:cs="Times New Roman"/>
                <w:b/>
                <w:color w:val="000000"/>
              </w:rPr>
              <w:t>O olho interminável: cinema e pintura</w:t>
            </w:r>
            <w:r>
              <w:rPr>
                <w:rFonts w:ascii="Times New Roman" w:hAnsi="Times New Roman" w:eastAsia="Times New Roman" w:cs="Times New Roman"/>
                <w:color w:val="000000"/>
              </w:rPr>
              <w:t>. São Paulo: Cosac &amp; Naify, 2004.</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4"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BERNARDET, Jean-Claude. </w:t>
            </w:r>
            <w:r>
              <w:rPr>
                <w:rFonts w:ascii="Times New Roman" w:hAnsi="Times New Roman" w:eastAsia="Times New Roman" w:cs="Times New Roman"/>
                <w:b/>
                <w:color w:val="000000"/>
              </w:rPr>
              <w:t>Cineastas e Imagens do Povo</w:t>
            </w:r>
            <w:r>
              <w:rPr>
                <w:rFonts w:ascii="Times New Roman" w:hAnsi="Times New Roman" w:eastAsia="Times New Roman" w:cs="Times New Roman"/>
                <w:color w:val="000000"/>
              </w:rPr>
              <w:t>. São Paulo: Companhia das Letras,2003.</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1"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CATELA, Ludmila. Violencia política y dictadura en Argentina: de memorias dominantes, subterráneas y denegadas. In: FICO, C; FERREIRA, M.; ARAÚJO, M. P., QUADRAT, S. V.</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(Orgs.). </w:t>
            </w:r>
            <w:r>
              <w:rPr>
                <w:rFonts w:ascii="Times New Roman" w:hAnsi="Times New Roman" w:eastAsia="Times New Roman" w:cs="Times New Roman"/>
                <w:i/>
                <w:color w:val="000000"/>
              </w:rPr>
              <w:t>D</w:t>
            </w:r>
            <w:r>
              <w:rPr>
                <w:rFonts w:ascii="Times New Roman" w:hAnsi="Times New Roman" w:eastAsia="Times New Roman" w:cs="Times New Roman"/>
                <w:b/>
                <w:color w:val="000000"/>
              </w:rPr>
              <w:t>itadura e democracia na América Latina</w:t>
            </w:r>
            <w:r>
              <w:rPr>
                <w:rFonts w:ascii="Times New Roman" w:hAnsi="Times New Roman" w:eastAsia="Times New Roman" w:cs="Times New Roman"/>
                <w:color w:val="000000"/>
              </w:rPr>
              <w:t>. Balanço histórico e perspectivas. Rio de Janeiro: FGV Editora, 2008, p. 179-200.</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DELEUZE, Gilles. </w:t>
            </w:r>
            <w:r>
              <w:rPr>
                <w:rFonts w:ascii="Times New Roman" w:hAnsi="Times New Roman" w:eastAsia="Times New Roman" w:cs="Times New Roman"/>
                <w:b/>
                <w:color w:val="000000"/>
              </w:rPr>
              <w:t>Cinema 1: a imagem-movimento</w:t>
            </w:r>
            <w:r>
              <w:rPr>
                <w:rFonts w:ascii="Times New Roman" w:hAnsi="Times New Roman" w:eastAsia="Times New Roman" w:cs="Times New Roman"/>
                <w:color w:val="000000"/>
              </w:rPr>
              <w:t xml:space="preserve">. São Paulo: Brasiliense, s/d. EISENSTEIN, S. </w:t>
            </w:r>
            <w:r>
              <w:rPr>
                <w:rFonts w:ascii="Times New Roman" w:hAnsi="Times New Roman" w:eastAsia="Times New Roman" w:cs="Times New Roman"/>
                <w:b/>
                <w:color w:val="000000"/>
              </w:rPr>
              <w:t>O sentido do filme</w:t>
            </w:r>
            <w:r>
              <w:rPr>
                <w:rFonts w:ascii="Times New Roman" w:hAnsi="Times New Roman" w:eastAsia="Times New Roman" w:cs="Times New Roman"/>
                <w:color w:val="000000"/>
              </w:rPr>
              <w:t>. Rio de Janeiro: J. Zahar, 1990.</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91" w:hanging="2"/>
              <w:rPr>
                <w:rFonts w:ascii="Times New Roman" w:hAnsi="Times New Roman" w:eastAsia="Times New Roman" w:cs="Times New Roman"/>
                <w:color w:val="000000"/>
              </w:rPr>
            </w:pPr>
            <w:r>
              <w:rPr>
                <w:rFonts w:ascii="Times New Roman" w:hAnsi="Times New Roman" w:eastAsia="Times New Roman" w:cs="Times New Roman"/>
                <w:color w:val="000000"/>
              </w:rPr>
              <w:t>FARINA, Daniela. A realidade é uma falácia: uma abordagem do cinema documental. In:</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b/>
                <w:color w:val="000000"/>
              </w:rPr>
              <w:t>Cadernos do CEON</w:t>
            </w:r>
            <w:r>
              <w:rPr>
                <w:rFonts w:ascii="Times New Roman" w:hAnsi="Times New Roman" w:eastAsia="Times New Roman" w:cs="Times New Roman"/>
                <w:color w:val="000000"/>
              </w:rPr>
              <w:t>. Ano 22, n. 31.</w:t>
            </w:r>
          </w:p>
          <w:p>
            <w:pPr>
              <w:widowControl w:val="0"/>
              <w:pBdr>
                <w:top w:val="none" w:color="auto" w:sz="0" w:space="0"/>
                <w:left w:val="none" w:color="auto" w:sz="0" w:space="0"/>
                <w:bottom w:val="none" w:color="auto" w:sz="0" w:space="0"/>
                <w:right w:val="none" w:color="auto" w:sz="0" w:space="0"/>
                <w:between w:val="none" w:color="auto" w:sz="0" w:space="0"/>
              </w:pBdr>
              <w:spacing w:before="134"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LANGER, Johnni. Metodologia para análise de estereótipos em filmes históricos.</w:t>
            </w:r>
          </w:p>
          <w:p>
            <w:pPr>
              <w:widowControl w:val="0"/>
              <w:pBdr>
                <w:top w:val="none" w:color="auto" w:sz="0" w:space="0"/>
                <w:left w:val="none" w:color="auto" w:sz="0" w:space="0"/>
                <w:bottom w:val="none" w:color="auto" w:sz="0" w:space="0"/>
                <w:right w:val="none" w:color="auto" w:sz="0" w:space="0"/>
                <w:between w:val="none" w:color="auto" w:sz="0" w:space="0"/>
              </w:pBdr>
              <w:spacing w:before="146"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b/>
                <w:color w:val="000000"/>
              </w:rPr>
              <w:t>Revista</w:t>
            </w:r>
          </w:p>
          <w:p>
            <w:pPr>
              <w:widowControl w:val="0"/>
              <w:pBdr>
                <w:top w:val="none" w:color="auto" w:sz="0" w:space="0"/>
                <w:left w:val="none" w:color="auto" w:sz="0" w:space="0"/>
                <w:bottom w:val="none" w:color="auto" w:sz="0" w:space="0"/>
                <w:right w:val="none" w:color="auto" w:sz="0" w:space="0"/>
                <w:between w:val="none" w:color="auto" w:sz="0" w:space="0"/>
              </w:pBdr>
              <w:spacing w:before="133"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b/>
                <w:color w:val="000000"/>
              </w:rPr>
              <w:t>História Hoje</w:t>
            </w:r>
            <w:r>
              <w:rPr>
                <w:rFonts w:ascii="Times New Roman" w:hAnsi="Times New Roman" w:eastAsia="Times New Roman" w:cs="Times New Roman"/>
                <w:color w:val="000000"/>
              </w:rPr>
              <w:t>. São Paulo. N. 5. 2004, p.1-13.</w:t>
            </w:r>
          </w:p>
        </w:tc>
      </w:tr>
    </w:tbl>
    <w:p>
      <w:pPr>
        <w:ind w:left="0" w:hanging="2"/>
        <w:rPr>
          <w:rFonts w:ascii="Times New Roman" w:hAnsi="Times New Roman" w:eastAsia="Times New Roman" w:cs="Times New Roman"/>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tbl>
      <w:tblPr>
        <w:tblStyle w:val="512"/>
        <w:tblW w:w="8991" w:type="dxa"/>
        <w:tblInd w:w="8" w:type="dxa"/>
        <w:tblLayout w:type="fixed"/>
        <w:tblCellMar>
          <w:top w:w="0" w:type="dxa"/>
          <w:left w:w="15" w:type="dxa"/>
          <w:bottom w:w="0" w:type="dxa"/>
          <w:right w:w="15" w:type="dxa"/>
        </w:tblCellMar>
      </w:tblPr>
      <w:tblGrid>
        <w:gridCol w:w="2932"/>
        <w:gridCol w:w="3282"/>
        <w:gridCol w:w="2777"/>
      </w:tblGrid>
      <w:tr>
        <w:tblPrEx>
          <w:tblCellMar>
            <w:top w:w="0" w:type="dxa"/>
            <w:left w:w="15" w:type="dxa"/>
            <w:bottom w:w="0" w:type="dxa"/>
            <w:right w:w="15" w:type="dxa"/>
          </w:tblCellMar>
        </w:tblPrEx>
        <w:trPr>
          <w:trHeight w:val="1655" w:hRule="atLeast"/>
        </w:trPr>
        <w:tc>
          <w:tcPr>
            <w:tcW w:w="6214"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08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Seminário em Teoria da História I</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Seminar in</w:t>
            </w:r>
          </w:p>
          <w:p>
            <w:pPr>
              <w:widowControl w:val="0"/>
              <w:pBdr>
                <w:top w:val="none" w:color="auto" w:sz="0" w:space="0"/>
                <w:left w:val="none" w:color="auto" w:sz="0" w:space="0"/>
                <w:bottom w:val="none" w:color="auto" w:sz="0" w:space="0"/>
                <w:right w:val="none" w:color="auto" w:sz="0" w:space="0"/>
                <w:between w:val="none" w:color="auto" w:sz="0" w:space="0"/>
              </w:pBdr>
              <w:spacing w:before="13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Theory of History I</w:t>
            </w:r>
          </w:p>
        </w:tc>
        <w:tc>
          <w:tcPr>
            <w:tcW w:w="2777"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HIS 842</w:t>
            </w:r>
          </w:p>
        </w:tc>
      </w:tr>
      <w:tr>
        <w:tblPrEx>
          <w:tblCellMar>
            <w:top w:w="0" w:type="dxa"/>
            <w:left w:w="15" w:type="dxa"/>
            <w:bottom w:w="0" w:type="dxa"/>
            <w:right w:w="15" w:type="dxa"/>
          </w:tblCellMar>
        </w:tblPrEx>
        <w:trPr>
          <w:trHeight w:val="830" w:hRule="atLeast"/>
        </w:trPr>
        <w:tc>
          <w:tcPr>
            <w:tcW w:w="6214"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 História</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DEHIS</w:t>
            </w:r>
          </w:p>
        </w:tc>
        <w:tc>
          <w:tcPr>
            <w:tcW w:w="2777"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15" w:type="dxa"/>
            <w:bottom w:w="0" w:type="dxa"/>
            <w:right w:w="15" w:type="dxa"/>
          </w:tblCellMar>
        </w:tblPrEx>
        <w:trPr>
          <w:trHeight w:val="1238" w:hRule="atLeast"/>
        </w:trPr>
        <w:tc>
          <w:tcPr>
            <w:tcW w:w="2932"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536"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3" w:line="240" w:lineRule="auto"/>
              <w:ind w:left="0" w:right="751"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semestral 90 horas</w:t>
            </w:r>
          </w:p>
        </w:tc>
        <w:tc>
          <w:tcPr>
            <w:tcW w:w="3282"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2777"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 02 horas/aula</w:t>
            </w:r>
          </w:p>
        </w:tc>
      </w:tr>
      <w:tr>
        <w:tblPrEx>
          <w:tblCellMar>
            <w:top w:w="0" w:type="dxa"/>
            <w:left w:w="15" w:type="dxa"/>
            <w:bottom w:w="0" w:type="dxa"/>
            <w:right w:w="15" w:type="dxa"/>
          </w:tblCellMar>
        </w:tblPrEx>
        <w:trPr>
          <w:trHeight w:val="830" w:hRule="atLeast"/>
        </w:trPr>
        <w:tc>
          <w:tcPr>
            <w:tcW w:w="899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A disciplina tem por objetivo discutir noções, categorias e conceitos que articulam o saber historiográfico e definem modalidades variadas de consciência histórica.</w:t>
            </w:r>
          </w:p>
        </w:tc>
      </w:tr>
      <w:tr>
        <w:tblPrEx>
          <w:tblCellMar>
            <w:top w:w="0" w:type="dxa"/>
            <w:left w:w="15" w:type="dxa"/>
            <w:bottom w:w="0" w:type="dxa"/>
            <w:right w:w="15" w:type="dxa"/>
          </w:tblCellMar>
        </w:tblPrEx>
        <w:trPr>
          <w:trHeight w:val="5098" w:hRule="atLeast"/>
        </w:trPr>
        <w:tc>
          <w:tcPr>
            <w:tcW w:w="899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A disciplina se dedicará a um aprofundamento dos conteúdos e problemáticas da disciplina Teoria da História (HIS 139). Serão revistos os temas temporalidade, historicidade, memória e narrativa, tomando para análise novos textos fundamentais da área.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 xml:space="preserve">O curso prevê formas avaliativas que propiciaram oportunidades para a produção intelectual discente, como seminários e trabalhos escritos. </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PARTE 1: A temporalidade como dimensão ontológica.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AGAMBEN, Giorgio. “Tempo e História: Crítica do Instante e do Contínuo”. In. Infância e História. Destruição da Experiência e origem da história. Belo Horizonte. Ed. UFMG, 2008. pp. 109-128.</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 xml:space="preserve">AGOSTINHO. “Livros 11 e 12”. In. Confissões. São Paulo: Paulus, 2002, pp.310-373 </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GADAMER, Hans-Georg. “Introdução”, “Conferência 1”, “Conferência 3” e “Conferência 5”. In. O problema da consciência histórica. Rio de Janeiro, Fundação Getúlio Vargas, 1998.</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RÜSEN, Jörn (2001). “A Constituição metódica da ciência da História”. Razão histórica: teoria da história: os fundamentos da ciência histórica (trad.: Estevão de Rezende Martins). Brasília: Ed. UnB. pp. 95-147.</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PARTE 2: História e Memória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ROSSI, Paolo. “Pró-Memória” e “Lembrar e Esquecer”. In. ROSSI, Paolo.  O Passado, a Memória e o Esquecimento. São Paulo: UNESP, 2010. pp. 09-38.</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ASSMANN, Aleida. “A secularização da memoração – Memória, Fama, História.” In. Espaços da recordação: formas e transformações da memória cultural. Campinas, SP: Editora da Unicamp, 2011. pp. 37-67</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HUYSSEN, Andreas. "Pretéritos Presentes: médios, política, amnesia”. In. Em busca del futuro perdido. Cultura y memoria en tiempos de globalización. Buenos Aires, Fondo de Cultura Económica, 2001. pp. 13-39.</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PARTE III. História e Narrativa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WHITE, Hayden. Meta-História. A imaginação histórica do século XIX. São Paulo: Edusp, 1992.</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PARTE IV. A consciência moderna do tempo, a historiografia e sua crítica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MARX, Karl. “Introdução à contribuição à crítica da economia política”. In. Contribuição à crítica da economia política. São Paulo: Editora Expressão popular, 2008.</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r>
              <w:rPr>
                <w:rFonts w:ascii="Times New Roman" w:hAnsi="Times New Roman" w:eastAsia="Times New Roman" w:cs="Times New Roman"/>
              </w:rPr>
              <w:t xml:space="preserve">NIETZSCHE, Friedrich. Segunda Consideração Intempestiva. Da utilidade e desvantagem da história para a vida. Rio de Janeiro: Relume-Dumará, 2003. pp. 67-178. </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p>
        </w:tc>
      </w:tr>
      <w:tr>
        <w:tblPrEx>
          <w:tblCellMar>
            <w:top w:w="0" w:type="dxa"/>
            <w:left w:w="15" w:type="dxa"/>
            <w:bottom w:w="0" w:type="dxa"/>
            <w:right w:w="15" w:type="dxa"/>
          </w:tblCellMar>
        </w:tblPrEx>
        <w:trPr>
          <w:trHeight w:val="1683" w:hRule="atLeast"/>
        </w:trPr>
        <w:tc>
          <w:tcPr>
            <w:tcW w:w="899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ARENDT, Hannah. “O conceito de história - antigo e moderno”. IN Entre o passado e o futuro. (2ª ed) São Paulo: Perspectiva, 1979. pp. 69-126.</w:t>
            </w:r>
          </w:p>
          <w:p>
            <w:pPr>
              <w:widowControl w:val="0"/>
              <w:pBdr>
                <w:top w:val="none" w:color="auto" w:sz="0" w:space="0"/>
                <w:left w:val="none" w:color="auto" w:sz="0" w:space="0"/>
                <w:bottom w:val="none" w:color="auto" w:sz="0" w:space="0"/>
                <w:right w:val="none" w:color="auto" w:sz="0" w:space="0"/>
                <w:between w:val="none" w:color="auto" w:sz="0" w:space="0"/>
              </w:pBdr>
              <w:tabs>
                <w:tab w:val="left" w:pos="4216"/>
              </w:tabs>
              <w:spacing w:line="360" w:lineRule="auto"/>
              <w:ind w:left="0" w:right="614" w:hanging="2"/>
              <w:rPr>
                <w:rFonts w:ascii="Times New Roman" w:hAnsi="Times New Roman" w:eastAsia="Times New Roman" w:cs="Times New Roman"/>
                <w:color w:val="000000"/>
              </w:rPr>
            </w:pPr>
            <w:r>
              <w:rPr>
                <w:rFonts w:ascii="Times New Roman" w:hAnsi="Times New Roman" w:eastAsia="Times New Roman" w:cs="Times New Roman"/>
                <w:color w:val="000000"/>
              </w:rPr>
              <w:t>CASSIRER, Ernest. “Lahistoria”. In</w:t>
            </w:r>
            <w:r>
              <w:rPr>
                <w:rFonts w:ascii="Times New Roman" w:hAnsi="Times New Roman" w:eastAsia="Times New Roman" w:cs="Times New Roman"/>
                <w:color w:val="000000"/>
                <w:u w:val="single"/>
              </w:rPr>
              <w:tab/>
            </w:r>
            <w:r>
              <w:rPr>
                <w:rFonts w:ascii="Times New Roman" w:hAnsi="Times New Roman" w:eastAsia="Times New Roman" w:cs="Times New Roman"/>
                <w:color w:val="000000"/>
              </w:rPr>
              <w:t>. Antropologia filosófica. México: FCE, 1992, pp.252303.</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CASSIRER, Ernst. A filosofia do Iluminismo. (2ª ed) Campinas: Ed. da UNICAMP, 1994.</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CASSIRER, Ernst. El problema del conocimiento. vol. IV. (3ª reimpressão). México</w:t>
            </w:r>
          </w:p>
          <w:p>
            <w:pPr>
              <w:widowControl w:val="0"/>
              <w:pBdr>
                <w:top w:val="none" w:color="auto" w:sz="0" w:space="0"/>
                <w:left w:val="none" w:color="auto" w:sz="0" w:space="0"/>
                <w:bottom w:val="none" w:color="auto" w:sz="0" w:space="0"/>
                <w:right w:val="none" w:color="auto" w:sz="0" w:space="0"/>
                <w:between w:val="none" w:color="auto" w:sz="0" w:space="0"/>
              </w:pBdr>
              <w:spacing w:before="13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DF: Fondo de Cultura Económica, 1979.</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p>
        </w:tc>
      </w:tr>
      <w:tr>
        <w:tblPrEx>
          <w:tblCellMar>
            <w:top w:w="0" w:type="dxa"/>
            <w:left w:w="15" w:type="dxa"/>
            <w:bottom w:w="0" w:type="dxa"/>
            <w:right w:w="15" w:type="dxa"/>
          </w:tblCellMar>
        </w:tblPrEx>
        <w:trPr>
          <w:trHeight w:val="2332" w:hRule="atLeast"/>
        </w:trPr>
        <w:tc>
          <w:tcPr>
            <w:tcW w:w="8991" w:type="dxa"/>
            <w:gridSpan w:val="3"/>
            <w:tcBorders>
              <w:top w:val="single" w:color="000000" w:sz="4"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141" w:line="360" w:lineRule="auto"/>
              <w:ind w:left="0" w:right="779"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COLLINGWOOD, R.G. A </w:t>
            </w:r>
            <w:r>
              <w:rPr>
                <w:rFonts w:ascii="Times New Roman" w:hAnsi="Times New Roman" w:eastAsia="Times New Roman" w:cs="Times New Roman"/>
              </w:rPr>
              <w:t>ideia</w:t>
            </w:r>
            <w:r>
              <w:rPr>
                <w:rFonts w:ascii="Times New Roman" w:hAnsi="Times New Roman" w:eastAsia="Times New Roman" w:cs="Times New Roman"/>
                <w:color w:val="000000"/>
              </w:rPr>
              <w:t xml:space="preserve"> de história. (3ª ed) Lisboa: Presença, 1986. DRAY, William H. (1969). Filosofia da história (trad.: Octanny Silveira da Mota/Leonidas Hegenberg). Rio de Janeiro: Zahar.</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FOUCAULT, Michel. A arqueologia do saber. Rio de Janeiro: Forense-Universitária, 1987. (Introdução).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72" w:hanging="2"/>
              <w:rPr>
                <w:rFonts w:ascii="Times New Roman" w:hAnsi="Times New Roman" w:eastAsia="Times New Roman" w:cs="Times New Roman"/>
                <w:color w:val="000000"/>
              </w:rPr>
            </w:pPr>
            <w:r>
              <w:rPr>
                <w:rFonts w:ascii="Times New Roman" w:hAnsi="Times New Roman" w:eastAsia="Times New Roman" w:cs="Times New Roman"/>
                <w:color w:val="000000"/>
              </w:rPr>
              <w:t>GADAMER, Hans-Georg. O Problema da consciência histórica. Rio de Janeiro: Editora Fundação Getúlio Vargas, 1998.</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11" w:hanging="2"/>
              <w:rPr>
                <w:rFonts w:ascii="Times New Roman" w:hAnsi="Times New Roman" w:eastAsia="Times New Roman" w:cs="Times New Roman"/>
                <w:color w:val="000000"/>
              </w:rPr>
            </w:pPr>
            <w:r>
              <w:rPr>
                <w:rFonts w:ascii="Times New Roman" w:hAnsi="Times New Roman" w:eastAsia="Times New Roman" w:cs="Times New Roman"/>
                <w:color w:val="000000"/>
              </w:rPr>
              <w:t>GARDINER, Patrick (Org.) (2004). Teorias da história (trad.: Vítor Matos e Sá). Lisboa: Fundação Calouste Gulbenkian.</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GLÉNISSON, Jean. Iniciação aos estudos históricos. São Paulo, Difel, 1983.</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HADDOCK, Bruce A. (1989). Uma introdução ao pensamento histórico (trad.: Maria Branco). Lisboa: Gradiva.</w:t>
            </w:r>
          </w:p>
        </w:tc>
      </w:tr>
    </w:tbl>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8" w:after="140" w:line="288" w:lineRule="auto"/>
        <w:ind w:left="0" w:hanging="2"/>
        <w:rPr>
          <w:rFonts w:ascii="Times New Roman" w:hAnsi="Times New Roman" w:eastAsia="Times New Roman" w:cs="Times New Roman"/>
          <w:color w:val="000000"/>
        </w:rPr>
      </w:pPr>
    </w:p>
    <w:tbl>
      <w:tblPr>
        <w:tblStyle w:val="513"/>
        <w:tblW w:w="9021" w:type="dxa"/>
        <w:tblInd w:w="2" w:type="dxa"/>
        <w:tblLayout w:type="fixed"/>
        <w:tblCellMar>
          <w:top w:w="0" w:type="dxa"/>
          <w:left w:w="22" w:type="dxa"/>
          <w:bottom w:w="0" w:type="dxa"/>
          <w:right w:w="5" w:type="dxa"/>
        </w:tblCellMar>
      </w:tblPr>
      <w:tblGrid>
        <w:gridCol w:w="2901"/>
        <w:gridCol w:w="3314"/>
        <w:gridCol w:w="2806"/>
      </w:tblGrid>
      <w:tr>
        <w:tblPrEx>
          <w:tblCellMar>
            <w:top w:w="0" w:type="dxa"/>
            <w:left w:w="22" w:type="dxa"/>
            <w:bottom w:w="0" w:type="dxa"/>
            <w:right w:w="5" w:type="dxa"/>
          </w:tblCellMar>
        </w:tblPrEx>
        <w:trPr>
          <w:trHeight w:val="1660" w:hRule="atLeast"/>
        </w:trPr>
        <w:tc>
          <w:tcPr>
            <w:tcW w:w="6215"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4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Seminário em Teoria da História II</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Seminar in</w:t>
            </w:r>
          </w:p>
          <w:p>
            <w:pPr>
              <w:widowControl w:val="0"/>
              <w:pBdr>
                <w:top w:val="none" w:color="auto" w:sz="0" w:space="0"/>
                <w:left w:val="none" w:color="auto" w:sz="0" w:space="0"/>
                <w:bottom w:val="none" w:color="auto" w:sz="0" w:space="0"/>
                <w:right w:val="none" w:color="auto" w:sz="0" w:space="0"/>
                <w:between w:val="none" w:color="auto" w:sz="0" w:space="0"/>
              </w:pBdr>
              <w:spacing w:before="133"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Theory of History II</w:t>
            </w:r>
          </w:p>
        </w:tc>
        <w:tc>
          <w:tcPr>
            <w:tcW w:w="2806"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HIS 843</w:t>
            </w:r>
          </w:p>
        </w:tc>
      </w:tr>
      <w:tr>
        <w:tblPrEx>
          <w:tblCellMar>
            <w:top w:w="0" w:type="dxa"/>
            <w:left w:w="22" w:type="dxa"/>
            <w:bottom w:w="0" w:type="dxa"/>
            <w:right w:w="5" w:type="dxa"/>
          </w:tblCellMar>
        </w:tblPrEx>
        <w:trPr>
          <w:trHeight w:val="825" w:hRule="atLeast"/>
        </w:trPr>
        <w:tc>
          <w:tcPr>
            <w:tcW w:w="6215"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 História</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DEHIS</w:t>
            </w:r>
          </w:p>
        </w:tc>
        <w:tc>
          <w:tcPr>
            <w:tcW w:w="280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5" w:type="dxa"/>
          </w:tblCellMar>
        </w:tblPrEx>
        <w:trPr>
          <w:trHeight w:val="1243" w:hRule="atLeast"/>
        </w:trPr>
        <w:tc>
          <w:tcPr>
            <w:tcW w:w="2901"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502"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right="717"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semestral 90 horas</w:t>
            </w:r>
          </w:p>
        </w:tc>
        <w:tc>
          <w:tcPr>
            <w:tcW w:w="3314"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280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 02 horas/aula</w:t>
            </w:r>
          </w:p>
        </w:tc>
      </w:tr>
      <w:tr>
        <w:tblPrEx>
          <w:tblCellMar>
            <w:top w:w="0" w:type="dxa"/>
            <w:left w:w="22" w:type="dxa"/>
            <w:bottom w:w="0" w:type="dxa"/>
            <w:right w:w="5" w:type="dxa"/>
          </w:tblCellMar>
        </w:tblPrEx>
        <w:trPr>
          <w:trHeight w:val="830"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Ementa: Discussão de categorias e conceitos historiográficos relativos às teorias de</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história e a formação de modalidades de concepção de textos históricos.</w:t>
            </w:r>
          </w:p>
        </w:tc>
      </w:tr>
      <w:tr>
        <w:tblPrEx>
          <w:tblCellMar>
            <w:top w:w="0" w:type="dxa"/>
            <w:left w:w="22" w:type="dxa"/>
            <w:bottom w:w="0" w:type="dxa"/>
            <w:right w:w="5" w:type="dxa"/>
          </w:tblCellMar>
        </w:tblPrEx>
        <w:trPr>
          <w:trHeight w:val="960"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before="2"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 disciplina pretende explorar a bibliografia pertencente a três vertentes do campo da história dos conceitos e linguagens políticas: a vertente alemã capitaneada por Reinhart</w:t>
            </w:r>
          </w:p>
          <w:p>
            <w:pPr>
              <w:widowControl w:val="0"/>
              <w:pBdr>
                <w:top w:val="none" w:color="auto" w:sz="0" w:space="0"/>
                <w:left w:val="none" w:color="auto" w:sz="0" w:space="0"/>
                <w:bottom w:val="none" w:color="auto" w:sz="0" w:space="0"/>
                <w:right w:val="none" w:color="auto" w:sz="0" w:space="0"/>
                <w:between w:val="none" w:color="auto" w:sz="0" w:space="0"/>
              </w:pBdr>
              <w:spacing w:before="2" w:line="240" w:lineRule="auto"/>
              <w:ind w:left="0" w:hanging="2"/>
              <w:rPr>
                <w:rFonts w:ascii="Times New Roman" w:hAnsi="Times New Roman" w:eastAsia="Times New Roman" w:cs="Times New Roman"/>
                <w:color w:val="000000"/>
              </w:rPr>
            </w:pPr>
          </w:p>
        </w:tc>
      </w:tr>
      <w:tr>
        <w:tblPrEx>
          <w:tblCellMar>
            <w:top w:w="0" w:type="dxa"/>
            <w:left w:w="22" w:type="dxa"/>
            <w:bottom w:w="0" w:type="dxa"/>
            <w:right w:w="5" w:type="dxa"/>
          </w:tblCellMar>
        </w:tblPrEx>
        <w:trPr>
          <w:trHeight w:val="960"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Koselleck,a vertente francesa de Pierre Rosanvallon e Marcel Gauchet e a vertente inglesa de QuentinSkinner e John Pocock. Serão abordados os limites da história dos conceitos e linguagens políticas através da leitura de textos de como Hans Blumenberg e Hans-Ulrich Gumbrecht. Será abordada também, como etapa final avaliativa, a aplicação didática da metodologia e das questões teóricas das três vertentes da história conceitual.</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Módulo I. A História do “Político”francesa: Pierre Rosanvallon e Marcel Gauchet Módulo II. A </w:t>
            </w:r>
            <w:r>
              <w:rPr>
                <w:rFonts w:ascii="Times New Roman" w:hAnsi="Times New Roman" w:eastAsia="Times New Roman" w:cs="Times New Roman"/>
                <w:i/>
                <w:color w:val="000000"/>
              </w:rPr>
              <w:t xml:space="preserve">Begriffgeschichte </w:t>
            </w:r>
            <w:r>
              <w:rPr>
                <w:rFonts w:ascii="Times New Roman" w:hAnsi="Times New Roman" w:eastAsia="Times New Roman" w:cs="Times New Roman"/>
                <w:color w:val="000000"/>
              </w:rPr>
              <w:t>alemã: Reinhart Koselleck</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3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Módulo III. A História das linguagens políticas inglesa: Quentin Skinner e John Pocock</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Módulo IV. Os limites dos conceitos: H. U. Gumbrecht e H. Blumenberg</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Módulo V. Seminários (Sobre uma obra a ser escolhida ou apresentação de material didático).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tc>
      </w:tr>
      <w:tr>
        <w:tblPrEx>
          <w:tblCellMar>
            <w:top w:w="0" w:type="dxa"/>
            <w:left w:w="22" w:type="dxa"/>
            <w:bottom w:w="0" w:type="dxa"/>
            <w:right w:w="5" w:type="dxa"/>
          </w:tblCellMar>
        </w:tblPrEx>
        <w:trPr>
          <w:trHeight w:val="5149" w:hRule="atLeast"/>
        </w:trPr>
        <w:tc>
          <w:tcPr>
            <w:tcW w:w="9021" w:type="dxa"/>
            <w:gridSpan w:val="3"/>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right="62"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ARAUJO, Valdei Lopes de. “História dos conceitos: problemas e desafios para uma releitura da BLUMENBERG, H.</w:t>
            </w:r>
            <w:r>
              <w:rPr>
                <w:rFonts w:ascii="Times New Roman" w:hAnsi="Times New Roman" w:eastAsia="Times New Roman" w:cs="Times New Roman"/>
                <w:i/>
                <w:color w:val="000000"/>
              </w:rPr>
              <w:t xml:space="preserve">Teoria da Não Conceitualidade. </w:t>
            </w:r>
            <w:r>
              <w:rPr>
                <w:rFonts w:ascii="Times New Roman" w:hAnsi="Times New Roman" w:eastAsia="Times New Roman" w:cs="Times New Roman"/>
                <w:color w:val="000000"/>
              </w:rPr>
              <w:t>Belo Horizonte: Ed. UFMG, 2013.</w:t>
            </w: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right="64"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BLUMENBERG, Hans. U. </w:t>
            </w:r>
            <w:r>
              <w:rPr>
                <w:rFonts w:ascii="Times New Roman" w:hAnsi="Times New Roman" w:eastAsia="Times New Roman" w:cs="Times New Roman"/>
                <w:i/>
                <w:color w:val="000000"/>
              </w:rPr>
              <w:t xml:space="preserve">Paradigmas para uma metaforologia. </w:t>
            </w:r>
            <w:r>
              <w:rPr>
                <w:rFonts w:ascii="Times New Roman" w:hAnsi="Times New Roman" w:eastAsia="Times New Roman" w:cs="Times New Roman"/>
                <w:color w:val="000000"/>
              </w:rPr>
              <w:t xml:space="preserve">Madrid:Trota: 2003. CHIGNOLA, Sandro. “História dos conceitos e história da filosofia política” In. </w:t>
            </w:r>
            <w:r>
              <w:rPr>
                <w:rFonts w:ascii="Times New Roman" w:hAnsi="Times New Roman" w:eastAsia="Times New Roman" w:cs="Times New Roman"/>
                <w:i/>
                <w:color w:val="000000"/>
              </w:rPr>
              <w:t xml:space="preserve">História dos Conceitos: Diálogos Transatlânticos. </w:t>
            </w:r>
            <w:r>
              <w:rPr>
                <w:rFonts w:ascii="Times New Roman" w:hAnsi="Times New Roman" w:eastAsia="Times New Roman" w:cs="Times New Roman"/>
                <w:color w:val="000000"/>
              </w:rPr>
              <w:t>Rio de Janeiro: Loyola: 2007.</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GADAMER, Hans-Georg. “O problema da história efeitual”. In: GADAMER, Hans- Georg.Verdade e Método. Traços fundamentais de uma hermenêutica filosófica”. Petrópolis, RJ: Vozes,1997.</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24"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GAUCHET, Marcel. </w:t>
            </w:r>
            <w:r>
              <w:rPr>
                <w:rFonts w:ascii="Times New Roman" w:hAnsi="Times New Roman" w:eastAsia="Times New Roman" w:cs="Times New Roman"/>
                <w:i/>
                <w:color w:val="000000"/>
              </w:rPr>
              <w:t xml:space="preserve">La Condicion Histórica. Conversasiones com François Azouvi y Sylvain Piron. </w:t>
            </w:r>
            <w:r>
              <w:rPr>
                <w:rFonts w:ascii="Times New Roman" w:hAnsi="Times New Roman" w:eastAsia="Times New Roman" w:cs="Times New Roman"/>
                <w:color w:val="000000"/>
              </w:rPr>
              <w:t>Madrid: Trotta, 2007.</w:t>
            </w:r>
          </w:p>
        </w:tc>
      </w:tr>
      <w:tr>
        <w:tblPrEx>
          <w:tblCellMar>
            <w:top w:w="0" w:type="dxa"/>
            <w:left w:w="22" w:type="dxa"/>
            <w:bottom w:w="0" w:type="dxa"/>
            <w:right w:w="5" w:type="dxa"/>
          </w:tblCellMar>
        </w:tblPrEx>
        <w:trPr>
          <w:trHeight w:val="1656" w:hRule="atLeast"/>
        </w:trPr>
        <w:tc>
          <w:tcPr>
            <w:tcW w:w="9021" w:type="dxa"/>
            <w:gridSpan w:val="3"/>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KOSELLECK, R, ET alii. </w:t>
            </w:r>
            <w:r>
              <w:rPr>
                <w:rFonts w:ascii="Times New Roman" w:hAnsi="Times New Roman" w:eastAsia="Times New Roman" w:cs="Times New Roman"/>
                <w:i/>
                <w:color w:val="000000"/>
              </w:rPr>
              <w:t xml:space="preserve">O Conceito de História. </w:t>
            </w:r>
            <w:r>
              <w:rPr>
                <w:rFonts w:ascii="Times New Roman" w:hAnsi="Times New Roman" w:eastAsia="Times New Roman" w:cs="Times New Roman"/>
                <w:color w:val="000000"/>
              </w:rPr>
              <w:t>Belo Horizonte: Autêntica, 2013. LACAPRA. Dominick. “Repensar la história intelectual y reler los textos”</w:t>
            </w:r>
            <w:r>
              <w:rPr>
                <w:rFonts w:ascii="Times New Roman" w:hAnsi="Times New Roman" w:eastAsia="Times New Roman" w:cs="Times New Roman"/>
                <w:i/>
                <w:color w:val="000000"/>
              </w:rPr>
              <w:t xml:space="preserve">. </w:t>
            </w:r>
            <w:r>
              <w:rPr>
                <w:rFonts w:ascii="Times New Roman" w:hAnsi="Times New Roman" w:eastAsia="Times New Roman" w:cs="Times New Roman"/>
                <w:color w:val="000000"/>
              </w:rPr>
              <w:t xml:space="preserve">In. PALTI, Elias J. </w:t>
            </w:r>
            <w:r>
              <w:rPr>
                <w:rFonts w:ascii="Times New Roman" w:hAnsi="Times New Roman" w:eastAsia="Times New Roman" w:cs="Times New Roman"/>
                <w:i/>
                <w:color w:val="000000"/>
              </w:rPr>
              <w:t xml:space="preserve">Giro Linguístico e História Intelectual. </w:t>
            </w:r>
            <w:r>
              <w:rPr>
                <w:rFonts w:ascii="Times New Roman" w:hAnsi="Times New Roman" w:eastAsia="Times New Roman" w:cs="Times New Roman"/>
                <w:color w:val="000000"/>
              </w:rPr>
              <w:t>Quilmes: Universidade Nacional de Quilmes, 1998.</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right="67"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LOPES, Marco Antônio. </w:t>
            </w:r>
            <w:r>
              <w:rPr>
                <w:rFonts w:ascii="Times New Roman" w:hAnsi="Times New Roman" w:eastAsia="Times New Roman" w:cs="Times New Roman"/>
                <w:i/>
                <w:color w:val="000000"/>
              </w:rPr>
              <w:t xml:space="preserve">Para Ler os Clássicos do Pensamento Político. Um Guia Historiográfico. </w:t>
            </w:r>
            <w:r>
              <w:rPr>
                <w:rFonts w:ascii="Times New Roman" w:hAnsi="Times New Roman" w:eastAsia="Times New Roman" w:cs="Times New Roman"/>
                <w:color w:val="000000"/>
              </w:rPr>
              <w:t>Rio de Janeiro: FGV, 2002.</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7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LOPES, Marcos Antônio. “Aspectos teóricos do pensamento histórico de Quentin Skinner”. </w:t>
            </w:r>
            <w:r>
              <w:rPr>
                <w:rFonts w:ascii="Times New Roman" w:hAnsi="Times New Roman" w:eastAsia="Times New Roman" w:cs="Times New Roman"/>
                <w:i/>
                <w:color w:val="000000"/>
              </w:rPr>
              <w:t xml:space="preserve">Kriterion: Revista de Filosofia Kriterion </w:t>
            </w:r>
            <w:r>
              <w:rPr>
                <w:rFonts w:ascii="Times New Roman" w:hAnsi="Times New Roman" w:eastAsia="Times New Roman" w:cs="Times New Roman"/>
                <w:color w:val="000000"/>
              </w:rPr>
              <w:t xml:space="preserve">vol.52 no.123 Belo Horizonte June 2011- </w:t>
            </w:r>
            <w:r>
              <w:fldChar w:fldCharType="begin"/>
            </w:r>
            <w:r>
              <w:instrText xml:space="preserve"> HYPERLINK "http://dx.doi.org/10.1590/S0100-512X2011000100010" \h </w:instrText>
            </w:r>
            <w:r>
              <w:fldChar w:fldCharType="separate"/>
            </w:r>
            <w:r>
              <w:rPr>
                <w:rFonts w:ascii="Times New Roman" w:hAnsi="Times New Roman" w:eastAsia="Times New Roman" w:cs="Times New Roman"/>
                <w:color w:val="0000FF"/>
                <w:u w:val="single"/>
              </w:rPr>
              <w:t>http://dx.doi.org/10.1590/S0100-512X2011000100010</w:t>
            </w:r>
            <w:r>
              <w:rPr>
                <w:rFonts w:ascii="Times New Roman" w:hAnsi="Times New Roman" w:eastAsia="Times New Roman" w:cs="Times New Roman"/>
                <w:color w:val="0000FF"/>
                <w:u w:val="single"/>
              </w:rPr>
              <w:fldChar w:fldCharType="end"/>
            </w:r>
            <w:r>
              <w:rPr>
                <w:rFonts w:ascii="Times New Roman" w:hAnsi="Times New Roman" w:eastAsia="Times New Roman" w:cs="Times New Roman"/>
                <w:color w:val="000000"/>
              </w:rPr>
              <w:t>. modernidade ibérica”. In: Almanack Braziliense, n.7. São Paulo, maio 2008. Versão On-line.</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3"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OLIVEIRA JUNIOR, Carlos Mauro de. “História Política e História dos conceitos: um estudo sobre o político em Pierre Rosanvallon e Marcel Gauchet”. </w:t>
            </w:r>
            <w:r>
              <w:rPr>
                <w:rFonts w:ascii="Times New Roman" w:hAnsi="Times New Roman" w:eastAsia="Times New Roman" w:cs="Times New Roman"/>
                <w:i/>
                <w:color w:val="000000"/>
              </w:rPr>
              <w:t>História da Historiografia.OuroPreto. N 9. Agosto. 2012.</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PADILLA Guillermo Zermeño. “História, Experiência e Modernidade na América Ibérica. 1750- 1850. </w:t>
            </w:r>
            <w:r>
              <w:rPr>
                <w:rFonts w:ascii="Times New Roman" w:hAnsi="Times New Roman" w:eastAsia="Times New Roman" w:cs="Times New Roman"/>
                <w:i/>
                <w:color w:val="000000"/>
              </w:rPr>
              <w:t xml:space="preserve">Almanack Brazilense, </w:t>
            </w:r>
            <w:r>
              <w:rPr>
                <w:rFonts w:ascii="Times New Roman" w:hAnsi="Times New Roman" w:eastAsia="Times New Roman" w:cs="Times New Roman"/>
                <w:color w:val="000000"/>
              </w:rPr>
              <w:t>número 7, Maio 2008.</w:t>
            </w:r>
          </w:p>
          <w:p>
            <w:pPr>
              <w:widowControl w:val="0"/>
              <w:pBdr>
                <w:top w:val="none" w:color="auto" w:sz="0" w:space="0"/>
                <w:left w:val="none" w:color="auto" w:sz="0" w:space="0"/>
                <w:bottom w:val="none" w:color="auto" w:sz="0" w:space="0"/>
                <w:right w:val="none" w:color="auto" w:sz="0" w:space="0"/>
                <w:between w:val="none" w:color="auto" w:sz="0" w:space="0"/>
              </w:pBdr>
              <w:spacing w:before="3"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PALONEN, Kari. “Tempos da política e temporalização conceitual: um novo programa para a História conceitual”. In. </w:t>
            </w:r>
            <w:r>
              <w:rPr>
                <w:rFonts w:ascii="Times New Roman" w:hAnsi="Times New Roman" w:eastAsia="Times New Roman" w:cs="Times New Roman"/>
                <w:i/>
                <w:color w:val="000000"/>
              </w:rPr>
              <w:t xml:space="preserve">História dos Conceitos: Diálogos Transatlânticos. </w:t>
            </w:r>
            <w:r>
              <w:rPr>
                <w:rFonts w:ascii="Times New Roman" w:hAnsi="Times New Roman" w:eastAsia="Times New Roman" w:cs="Times New Roman"/>
                <w:color w:val="000000"/>
              </w:rPr>
              <w:t>Rio de Janeiro: Loyola: 2007.</w:t>
            </w:r>
          </w:p>
        </w:tc>
      </w:tr>
    </w:tbl>
    <w:p>
      <w:pPr>
        <w:pBdr>
          <w:top w:val="none" w:color="auto" w:sz="0" w:space="0"/>
          <w:left w:val="none" w:color="auto" w:sz="0" w:space="0"/>
          <w:bottom w:val="none" w:color="auto" w:sz="0" w:space="0"/>
          <w:right w:val="none" w:color="auto" w:sz="0" w:space="0"/>
          <w:between w:val="none" w:color="auto" w:sz="0" w:space="0"/>
        </w:pBdr>
        <w:spacing w:before="2" w:after="14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2" w:after="14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2" w:after="140" w:line="288" w:lineRule="auto"/>
        <w:ind w:left="0" w:hanging="2"/>
        <w:rPr>
          <w:rFonts w:ascii="Times New Roman" w:hAnsi="Times New Roman" w:eastAsia="Times New Roman" w:cs="Times New Roman"/>
          <w:color w:val="000000"/>
        </w:rPr>
      </w:pPr>
    </w:p>
    <w:tbl>
      <w:tblPr>
        <w:tblStyle w:val="514"/>
        <w:tblW w:w="9021" w:type="dxa"/>
        <w:tblInd w:w="2" w:type="dxa"/>
        <w:tblLayout w:type="fixed"/>
        <w:tblCellMar>
          <w:top w:w="0" w:type="dxa"/>
          <w:left w:w="22" w:type="dxa"/>
          <w:bottom w:w="0" w:type="dxa"/>
          <w:right w:w="5" w:type="dxa"/>
        </w:tblCellMar>
      </w:tblPr>
      <w:tblGrid>
        <w:gridCol w:w="2698"/>
        <w:gridCol w:w="3233"/>
        <w:gridCol w:w="3090"/>
      </w:tblGrid>
      <w:tr>
        <w:tblPrEx>
          <w:tblCellMar>
            <w:top w:w="0" w:type="dxa"/>
            <w:left w:w="22" w:type="dxa"/>
            <w:bottom w:w="0" w:type="dxa"/>
            <w:right w:w="5" w:type="dxa"/>
          </w:tblCellMar>
        </w:tblPrEx>
        <w:trPr>
          <w:trHeight w:val="1906" w:hRule="atLeast"/>
        </w:trPr>
        <w:tc>
          <w:tcPr>
            <w:tcW w:w="5931"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tabs>
                <w:tab w:val="left" w:pos="918"/>
                <w:tab w:val="left" w:pos="1383"/>
                <w:tab w:val="left" w:pos="2831"/>
                <w:tab w:val="left" w:pos="4035"/>
                <w:tab w:val="left" w:pos="4548"/>
              </w:tabs>
              <w:spacing w:line="360" w:lineRule="auto"/>
              <w:ind w:left="0" w:right="86" w:hanging="2"/>
              <w:rPr>
                <w:rFonts w:ascii="Times New Roman" w:hAnsi="Times New Roman" w:eastAsia="Times New Roman" w:cs="Times New Roman"/>
                <w:color w:val="000000"/>
              </w:rPr>
            </w:pPr>
            <w:r>
              <w:rPr>
                <w:rFonts w:ascii="Times New Roman" w:hAnsi="Times New Roman" w:eastAsia="Times New Roman" w:cs="Times New Roman"/>
                <w:color w:val="000000"/>
              </w:rPr>
              <w:t>Nome</w:t>
            </w:r>
            <w:r>
              <w:rPr>
                <w:rFonts w:ascii="Times New Roman" w:hAnsi="Times New Roman" w:eastAsia="Times New Roman" w:cs="Times New Roman"/>
                <w:color w:val="000000"/>
              </w:rPr>
              <w:tab/>
            </w:r>
            <w:r>
              <w:rPr>
                <w:rFonts w:ascii="Times New Roman" w:hAnsi="Times New Roman" w:eastAsia="Times New Roman" w:cs="Times New Roman"/>
                <w:color w:val="000000"/>
              </w:rPr>
              <w:t>do</w:t>
            </w:r>
            <w:r>
              <w:rPr>
                <w:rFonts w:ascii="Times New Roman" w:hAnsi="Times New Roman" w:eastAsia="Times New Roman" w:cs="Times New Roman"/>
                <w:color w:val="000000"/>
              </w:rPr>
              <w:tab/>
            </w:r>
            <w:r>
              <w:rPr>
                <w:rFonts w:ascii="Times New Roman" w:hAnsi="Times New Roman" w:eastAsia="Times New Roman" w:cs="Times New Roman"/>
                <w:color w:val="000000"/>
              </w:rPr>
              <w:t>Componente</w:t>
            </w:r>
            <w:r>
              <w:rPr>
                <w:rFonts w:ascii="Times New Roman" w:hAnsi="Times New Roman" w:eastAsia="Times New Roman" w:cs="Times New Roman"/>
                <w:color w:val="000000"/>
              </w:rPr>
              <w:tab/>
            </w:r>
            <w:r>
              <w:rPr>
                <w:rFonts w:ascii="Times New Roman" w:hAnsi="Times New Roman" w:eastAsia="Times New Roman" w:cs="Times New Roman"/>
                <w:color w:val="000000"/>
              </w:rPr>
              <w:t>Curricular</w:t>
            </w:r>
            <w:r>
              <w:rPr>
                <w:rFonts w:ascii="Times New Roman" w:hAnsi="Times New Roman" w:eastAsia="Times New Roman" w:cs="Times New Roman"/>
                <w:color w:val="000000"/>
              </w:rPr>
              <w:tab/>
            </w:r>
            <w:r>
              <w:rPr>
                <w:rFonts w:ascii="Times New Roman" w:hAnsi="Times New Roman" w:eastAsia="Times New Roman" w:cs="Times New Roman"/>
                <w:color w:val="000000"/>
              </w:rPr>
              <w:t>em</w:t>
            </w:r>
            <w:r>
              <w:rPr>
                <w:rFonts w:ascii="Times New Roman" w:hAnsi="Times New Roman" w:eastAsia="Times New Roman" w:cs="Times New Roman"/>
                <w:color w:val="000000"/>
              </w:rPr>
              <w:tab/>
            </w:r>
            <w:r>
              <w:rPr>
                <w:rFonts w:ascii="Times New Roman" w:hAnsi="Times New Roman" w:eastAsia="Times New Roman" w:cs="Times New Roman"/>
                <w:color w:val="000000"/>
              </w:rPr>
              <w:t>português: Seminário em História da Historiografia Geral I.</w:t>
            </w:r>
          </w:p>
          <w:p>
            <w:pPr>
              <w:widowControl w:val="0"/>
              <w:pBdr>
                <w:top w:val="none" w:color="auto" w:sz="0" w:space="0"/>
                <w:left w:val="none" w:color="auto" w:sz="0" w:space="0"/>
                <w:bottom w:val="none" w:color="auto" w:sz="0" w:space="0"/>
                <w:right w:val="none" w:color="auto" w:sz="0" w:space="0"/>
                <w:between w:val="none" w:color="auto" w:sz="0" w:space="0"/>
              </w:pBdr>
              <w:spacing w:before="4"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Seminar History of Historiography I.</w:t>
            </w:r>
          </w:p>
        </w:tc>
        <w:tc>
          <w:tcPr>
            <w:tcW w:w="3090"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HIS 845</w:t>
            </w:r>
          </w:p>
        </w:tc>
      </w:tr>
      <w:tr>
        <w:tblPrEx>
          <w:tblCellMar>
            <w:top w:w="0" w:type="dxa"/>
            <w:left w:w="22" w:type="dxa"/>
            <w:bottom w:w="0" w:type="dxa"/>
            <w:right w:w="5" w:type="dxa"/>
          </w:tblCellMar>
        </w:tblPrEx>
        <w:trPr>
          <w:trHeight w:val="830" w:hRule="atLeast"/>
        </w:trPr>
        <w:tc>
          <w:tcPr>
            <w:tcW w:w="5931"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w:t>
            </w:r>
          </w:p>
          <w:p>
            <w:pPr>
              <w:widowControl w:val="0"/>
              <w:pBdr>
                <w:top w:val="none" w:color="auto" w:sz="0" w:space="0"/>
                <w:left w:val="none" w:color="auto" w:sz="0" w:space="0"/>
                <w:bottom w:val="none" w:color="auto" w:sz="0" w:space="0"/>
                <w:right w:val="none" w:color="auto" w:sz="0" w:space="0"/>
                <w:between w:val="none" w:color="auto" w:sz="0" w:space="0"/>
              </w:pBdr>
              <w:spacing w:before="14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História - DEHIS</w:t>
            </w:r>
          </w:p>
        </w:tc>
        <w:tc>
          <w:tcPr>
            <w:tcW w:w="3090"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5" w:type="dxa"/>
          </w:tblCellMar>
        </w:tblPrEx>
        <w:trPr>
          <w:trHeight w:val="1243" w:hRule="atLeast"/>
        </w:trPr>
        <w:tc>
          <w:tcPr>
            <w:tcW w:w="2698"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3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3" w:line="240" w:lineRule="auto"/>
              <w:ind w:left="0" w:right="64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semestral 90 horas</w:t>
            </w:r>
          </w:p>
        </w:tc>
        <w:tc>
          <w:tcPr>
            <w:tcW w:w="3233"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3090"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 02 horas/aula</w:t>
            </w:r>
          </w:p>
        </w:tc>
      </w:tr>
      <w:tr>
        <w:tblPrEx>
          <w:tblCellMar>
            <w:top w:w="0" w:type="dxa"/>
            <w:left w:w="22" w:type="dxa"/>
            <w:bottom w:w="0" w:type="dxa"/>
            <w:right w:w="5" w:type="dxa"/>
          </w:tblCellMar>
        </w:tblPrEx>
        <w:trPr>
          <w:trHeight w:val="533"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Discussões sobre as diferentes configurações históricas que caracterizam modalidades variadas de produção do saber sobre o passado.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p>
        </w:tc>
      </w:tr>
      <w:tr>
        <w:tblPrEx>
          <w:tblCellMar>
            <w:top w:w="0" w:type="dxa"/>
            <w:left w:w="22" w:type="dxa"/>
            <w:bottom w:w="0" w:type="dxa"/>
            <w:right w:w="5" w:type="dxa"/>
          </w:tblCellMar>
        </w:tblPrEx>
        <w:trPr>
          <w:trHeight w:val="3503"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before="141" w:line="360" w:lineRule="auto"/>
              <w:ind w:left="0" w:right="5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 disciplina tem por objetivo desenvolver discussões voltadas a diferentes configurações históricas que caracterizam modalidades variadas de produção do saber sobre o passado em termos historiográficos. O tema geral da disciplina será a relação entre </w:t>
            </w:r>
            <w:r>
              <w:rPr>
                <w:rFonts w:ascii="Times New Roman" w:hAnsi="Times New Roman" w:eastAsia="Times New Roman" w:cs="Times New Roman"/>
              </w:rPr>
              <w:t>ética</w:t>
            </w:r>
            <w:r>
              <w:rPr>
                <w:rFonts w:ascii="Times New Roman" w:hAnsi="Times New Roman" w:eastAsia="Times New Roman" w:cs="Times New Roman"/>
                <w:color w:val="000000"/>
              </w:rPr>
              <w:t xml:space="preserve"> e a escrita da história, validação de um debate sobre ética da memória e do discurso histórico em paralelo à debates epistemológicos. Não se trata de uma história da ética, nem da ética na história. As três unidades tratarão de problemas referentes à historiografia moderna como gênero discursivo, apoiada sobre temas como violência, racismo, discriminação, humanismo e direitos humanos, identidade e alteridade, justiça e igualdade, diferença e indiferença, entre outros, de modo a explorar os elementos propriamente éticos que constituem os discursos de tipo históricos (historiografia). O curso será pautado sobre debates em sala sobre as leituras de caráter obrigatório. O curso possui caráter flexível, de modo que a bibliografia indicada poderá ser complementada a qualquer momento, visando renovação e enriquecimento formativo. O significado da disciplina reside no diálogo entre experiências visando ampliar as expectativas</w:t>
            </w:r>
            <w:r>
              <w:rPr>
                <w:rFonts w:ascii="Times New Roman" w:hAnsi="Times New Roman" w:eastAsia="Times New Roman" w:cs="Times New Roman"/>
              </w:rPr>
              <w:t xml:space="preserve"> </w:t>
            </w:r>
            <w:r>
              <w:rPr>
                <w:rFonts w:ascii="Times New Roman" w:hAnsi="Times New Roman" w:eastAsia="Times New Roman" w:cs="Times New Roman"/>
                <w:color w:val="000000"/>
              </w:rPr>
              <w:t>formativas dos participantes no que concerne à formação em História.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p>
        </w:tc>
      </w:tr>
      <w:tr>
        <w:tblPrEx>
          <w:tblCellMar>
            <w:top w:w="0" w:type="dxa"/>
            <w:left w:w="22" w:type="dxa"/>
            <w:bottom w:w="0" w:type="dxa"/>
            <w:right w:w="5" w:type="dxa"/>
          </w:tblCellMar>
        </w:tblPrEx>
        <w:trPr>
          <w:trHeight w:val="1748"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141"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AGAMBEN, G. </w:t>
            </w:r>
            <w:r>
              <w:rPr>
                <w:rFonts w:ascii="Times New Roman" w:hAnsi="Times New Roman" w:eastAsia="Times New Roman" w:cs="Times New Roman"/>
                <w:b/>
                <w:color w:val="000000"/>
              </w:rPr>
              <w:t>A comunidade que vem</w:t>
            </w:r>
            <w:r>
              <w:rPr>
                <w:rFonts w:ascii="Times New Roman" w:hAnsi="Times New Roman" w:eastAsia="Times New Roman" w:cs="Times New Roman"/>
                <w:i/>
                <w:color w:val="000000"/>
              </w:rPr>
              <w:t xml:space="preserve">. </w:t>
            </w:r>
            <w:r>
              <w:rPr>
                <w:rFonts w:ascii="Times New Roman" w:hAnsi="Times New Roman" w:eastAsia="Times New Roman" w:cs="Times New Roman"/>
                <w:color w:val="000000"/>
              </w:rPr>
              <w:t>Belo Horizonte, MG: Autêntica, 2009. Capítulo 9.</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483"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ARISTÓTELES. </w:t>
            </w:r>
            <w:r>
              <w:rPr>
                <w:rFonts w:ascii="Times New Roman" w:hAnsi="Times New Roman" w:eastAsia="Times New Roman" w:cs="Times New Roman"/>
                <w:b/>
                <w:color w:val="000000"/>
              </w:rPr>
              <w:t>Ética a Nicômaco</w:t>
            </w:r>
            <w:r>
              <w:rPr>
                <w:rFonts w:ascii="Times New Roman" w:hAnsi="Times New Roman" w:eastAsia="Times New Roman" w:cs="Times New Roman"/>
                <w:i/>
                <w:color w:val="000000"/>
              </w:rPr>
              <w:t xml:space="preserve">. </w:t>
            </w:r>
            <w:r>
              <w:rPr>
                <w:rFonts w:ascii="Times New Roman" w:hAnsi="Times New Roman" w:eastAsia="Times New Roman" w:cs="Times New Roman"/>
                <w:color w:val="000000"/>
              </w:rPr>
              <w:t xml:space="preserve">Rio de Janeiro: Atlas Editora, 2009. BHABBA, H. </w:t>
            </w:r>
            <w:r>
              <w:rPr>
                <w:rFonts w:ascii="Times New Roman" w:hAnsi="Times New Roman" w:eastAsia="Times New Roman" w:cs="Times New Roman"/>
                <w:b/>
                <w:color w:val="000000"/>
              </w:rPr>
              <w:t>O local da cultura</w:t>
            </w:r>
            <w:r>
              <w:rPr>
                <w:rFonts w:ascii="Times New Roman" w:hAnsi="Times New Roman" w:eastAsia="Times New Roman" w:cs="Times New Roman"/>
                <w:color w:val="000000"/>
              </w:rPr>
              <w:t xml:space="preserve">. Belo Horizonte: Editora da UFMG, 2013; DERRIDA, J. </w:t>
            </w:r>
            <w:r>
              <w:rPr>
                <w:rFonts w:ascii="Times New Roman" w:hAnsi="Times New Roman" w:eastAsia="Times New Roman" w:cs="Times New Roman"/>
                <w:b/>
                <w:color w:val="000000"/>
              </w:rPr>
              <w:t>Margins of Philosophy</w:t>
            </w:r>
            <w:r>
              <w:rPr>
                <w:rFonts w:ascii="Times New Roman" w:hAnsi="Times New Roman" w:eastAsia="Times New Roman" w:cs="Times New Roman"/>
                <w:color w:val="000000"/>
              </w:rPr>
              <w:t>. Chicago: University of Chicago Press,1982.</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FOUCALT, M. </w:t>
            </w:r>
            <w:r>
              <w:rPr>
                <w:rFonts w:ascii="Times New Roman" w:hAnsi="Times New Roman" w:eastAsia="Times New Roman" w:cs="Times New Roman"/>
                <w:b/>
                <w:color w:val="000000"/>
              </w:rPr>
              <w:t>A arqueologia do saber</w:t>
            </w:r>
            <w:r>
              <w:rPr>
                <w:rFonts w:ascii="Times New Roman" w:hAnsi="Times New Roman" w:eastAsia="Times New Roman" w:cs="Times New Roman"/>
                <w:color w:val="000000"/>
              </w:rPr>
              <w:t>. 8ª ed. Rio de Janeiro: Forense Universitária, 2012.</w:t>
            </w:r>
          </w:p>
        </w:tc>
      </w:tr>
      <w:tr>
        <w:tblPrEx>
          <w:tblCellMar>
            <w:top w:w="0" w:type="dxa"/>
            <w:left w:w="22" w:type="dxa"/>
            <w:bottom w:w="0" w:type="dxa"/>
            <w:right w:w="5" w:type="dxa"/>
          </w:tblCellMar>
        </w:tblPrEx>
        <w:trPr>
          <w:trHeight w:val="1747"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ALTHUSSER, L. </w:t>
            </w:r>
            <w:r>
              <w:rPr>
                <w:rFonts w:ascii="Times New Roman" w:hAnsi="Times New Roman" w:eastAsia="Times New Roman" w:cs="Times New Roman"/>
                <w:b/>
                <w:color w:val="000000"/>
              </w:rPr>
              <w:t xml:space="preserve">Ler O Capital. </w:t>
            </w:r>
            <w:r>
              <w:rPr>
                <w:rFonts w:ascii="Times New Roman" w:hAnsi="Times New Roman" w:eastAsia="Times New Roman" w:cs="Times New Roman"/>
                <w:color w:val="000000"/>
              </w:rPr>
              <w:t>Rio de Janeiro: Zahar, 1980.</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FABIAN, J. </w:t>
            </w:r>
            <w:r>
              <w:rPr>
                <w:rFonts w:ascii="Times New Roman" w:hAnsi="Times New Roman" w:eastAsia="Times New Roman" w:cs="Times New Roman"/>
                <w:b/>
                <w:color w:val="000000"/>
              </w:rPr>
              <w:t xml:space="preserve">O tempo e o outro: </w:t>
            </w:r>
            <w:r>
              <w:rPr>
                <w:rFonts w:ascii="Times New Roman" w:hAnsi="Times New Roman" w:eastAsia="Times New Roman" w:cs="Times New Roman"/>
                <w:color w:val="000000"/>
              </w:rPr>
              <w:t>como a antropologia estabelece seu objeto. Rio de Janeiro: Editora Vozes, 2013.</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DERRIDA,  J.  “White Mythology”. In:</w:t>
            </w:r>
            <w:r>
              <w:rPr>
                <w:rFonts w:ascii="Times New Roman" w:hAnsi="Times New Roman" w:eastAsia="Times New Roman" w:cs="Times New Roman"/>
                <w:color w:val="000000"/>
                <w:u w:val="single"/>
              </w:rPr>
              <w:tab/>
            </w:r>
            <w:r>
              <w:rPr>
                <w:rFonts w:ascii="Times New Roman" w:hAnsi="Times New Roman" w:eastAsia="Times New Roman" w:cs="Times New Roman"/>
                <w:color w:val="000000"/>
              </w:rPr>
              <w:t xml:space="preserve">. </w:t>
            </w:r>
            <w:r>
              <w:rPr>
                <w:rFonts w:ascii="Times New Roman" w:hAnsi="Times New Roman" w:eastAsia="Times New Roman" w:cs="Times New Roman"/>
                <w:b/>
                <w:color w:val="000000"/>
              </w:rPr>
              <w:t xml:space="preserve">Margins of Philosophy. </w:t>
            </w:r>
            <w:r>
              <w:rPr>
                <w:rFonts w:ascii="Times New Roman" w:hAnsi="Times New Roman" w:eastAsia="Times New Roman" w:cs="Times New Roman"/>
                <w:color w:val="000000"/>
              </w:rPr>
              <w:t>Chicago: University of Chicago Press, 1982, p.258-271.</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MIGNOT, W. D. </w:t>
            </w:r>
            <w:r>
              <w:rPr>
                <w:rFonts w:ascii="Times New Roman" w:hAnsi="Times New Roman" w:eastAsia="Times New Roman" w:cs="Times New Roman"/>
                <w:b/>
                <w:color w:val="000000"/>
              </w:rPr>
              <w:t xml:space="preserve">The darker side of Western modernity. </w:t>
            </w:r>
            <w:r>
              <w:rPr>
                <w:rFonts w:ascii="Times New Roman" w:hAnsi="Times New Roman" w:eastAsia="Times New Roman" w:cs="Times New Roman"/>
                <w:color w:val="000000"/>
              </w:rPr>
              <w:t>Global futures, decolonial options. Durham: Duke University Press, 2011. Capítulo 1.</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CHAKRABARTY, D. </w:t>
            </w:r>
            <w:r>
              <w:rPr>
                <w:rFonts w:ascii="Times New Roman" w:hAnsi="Times New Roman" w:eastAsia="Times New Roman" w:cs="Times New Roman"/>
                <w:b/>
                <w:color w:val="000000"/>
              </w:rPr>
              <w:t xml:space="preserve">Postcolonial thought and historical difference. </w:t>
            </w:r>
            <w:r>
              <w:rPr>
                <w:rFonts w:ascii="Times New Roman" w:hAnsi="Times New Roman" w:eastAsia="Times New Roman" w:cs="Times New Roman"/>
                <w:color w:val="000000"/>
              </w:rPr>
              <w:t>Princeton, NJ: Princeton University Press, 2000. Capítulos 1 e 2.</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HEIDEGGER, M. </w:t>
            </w:r>
            <w:r>
              <w:rPr>
                <w:rFonts w:ascii="Times New Roman" w:hAnsi="Times New Roman" w:eastAsia="Times New Roman" w:cs="Times New Roman"/>
                <w:b/>
                <w:color w:val="000000"/>
              </w:rPr>
              <w:t>Marcas do caminho</w:t>
            </w:r>
            <w:r>
              <w:rPr>
                <w:rFonts w:ascii="Times New Roman" w:hAnsi="Times New Roman" w:eastAsia="Times New Roman" w:cs="Times New Roman"/>
                <w:color w:val="000000"/>
              </w:rPr>
              <w:t>. Rio de Janeiro: Vozes, 2011.</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GUMBRECHT, H. U. </w:t>
            </w:r>
            <w:r>
              <w:rPr>
                <w:rFonts w:ascii="Times New Roman" w:hAnsi="Times New Roman" w:eastAsia="Times New Roman" w:cs="Times New Roman"/>
                <w:b/>
                <w:color w:val="000000"/>
              </w:rPr>
              <w:t>Em 1926</w:t>
            </w:r>
            <w:r>
              <w:rPr>
                <w:rFonts w:ascii="Times New Roman" w:hAnsi="Times New Roman" w:eastAsia="Times New Roman" w:cs="Times New Roman"/>
                <w:color w:val="000000"/>
              </w:rPr>
              <w:t>: vivendo no limite do tempo. Rio de Janeiro: Record, 1999.</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515"/>
        <w:tblW w:w="9021" w:type="dxa"/>
        <w:tblInd w:w="2" w:type="dxa"/>
        <w:tblLayout w:type="fixed"/>
        <w:tblCellMar>
          <w:top w:w="0" w:type="dxa"/>
          <w:left w:w="22" w:type="dxa"/>
          <w:bottom w:w="0" w:type="dxa"/>
          <w:right w:w="5" w:type="dxa"/>
        </w:tblCellMar>
      </w:tblPr>
      <w:tblGrid>
        <w:gridCol w:w="2698"/>
        <w:gridCol w:w="3233"/>
        <w:gridCol w:w="3090"/>
      </w:tblGrid>
      <w:tr>
        <w:tblPrEx>
          <w:tblCellMar>
            <w:top w:w="0" w:type="dxa"/>
            <w:left w:w="22" w:type="dxa"/>
            <w:bottom w:w="0" w:type="dxa"/>
            <w:right w:w="5" w:type="dxa"/>
          </w:tblCellMar>
        </w:tblPrEx>
        <w:trPr>
          <w:trHeight w:val="1906" w:hRule="atLeast"/>
        </w:trPr>
        <w:tc>
          <w:tcPr>
            <w:tcW w:w="5931"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40" w:hanging="2"/>
              <w:rPr>
                <w:rFonts w:ascii="Times New Roman" w:hAnsi="Times New Roman" w:eastAsia="Times New Roman" w:cs="Times New Roman"/>
                <w:color w:val="000000"/>
              </w:rPr>
            </w:pPr>
            <w:r>
              <w:rPr>
                <w:rFonts w:ascii="Times New Roman" w:hAnsi="Times New Roman" w:eastAsia="Times New Roman" w:cs="Times New Roman"/>
                <w:color w:val="000000"/>
              </w:rPr>
              <w:t>Nome</w:t>
            </w:r>
            <w:r>
              <w:rPr>
                <w:rFonts w:ascii="Times New Roman" w:hAnsi="Times New Roman" w:eastAsia="Times New Roman" w:cs="Times New Roman"/>
                <w:color w:val="000000"/>
              </w:rPr>
              <w:tab/>
            </w:r>
            <w:r>
              <w:rPr>
                <w:rFonts w:ascii="Times New Roman" w:hAnsi="Times New Roman" w:eastAsia="Times New Roman" w:cs="Times New Roman"/>
                <w:color w:val="000000"/>
              </w:rPr>
              <w:t>do</w:t>
            </w:r>
            <w:r>
              <w:rPr>
                <w:rFonts w:ascii="Times New Roman" w:hAnsi="Times New Roman" w:eastAsia="Times New Roman" w:cs="Times New Roman"/>
                <w:color w:val="000000"/>
              </w:rPr>
              <w:tab/>
            </w:r>
            <w:r>
              <w:rPr>
                <w:rFonts w:ascii="Times New Roman" w:hAnsi="Times New Roman" w:eastAsia="Times New Roman" w:cs="Times New Roman"/>
                <w:color w:val="000000"/>
              </w:rPr>
              <w:t>Componente</w:t>
            </w:r>
            <w:r>
              <w:rPr>
                <w:rFonts w:ascii="Times New Roman" w:hAnsi="Times New Roman" w:eastAsia="Times New Roman" w:cs="Times New Roman"/>
                <w:color w:val="000000"/>
              </w:rPr>
              <w:tab/>
            </w:r>
            <w:r>
              <w:rPr>
                <w:rFonts w:ascii="Times New Roman" w:hAnsi="Times New Roman" w:eastAsia="Times New Roman" w:cs="Times New Roman"/>
                <w:color w:val="000000"/>
              </w:rPr>
              <w:t>Curricular</w:t>
            </w:r>
            <w:r>
              <w:rPr>
                <w:rFonts w:ascii="Times New Roman" w:hAnsi="Times New Roman" w:eastAsia="Times New Roman" w:cs="Times New Roman"/>
                <w:color w:val="000000"/>
              </w:rPr>
              <w:tab/>
            </w:r>
            <w:r>
              <w:rPr>
                <w:rFonts w:ascii="Times New Roman" w:hAnsi="Times New Roman" w:eastAsia="Times New Roman" w:cs="Times New Roman"/>
                <w:color w:val="000000"/>
              </w:rPr>
              <w:t>em português: Seminário em História da Historiografia da Geral II</w:t>
            </w:r>
          </w:p>
          <w:p>
            <w:pPr>
              <w:widowControl w:val="0"/>
              <w:pBdr>
                <w:top w:val="none" w:color="auto" w:sz="0" w:space="0"/>
                <w:left w:val="none" w:color="auto" w:sz="0" w:space="0"/>
                <w:bottom w:val="none" w:color="auto" w:sz="0" w:space="0"/>
                <w:right w:val="none" w:color="auto" w:sz="0" w:space="0"/>
                <w:between w:val="none" w:color="auto" w:sz="0" w:space="0"/>
              </w:pBdr>
              <w:tabs>
                <w:tab w:val="left" w:pos="918"/>
                <w:tab w:val="left" w:pos="1383"/>
                <w:tab w:val="left" w:pos="2831"/>
                <w:tab w:val="left" w:pos="4035"/>
                <w:tab w:val="left" w:pos="4548"/>
              </w:tabs>
              <w:spacing w:line="360" w:lineRule="auto"/>
              <w:ind w:left="0" w:right="86"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before="4"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Seminar on History of Historiography II</w:t>
            </w:r>
          </w:p>
        </w:tc>
        <w:tc>
          <w:tcPr>
            <w:tcW w:w="3090"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HIS 846</w:t>
            </w:r>
          </w:p>
        </w:tc>
      </w:tr>
      <w:tr>
        <w:tblPrEx>
          <w:tblCellMar>
            <w:top w:w="0" w:type="dxa"/>
            <w:left w:w="22" w:type="dxa"/>
            <w:bottom w:w="0" w:type="dxa"/>
            <w:right w:w="5" w:type="dxa"/>
          </w:tblCellMar>
        </w:tblPrEx>
        <w:trPr>
          <w:trHeight w:val="830" w:hRule="atLeast"/>
        </w:trPr>
        <w:tc>
          <w:tcPr>
            <w:tcW w:w="5931"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w:t>
            </w:r>
          </w:p>
          <w:p>
            <w:pPr>
              <w:widowControl w:val="0"/>
              <w:pBdr>
                <w:top w:val="none" w:color="auto" w:sz="0" w:space="0"/>
                <w:left w:val="none" w:color="auto" w:sz="0" w:space="0"/>
                <w:bottom w:val="none" w:color="auto" w:sz="0" w:space="0"/>
                <w:right w:val="none" w:color="auto" w:sz="0" w:space="0"/>
                <w:between w:val="none" w:color="auto" w:sz="0" w:space="0"/>
              </w:pBdr>
              <w:spacing w:before="14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História - DEHIS</w:t>
            </w:r>
          </w:p>
        </w:tc>
        <w:tc>
          <w:tcPr>
            <w:tcW w:w="3090"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5" w:type="dxa"/>
          </w:tblCellMar>
        </w:tblPrEx>
        <w:trPr>
          <w:trHeight w:val="1243" w:hRule="atLeast"/>
        </w:trPr>
        <w:tc>
          <w:tcPr>
            <w:tcW w:w="2698"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3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3" w:line="240" w:lineRule="auto"/>
              <w:ind w:left="0" w:right="64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semestral 90 horas</w:t>
            </w:r>
          </w:p>
        </w:tc>
        <w:tc>
          <w:tcPr>
            <w:tcW w:w="3233"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3090"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 02 horas/aula</w:t>
            </w:r>
          </w:p>
        </w:tc>
      </w:tr>
      <w:tr>
        <w:tblPrEx>
          <w:tblCellMar>
            <w:top w:w="0" w:type="dxa"/>
            <w:left w:w="22" w:type="dxa"/>
            <w:bottom w:w="0" w:type="dxa"/>
            <w:right w:w="5" w:type="dxa"/>
          </w:tblCellMar>
        </w:tblPrEx>
        <w:trPr>
          <w:trHeight w:val="533"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tabs>
                <w:tab w:val="left" w:pos="1230"/>
              </w:tabs>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Estudo das diferentes modalidades de escrita historiográfica desde a antiguidade clássica até o período contemporâneo.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p>
        </w:tc>
      </w:tr>
      <w:tr>
        <w:tblPrEx>
          <w:tblCellMar>
            <w:top w:w="0" w:type="dxa"/>
            <w:left w:w="22" w:type="dxa"/>
            <w:bottom w:w="0" w:type="dxa"/>
            <w:right w:w="5" w:type="dxa"/>
          </w:tblCellMar>
        </w:tblPrEx>
        <w:trPr>
          <w:trHeight w:val="3503"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before="141" w:line="360" w:lineRule="auto"/>
              <w:ind w:left="0" w:right="2332" w:hanging="2"/>
              <w:rPr>
                <w:rFonts w:ascii="Times New Roman" w:hAnsi="Times New Roman" w:eastAsia="Times New Roman" w:cs="Times New Roman"/>
                <w:color w:val="000000"/>
              </w:rPr>
            </w:pPr>
            <w:r>
              <w:rPr>
                <w:rFonts w:ascii="Times New Roman" w:hAnsi="Times New Roman" w:eastAsia="Times New Roman" w:cs="Times New Roman"/>
                <w:color w:val="000000"/>
              </w:rPr>
              <w:t>Módulo 1: Entre utopias e distopias: viver com e sem ideologia; Módulo 2: Gênero e sexualidades</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Módulo 3: Ser negro(a) nos anos 80: políticas do tempo e raça</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right="1146" w:hanging="2"/>
              <w:rPr>
                <w:rFonts w:ascii="Times New Roman" w:hAnsi="Times New Roman" w:eastAsia="Times New Roman" w:cs="Times New Roman"/>
                <w:color w:val="000000"/>
              </w:rPr>
            </w:pPr>
            <w:r>
              <w:rPr>
                <w:rFonts w:ascii="Times New Roman" w:hAnsi="Times New Roman" w:eastAsia="Times New Roman" w:cs="Times New Roman"/>
                <w:color w:val="000000"/>
              </w:rPr>
              <w:t>Módulo 4: Evento, acontecimento, clima e mudança estrutural: 1984 - 1989; Módulo 5: Música e clima histórico;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Módulo 6: Inflação, pacotes e manipulação do tempo;</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Módulo 7: Simultaneidades, canais e ilhas: entre o Surf e o Punk;</w:t>
            </w:r>
          </w:p>
          <w:p>
            <w:pPr>
              <w:widowControl w:val="0"/>
              <w:pBdr>
                <w:top w:val="none" w:color="auto" w:sz="0" w:space="0"/>
                <w:left w:val="none" w:color="auto" w:sz="0" w:space="0"/>
                <w:bottom w:val="none" w:color="auto" w:sz="0" w:space="0"/>
                <w:right w:val="none" w:color="auto" w:sz="0" w:space="0"/>
                <w:between w:val="none" w:color="auto" w:sz="0" w:space="0"/>
              </w:pBdr>
              <w:spacing w:before="240"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Módulo 8: A análise da historicidade como fusão de horizontes: os anos 80 como parte do agora.</w:t>
            </w:r>
          </w:p>
        </w:tc>
      </w:tr>
      <w:tr>
        <w:tblPrEx>
          <w:tblCellMar>
            <w:top w:w="0" w:type="dxa"/>
            <w:left w:w="22" w:type="dxa"/>
            <w:bottom w:w="0" w:type="dxa"/>
            <w:right w:w="5" w:type="dxa"/>
          </w:tblCellMar>
        </w:tblPrEx>
        <w:trPr>
          <w:trHeight w:val="1748"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5"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ABREU, Marcelo, &amp; Rangel, Marcelo. Memória, cultura histórica e ensino de história no mundo contemporâneo. </w:t>
            </w:r>
            <w:r>
              <w:rPr>
                <w:rFonts w:ascii="Times New Roman" w:hAnsi="Times New Roman" w:eastAsia="Times New Roman" w:cs="Times New Roman"/>
                <w:i/>
                <w:color w:val="000000"/>
              </w:rPr>
              <w:t>História e Cultura</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4</w:t>
            </w:r>
            <w:r>
              <w:rPr>
                <w:rFonts w:ascii="Times New Roman" w:hAnsi="Times New Roman" w:eastAsia="Times New Roman" w:cs="Times New Roman"/>
                <w:color w:val="000000"/>
              </w:rPr>
              <w:t>(2), 2015, 7–24.</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4"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ARAUJO, Valdei L. de. (2013). História da historiografia como analítica da historicidade. </w:t>
            </w:r>
            <w:r>
              <w:rPr>
                <w:rFonts w:ascii="Times New Roman" w:hAnsi="Times New Roman" w:eastAsia="Times New Roman" w:cs="Times New Roman"/>
                <w:i/>
                <w:color w:val="000000"/>
              </w:rPr>
              <w:t>História da Historiografia</w:t>
            </w:r>
            <w:r>
              <w:rPr>
                <w:rFonts w:ascii="Times New Roman" w:hAnsi="Times New Roman" w:eastAsia="Times New Roman" w:cs="Times New Roman"/>
                <w:color w:val="000000"/>
              </w:rPr>
              <w:t xml:space="preserve">, (12), 34–44. </w:t>
            </w:r>
            <w:r>
              <w:fldChar w:fldCharType="begin"/>
            </w:r>
            <w:r>
              <w:instrText xml:space="preserve"> HYPERLINK "http://doi.org/10.15848/hh.v0i12.620" \h </w:instrText>
            </w:r>
            <w:r>
              <w:fldChar w:fldCharType="separate"/>
            </w:r>
            <w:r>
              <w:rPr>
                <w:rFonts w:ascii="Times New Roman" w:hAnsi="Times New Roman" w:eastAsia="Times New Roman" w:cs="Times New Roman"/>
                <w:color w:val="0000FF"/>
                <w:u w:val="single"/>
              </w:rPr>
              <w:t>http://doi.org/10.15848/hh.v0i12.620</w:t>
            </w:r>
            <w:r>
              <w:rPr>
                <w:rFonts w:ascii="Times New Roman" w:hAnsi="Times New Roman" w:eastAsia="Times New Roman" w:cs="Times New Roman"/>
                <w:color w:val="0000FF"/>
                <w:u w:val="single"/>
              </w:rPr>
              <w:fldChar w:fldCharType="end"/>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4"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ARAUJO, Valdei L. de. (2013). História da historiografia como analítica da historicidade. </w:t>
            </w:r>
            <w:r>
              <w:rPr>
                <w:rFonts w:ascii="Times New Roman" w:hAnsi="Times New Roman" w:eastAsia="Times New Roman" w:cs="Times New Roman"/>
                <w:i/>
                <w:color w:val="000000"/>
              </w:rPr>
              <w:t>História da Historiografia</w:t>
            </w:r>
            <w:r>
              <w:rPr>
                <w:rFonts w:ascii="Times New Roman" w:hAnsi="Times New Roman" w:eastAsia="Times New Roman" w:cs="Times New Roman"/>
                <w:color w:val="000000"/>
              </w:rPr>
              <w:t xml:space="preserve">, (12), 34–44. </w:t>
            </w:r>
            <w:r>
              <w:fldChar w:fldCharType="begin"/>
            </w:r>
            <w:r>
              <w:instrText xml:space="preserve"> HYPERLINK "http://doi.org/10.15848/hh.v0i12.620" \h </w:instrText>
            </w:r>
            <w:r>
              <w:fldChar w:fldCharType="separate"/>
            </w:r>
            <w:r>
              <w:rPr>
                <w:rFonts w:ascii="Times New Roman" w:hAnsi="Times New Roman" w:eastAsia="Times New Roman" w:cs="Times New Roman"/>
                <w:color w:val="0000FF"/>
                <w:u w:val="single"/>
              </w:rPr>
              <w:t>http://doi.org/10.15848/hh.v0i12.620</w:t>
            </w:r>
            <w:r>
              <w:rPr>
                <w:rFonts w:ascii="Times New Roman" w:hAnsi="Times New Roman" w:eastAsia="Times New Roman" w:cs="Times New Roman"/>
                <w:color w:val="0000FF"/>
                <w:u w:val="single"/>
              </w:rPr>
              <w:fldChar w:fldCharType="end"/>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7"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ALMEIDA, Gisele I. (2014). Futuro e história: análise da temporalidade atual. </w:t>
            </w:r>
            <w:r>
              <w:rPr>
                <w:rFonts w:ascii="Times New Roman" w:hAnsi="Times New Roman" w:eastAsia="Times New Roman" w:cs="Times New Roman"/>
                <w:i/>
                <w:color w:val="000000"/>
              </w:rPr>
              <w:t>História Da Historiografia</w:t>
            </w:r>
            <w:r>
              <w:rPr>
                <w:rFonts w:ascii="Times New Roman" w:hAnsi="Times New Roman" w:eastAsia="Times New Roman" w:cs="Times New Roman"/>
                <w:color w:val="000000"/>
              </w:rPr>
              <w:t>, (15), 2014, 51–69.</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Dossiê: Presença dos anos 1980: esperanças, nostalgias e historiografia. Revista Anos</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90. v. 24, n. 46 (2017).</w:t>
            </w:r>
          </w:p>
        </w:tc>
      </w:tr>
      <w:tr>
        <w:tblPrEx>
          <w:tblCellMar>
            <w:top w:w="0" w:type="dxa"/>
            <w:left w:w="22" w:type="dxa"/>
            <w:bottom w:w="0" w:type="dxa"/>
            <w:right w:w="5" w:type="dxa"/>
          </w:tblCellMar>
        </w:tblPrEx>
        <w:trPr>
          <w:trHeight w:val="1747"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ARAUJO, V. L. de. (2013). Portal da Casa de Oswaldo Cruz - Manifestações são forma de resistência, mas não têm força transformadora, diz o historiador Valdei Araujo. Retrieved September 30, 2014, from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http://www.coc.fiocruz.br/index.php/pt/todas-as-noticias/542-manifestacoes-sao-forma-de-resistencia-mas-nao-tem-forca-transformadora-diz-o%20historiador-valdei-araujo?tmpl=component&amp;print=1&amp;page=#!valdei_araujo1</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BRITO, Tiago. V. de. O Despertar da Presença: a tensão epistemológica na filosofia da história de Gumbrecht. Vitória: Dissertação de Mestradi, PPGHIS-UFES, 2014.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CARLOS, E. (n.d.). RIBEIRO, Evandro Carlos Pinheiro. Movimento Punk - A Insustentavel Rebeldia do Ser.https://www.academia.edu/13182458/RIBEIRO_Evandro_Carlos_Pinheiro._Movi mento_Punk_-_A_Insustentavel_Rebeldia_do_Ser</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 FISHUK, E. (n.d.). Mikhail Gorbachov ‒ Discurso de renúncia à Presidência da URSS. https://www.academia.edu/9868914/Mikhail_Gorbachov_Discurso_de_renúncia_ à_Presidência_da_URSS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GOYBURU, S. (n.d.). El carnaval de Reagan. Sobre Gremlins (1984) y Gremlins 2 (1990). http://elangelexterminador.com.ar/articulosnro.17/gremlins.html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GUMBRECHT, Hans U. Perdido numa intensidade focada. Aletria, 15, 2007, 11–19.</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GUMBRECHT, Hans U. Presencias de Mozart. Historia y Grafía, (27), 2006, 73–195.</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pBdr>
          <w:top w:val="none" w:color="auto" w:sz="0" w:space="0"/>
          <w:left w:val="none" w:color="auto" w:sz="0" w:space="0"/>
          <w:bottom w:val="none" w:color="auto" w:sz="0" w:space="0"/>
          <w:right w:val="none" w:color="auto" w:sz="0" w:space="0"/>
          <w:between w:val="none" w:color="auto" w:sz="0" w:space="0"/>
        </w:pBdr>
        <w:spacing w:before="11" w:after="140" w:line="288" w:lineRule="auto"/>
        <w:ind w:left="0" w:hanging="2"/>
        <w:rPr>
          <w:rFonts w:ascii="Times New Roman" w:hAnsi="Times New Roman" w:eastAsia="Times New Roman" w:cs="Times New Roman"/>
          <w:color w:val="000000"/>
        </w:rPr>
      </w:pPr>
    </w:p>
    <w:tbl>
      <w:tblPr>
        <w:tblStyle w:val="516"/>
        <w:tblW w:w="9021" w:type="dxa"/>
        <w:tblInd w:w="2" w:type="dxa"/>
        <w:tblLayout w:type="fixed"/>
        <w:tblCellMar>
          <w:top w:w="0" w:type="dxa"/>
          <w:left w:w="22" w:type="dxa"/>
          <w:bottom w:w="0" w:type="dxa"/>
          <w:right w:w="22" w:type="dxa"/>
        </w:tblCellMar>
      </w:tblPr>
      <w:tblGrid>
        <w:gridCol w:w="2830"/>
        <w:gridCol w:w="3243"/>
        <w:gridCol w:w="2948"/>
      </w:tblGrid>
      <w:tr>
        <w:tblPrEx>
          <w:tblCellMar>
            <w:top w:w="0" w:type="dxa"/>
            <w:left w:w="22" w:type="dxa"/>
            <w:bottom w:w="0" w:type="dxa"/>
            <w:right w:w="22" w:type="dxa"/>
          </w:tblCellMar>
        </w:tblPrEx>
        <w:trPr>
          <w:trHeight w:val="1895" w:hRule="atLeast"/>
        </w:trPr>
        <w:tc>
          <w:tcPr>
            <w:tcW w:w="6073"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885"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Seminário em Historiografia Brasileira III</w:t>
            </w:r>
          </w:p>
          <w:p>
            <w:pPr>
              <w:widowControl w:val="0"/>
              <w:pBdr>
                <w:top w:val="none" w:color="auto" w:sz="0" w:space="0"/>
                <w:left w:val="none" w:color="auto" w:sz="0" w:space="0"/>
                <w:bottom w:val="none" w:color="auto" w:sz="0" w:space="0"/>
                <w:right w:val="none" w:color="auto" w:sz="0" w:space="0"/>
                <w:between w:val="none" w:color="auto" w:sz="0" w:space="0"/>
              </w:pBdr>
              <w:spacing w:before="99" w:line="240" w:lineRule="auto"/>
              <w:ind w:left="0" w:right="1265"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Seminário em Historiografia Brasileira III</w:t>
            </w:r>
          </w:p>
        </w:tc>
        <w:tc>
          <w:tcPr>
            <w:tcW w:w="2948"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HIS 850</w:t>
            </w:r>
          </w:p>
        </w:tc>
      </w:tr>
      <w:tr>
        <w:tblPrEx>
          <w:tblCellMar>
            <w:top w:w="0" w:type="dxa"/>
            <w:left w:w="22" w:type="dxa"/>
            <w:bottom w:w="0" w:type="dxa"/>
            <w:right w:w="22" w:type="dxa"/>
          </w:tblCellMar>
        </w:tblPrEx>
        <w:trPr>
          <w:trHeight w:val="830" w:hRule="atLeast"/>
        </w:trPr>
        <w:tc>
          <w:tcPr>
            <w:tcW w:w="6073"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História – DEHIS</w:t>
            </w:r>
          </w:p>
        </w:tc>
        <w:tc>
          <w:tcPr>
            <w:tcW w:w="2948"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3" w:hRule="atLeast"/>
        </w:trPr>
        <w:tc>
          <w:tcPr>
            <w:tcW w:w="2830"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3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3" w:line="240" w:lineRule="auto"/>
              <w:ind w:left="0" w:right="645"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semestral 90 horas</w:t>
            </w:r>
          </w:p>
        </w:tc>
        <w:tc>
          <w:tcPr>
            <w:tcW w:w="3243"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2948"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 02 horas/aula</w:t>
            </w:r>
          </w:p>
        </w:tc>
      </w:tr>
      <w:tr>
        <w:tblPrEx>
          <w:tblCellMar>
            <w:top w:w="0" w:type="dxa"/>
            <w:left w:w="22" w:type="dxa"/>
            <w:bottom w:w="0" w:type="dxa"/>
            <w:right w:w="22" w:type="dxa"/>
          </w:tblCellMar>
        </w:tblPrEx>
        <w:trPr>
          <w:trHeight w:val="825"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Ementa: Estudo das diferentes modalidades de escrita historiográfica que tomaram</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forma no Brasil em diversos contextos históricos.</w:t>
            </w:r>
          </w:p>
        </w:tc>
      </w:tr>
      <w:tr>
        <w:tblPrEx>
          <w:tblCellMar>
            <w:top w:w="0" w:type="dxa"/>
            <w:left w:w="22" w:type="dxa"/>
            <w:bottom w:w="0" w:type="dxa"/>
            <w:right w:w="22" w:type="dxa"/>
          </w:tblCellMar>
        </w:tblPrEx>
        <w:trPr>
          <w:trHeight w:val="3312"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numPr>
                <w:ilvl w:val="0"/>
                <w:numId w:val="30"/>
              </w:numPr>
              <w:pBdr>
                <w:top w:val="none" w:color="auto" w:sz="0" w:space="0"/>
                <w:left w:val="none" w:color="auto" w:sz="0" w:space="0"/>
                <w:bottom w:val="none" w:color="auto" w:sz="0" w:space="0"/>
                <w:right w:val="none" w:color="auto" w:sz="0" w:space="0"/>
                <w:between w:val="none" w:color="auto" w:sz="0" w:space="0"/>
              </w:pBdr>
              <w:tabs>
                <w:tab w:val="left" w:pos="0"/>
                <w:tab w:val="left" w:pos="1192"/>
                <w:tab w:val="left" w:pos="1193"/>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Escola Sem Partido e Liberdade de Cátedra: debates.</w:t>
            </w:r>
          </w:p>
          <w:p>
            <w:pPr>
              <w:widowControl w:val="0"/>
              <w:numPr>
                <w:ilvl w:val="0"/>
                <w:numId w:val="30"/>
              </w:numPr>
              <w:pBdr>
                <w:top w:val="none" w:color="auto" w:sz="0" w:space="0"/>
                <w:left w:val="none" w:color="auto" w:sz="0" w:space="0"/>
                <w:bottom w:val="none" w:color="auto" w:sz="0" w:space="0"/>
                <w:right w:val="none" w:color="auto" w:sz="0" w:space="0"/>
                <w:between w:val="none" w:color="auto" w:sz="0" w:space="0"/>
              </w:pBdr>
              <w:tabs>
                <w:tab w:val="left" w:pos="0"/>
                <w:tab w:val="left" w:pos="1192"/>
                <w:tab w:val="left" w:pos="1193"/>
              </w:tabs>
              <w:spacing w:before="14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História pública, história digital e novas mídias.</w:t>
            </w:r>
          </w:p>
          <w:p>
            <w:pPr>
              <w:widowControl w:val="0"/>
              <w:numPr>
                <w:ilvl w:val="0"/>
                <w:numId w:val="30"/>
              </w:numPr>
              <w:pBdr>
                <w:top w:val="none" w:color="auto" w:sz="0" w:space="0"/>
                <w:left w:val="none" w:color="auto" w:sz="0" w:space="0"/>
                <w:bottom w:val="none" w:color="auto" w:sz="0" w:space="0"/>
                <w:right w:val="none" w:color="auto" w:sz="0" w:space="0"/>
                <w:between w:val="none" w:color="auto" w:sz="0" w:space="0"/>
              </w:pBdr>
              <w:tabs>
                <w:tab w:val="left" w:pos="0"/>
                <w:tab w:val="left" w:pos="1192"/>
                <w:tab w:val="left" w:pos="1193"/>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Dever de Memória, escravidão e patrimonialização.</w:t>
            </w:r>
          </w:p>
          <w:p>
            <w:pPr>
              <w:widowControl w:val="0"/>
              <w:numPr>
                <w:ilvl w:val="0"/>
                <w:numId w:val="30"/>
              </w:numPr>
              <w:pBdr>
                <w:top w:val="none" w:color="auto" w:sz="0" w:space="0"/>
                <w:left w:val="none" w:color="auto" w:sz="0" w:space="0"/>
                <w:bottom w:val="none" w:color="auto" w:sz="0" w:space="0"/>
                <w:right w:val="none" w:color="auto" w:sz="0" w:space="0"/>
                <w:between w:val="none" w:color="auto" w:sz="0" w:space="0"/>
              </w:pBdr>
              <w:tabs>
                <w:tab w:val="left" w:pos="0"/>
                <w:tab w:val="left" w:pos="1192"/>
                <w:tab w:val="left" w:pos="1193"/>
              </w:tabs>
              <w:spacing w:before="137" w:line="360" w:lineRule="auto"/>
              <w:ind w:left="0" w:right="609" w:hanging="2"/>
              <w:rPr>
                <w:rFonts w:ascii="Times New Roman" w:hAnsi="Times New Roman" w:eastAsia="Times New Roman" w:cs="Times New Roman"/>
                <w:color w:val="000000"/>
              </w:rPr>
            </w:pPr>
            <w:r>
              <w:rPr>
                <w:rFonts w:ascii="Times New Roman" w:hAnsi="Times New Roman" w:eastAsia="Times New Roman" w:cs="Times New Roman"/>
                <w:color w:val="000000"/>
              </w:rPr>
              <w:t>Revisionismo, negacionismo e relativismo na historiografia brasileira atual.</w:t>
            </w:r>
          </w:p>
          <w:p>
            <w:pPr>
              <w:widowControl w:val="0"/>
              <w:numPr>
                <w:ilvl w:val="0"/>
                <w:numId w:val="30"/>
              </w:numPr>
              <w:pBdr>
                <w:top w:val="none" w:color="auto" w:sz="0" w:space="0"/>
                <w:left w:val="none" w:color="auto" w:sz="0" w:space="0"/>
                <w:bottom w:val="none" w:color="auto" w:sz="0" w:space="0"/>
                <w:right w:val="none" w:color="auto" w:sz="0" w:space="0"/>
                <w:between w:val="none" w:color="auto" w:sz="0" w:space="0"/>
              </w:pBdr>
              <w:tabs>
                <w:tab w:val="left" w:pos="0"/>
                <w:tab w:val="left" w:pos="1192"/>
                <w:tab w:val="left" w:pos="1193"/>
              </w:tabs>
              <w:spacing w:before="3"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Produtivismo, pós-graduação e função social da historiografia.</w:t>
            </w:r>
          </w:p>
          <w:p>
            <w:pPr>
              <w:widowControl w:val="0"/>
              <w:numPr>
                <w:ilvl w:val="0"/>
                <w:numId w:val="30"/>
              </w:numPr>
              <w:pBdr>
                <w:top w:val="none" w:color="auto" w:sz="0" w:space="0"/>
                <w:left w:val="none" w:color="auto" w:sz="0" w:space="0"/>
                <w:bottom w:val="none" w:color="auto" w:sz="0" w:space="0"/>
                <w:right w:val="none" w:color="auto" w:sz="0" w:space="0"/>
                <w:between w:val="none" w:color="auto" w:sz="0" w:space="0"/>
              </w:pBdr>
              <w:tabs>
                <w:tab w:val="left" w:pos="0"/>
                <w:tab w:val="left" w:pos="1192"/>
                <w:tab w:val="left" w:pos="1193"/>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Os debates acerca da profissionalização.</w:t>
            </w:r>
          </w:p>
        </w:tc>
      </w:tr>
      <w:tr>
        <w:tblPrEx>
          <w:tblCellMar>
            <w:top w:w="0" w:type="dxa"/>
            <w:left w:w="22" w:type="dxa"/>
            <w:bottom w:w="0" w:type="dxa"/>
            <w:right w:w="22" w:type="dxa"/>
          </w:tblCellMar>
        </w:tblPrEx>
        <w:trPr>
          <w:trHeight w:val="3539"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right="69"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Malerba, Jurandir. 2017. “Os Historiadores E Seus Públicos: Desafios Ao Conhecimento Histórico Na Era Digital.” Revista Brasileira de História 37 (74): 135–54. doi:10.1017/CBO9781107415324.004.</w:t>
            </w: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right="63"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Marco Napolitano. 2017. “As Ciências Humanas E a Guerra Cultural No Brasil - Brasileiros.” Portal Os Brasileiros. </w:t>
            </w:r>
            <w:r>
              <w:fldChar w:fldCharType="begin"/>
            </w:r>
            <w:r>
              <w:instrText xml:space="preserve"> HYPERLINK "http://brasileiros.com.br/2017/06/ciencias-" \h </w:instrText>
            </w:r>
            <w:r>
              <w:fldChar w:fldCharType="separate"/>
            </w:r>
            <w:r>
              <w:rPr>
                <w:rFonts w:ascii="Times New Roman" w:hAnsi="Times New Roman" w:eastAsia="Times New Roman" w:cs="Times New Roman"/>
                <w:color w:val="0000FF"/>
                <w:u w:val="single"/>
              </w:rPr>
              <w:t>http://brasileiros.com.br/2017/06/ciencias-</w:t>
            </w:r>
            <w:r>
              <w:rPr>
                <w:rFonts w:ascii="Times New Roman" w:hAnsi="Times New Roman" w:eastAsia="Times New Roman" w:cs="Times New Roman"/>
                <w:color w:val="0000FF"/>
                <w:u w:val="single"/>
              </w:rPr>
              <w:fldChar w:fldCharType="end"/>
            </w:r>
          </w:p>
          <w:p>
            <w:pPr>
              <w:widowControl w:val="0"/>
              <w:pBdr>
                <w:top w:val="none" w:color="auto" w:sz="0" w:space="0"/>
                <w:left w:val="none" w:color="auto" w:sz="0" w:space="0"/>
                <w:bottom w:val="none" w:color="auto" w:sz="0" w:space="0"/>
                <w:right w:val="none" w:color="auto" w:sz="0" w:space="0"/>
                <w:between w:val="none" w:color="auto" w:sz="0" w:space="0"/>
              </w:pBdr>
              <w:spacing w:before="3"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humanas-e-guerra-cultural-no-brasil.</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8"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Pereira, Mateus Henrique de Faria. 2015. “Nova Direita? Guerras de Memória Em Tempos de Comissão Da Verdade (2012-2014).” Varia Historia 31 (57 (set- dez)): 853–902.</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72"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RANGEL, Marcelo de Mello. 2013. “Justiça e História em Derrida e Benjamin.” Sapere Aude - Revista de Filosofia 4(7): 347–59.</w:t>
            </w:r>
          </w:p>
          <w:p>
            <w:pPr>
              <w:widowControl w:val="0"/>
              <w:pBdr>
                <w:top w:val="none" w:color="auto" w:sz="0" w:space="0"/>
                <w:left w:val="none" w:color="auto" w:sz="0" w:space="0"/>
                <w:bottom w:val="none" w:color="auto" w:sz="0" w:space="0"/>
                <w:right w:val="none" w:color="auto" w:sz="0" w:space="0"/>
                <w:between w:val="none" w:color="auto" w:sz="0" w:space="0"/>
              </w:pBdr>
              <w:tabs>
                <w:tab w:val="left" w:pos="3539"/>
              </w:tabs>
              <w:spacing w:line="360" w:lineRule="auto"/>
              <w:ind w:left="0" w:right="58"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Rodrigues, Henrique Estrada. 2016. “‘Escola Sem Partido’: A Escola Do Nosso Tempo?”</w:t>
            </w:r>
            <w:r>
              <w:fldChar w:fldCharType="begin"/>
            </w:r>
            <w:r>
              <w:instrText xml:space="preserve"> HYPERLINK "http://site.anpuh.org/index.php/2015-01-20-00-01-" \h </w:instrText>
            </w:r>
            <w:r>
              <w:fldChar w:fldCharType="separate"/>
            </w:r>
            <w:r>
              <w:rPr>
                <w:rFonts w:ascii="Times New Roman" w:hAnsi="Times New Roman" w:eastAsia="Times New Roman" w:cs="Times New Roman"/>
                <w:color w:val="0000FF"/>
                <w:u w:val="single"/>
              </w:rPr>
              <w:t>http://site.anpuh.org/index.php/2015-01-20-00-01-</w:t>
            </w:r>
            <w:r>
              <w:rPr>
                <w:rFonts w:ascii="Times New Roman" w:hAnsi="Times New Roman" w:eastAsia="Times New Roman" w:cs="Times New Roman"/>
                <w:color w:val="0000FF"/>
                <w:u w:val="single"/>
              </w:rPr>
              <w:fldChar w:fldCharType="end"/>
            </w:r>
            <w:r>
              <w:rPr>
                <w:rFonts w:ascii="Times New Roman" w:hAnsi="Times New Roman" w:eastAsia="Times New Roman" w:cs="Times New Roman"/>
                <w:color w:val="000000"/>
              </w:rPr>
              <w:t xml:space="preserve"> 55/noticias2/diversas/item/3594-escola-sem-partido-a-escola-de-nosso-tempo.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SANTOS, Pedro Afonso Cristovão dos; NICODEMO, Thiago Lima; PEREIRA, Mateus Henrique. Historiografias periféricas em perspectiva global ou transnacional: eurocentrismo em questão. Estudos Históricos, vol. 30, n. 60,</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janeiro-abril 2017, p. 161-186.</w:t>
            </w:r>
          </w:p>
        </w:tc>
      </w:tr>
      <w:tr>
        <w:tblPrEx>
          <w:tblCellMar>
            <w:top w:w="0" w:type="dxa"/>
            <w:left w:w="22" w:type="dxa"/>
            <w:bottom w:w="0" w:type="dxa"/>
            <w:right w:w="22" w:type="dxa"/>
          </w:tblCellMar>
        </w:tblPrEx>
        <w:trPr>
          <w:trHeight w:val="1541"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9"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78"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ABREU, Marcelo, and Marcelo Rangel. 2015. “Memória, Cultura Histórica E Ensino de História No Mundo Contemporâneo.” História E Cultura 4 (2):7–24.</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7"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ARAUJO, Valdei Lopes De. 2016. “O Regime de Autonomia Avaliativo No Sistema Nacional de Pós-Graduação E O Futuro Das Relações Entre Historiografia , Ensino E Experiência Da História.” Anos 90 23 (44): 85–110.</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3"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ARAUJO, Valdei Lopes de, and Mateus. 2016. “RECONFIGURAÇÕES DO TEMPO HISTÓRICO: Revista UFMG 23 (1 e 2): 270–97.</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9"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CEZAR, Temístocles. 2015. “Hamlet Brasileiro: Ensaio Sobre O Giro-Linguístico E Indeterminação Historiográfica (1970-1980).” História Da Historiografia abril (17): 440–61. doi:10.15848/hh.voi17.741.</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GLEZER, Raquel, and Sara Albieri. 2009. “O Campo Da História E as ‘obras Fronteiriças’: Algumas Observações Sobre a Produção Historiográfica Brasileira E Uma Proposta de Conciliação.” Revista IEB, no. 48: 13–30.</w:t>
            </w:r>
          </w:p>
        </w:tc>
      </w:tr>
    </w:tbl>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2" w:after="14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2" w:after="140" w:line="288" w:lineRule="auto"/>
        <w:ind w:left="0" w:hanging="2"/>
        <w:rPr>
          <w:rFonts w:ascii="Times New Roman" w:hAnsi="Times New Roman" w:eastAsia="Times New Roman" w:cs="Times New Roman"/>
          <w:color w:val="000000"/>
        </w:rPr>
      </w:pPr>
    </w:p>
    <w:tbl>
      <w:tblPr>
        <w:tblStyle w:val="517"/>
        <w:tblW w:w="9121" w:type="dxa"/>
        <w:tblInd w:w="2" w:type="dxa"/>
        <w:tblLayout w:type="fixed"/>
        <w:tblCellMar>
          <w:top w:w="0" w:type="dxa"/>
          <w:left w:w="22" w:type="dxa"/>
          <w:bottom w:w="0" w:type="dxa"/>
          <w:right w:w="22" w:type="dxa"/>
        </w:tblCellMar>
      </w:tblPr>
      <w:tblGrid>
        <w:gridCol w:w="2795"/>
        <w:gridCol w:w="3122"/>
        <w:gridCol w:w="3204"/>
      </w:tblGrid>
      <w:tr>
        <w:tblPrEx>
          <w:tblCellMar>
            <w:top w:w="0" w:type="dxa"/>
            <w:left w:w="22" w:type="dxa"/>
            <w:bottom w:w="0" w:type="dxa"/>
            <w:right w:w="22" w:type="dxa"/>
          </w:tblCellMar>
        </w:tblPrEx>
        <w:trPr>
          <w:trHeight w:val="1841" w:hRule="atLeast"/>
        </w:trPr>
        <w:tc>
          <w:tcPr>
            <w:tcW w:w="5917" w:type="dxa"/>
            <w:gridSpan w:val="2"/>
            <w:tcBorders>
              <w:top w:val="single" w:color="000000" w:sz="18" w:space="0"/>
              <w:lef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Seminário em Antropologia</w:t>
            </w:r>
          </w:p>
          <w:p>
            <w:pPr>
              <w:widowControl w:val="0"/>
              <w:pBdr>
                <w:top w:val="none" w:color="auto" w:sz="0" w:space="0"/>
                <w:left w:val="none" w:color="auto" w:sz="0" w:space="0"/>
                <w:bottom w:val="none" w:color="auto" w:sz="0" w:space="0"/>
                <w:right w:val="none" w:color="auto" w:sz="0" w:space="0"/>
                <w:between w:val="none" w:color="auto" w:sz="0" w:space="0"/>
              </w:pBdr>
              <w:spacing w:before="4"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Seminar in Anthropology</w:t>
            </w:r>
          </w:p>
        </w:tc>
        <w:tc>
          <w:tcPr>
            <w:tcW w:w="3204" w:type="dxa"/>
            <w:tcBorders>
              <w:top w:val="single" w:color="000000" w:sz="18" w:space="0"/>
              <w:left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HIS 852</w:t>
            </w:r>
          </w:p>
        </w:tc>
      </w:tr>
      <w:tr>
        <w:tblPrEx>
          <w:tblCellMar>
            <w:top w:w="0" w:type="dxa"/>
            <w:left w:w="22" w:type="dxa"/>
            <w:bottom w:w="0" w:type="dxa"/>
            <w:right w:w="22" w:type="dxa"/>
          </w:tblCellMar>
        </w:tblPrEx>
        <w:trPr>
          <w:trHeight w:val="825" w:hRule="atLeast"/>
        </w:trPr>
        <w:tc>
          <w:tcPr>
            <w:tcW w:w="5917"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História – DEHIS</w:t>
            </w:r>
          </w:p>
        </w:tc>
        <w:tc>
          <w:tcPr>
            <w:tcW w:w="3204"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3" w:hRule="atLeast"/>
        </w:trPr>
        <w:tc>
          <w:tcPr>
            <w:tcW w:w="2795"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395"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397"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3122"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3204"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 02 horas/aula</w:t>
            </w:r>
          </w:p>
        </w:tc>
      </w:tr>
      <w:tr>
        <w:tblPrEx>
          <w:tblCellMar>
            <w:top w:w="0" w:type="dxa"/>
            <w:left w:w="22" w:type="dxa"/>
            <w:bottom w:w="0" w:type="dxa"/>
            <w:right w:w="22" w:type="dxa"/>
          </w:tblCellMar>
        </w:tblPrEx>
        <w:trPr>
          <w:trHeight w:val="548" w:hRule="atLeast"/>
        </w:trPr>
        <w:tc>
          <w:tcPr>
            <w:tcW w:w="91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3"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A antropologia como reconstrução teórica da realidade social. A sociedade como sistema de significação. A cultura como ordenação material e representação simbólica. O encontro etnográfico e o diálogo teórico-prático. A pesquisa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etnográfica: inserção, observação, participação, registro e relato.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p>
        </w:tc>
      </w:tr>
      <w:tr>
        <w:tblPrEx>
          <w:tblCellMar>
            <w:top w:w="0" w:type="dxa"/>
            <w:left w:w="22" w:type="dxa"/>
            <w:bottom w:w="0" w:type="dxa"/>
            <w:right w:w="22" w:type="dxa"/>
          </w:tblCellMar>
        </w:tblPrEx>
        <w:trPr>
          <w:trHeight w:val="1035" w:hRule="atLeast"/>
        </w:trPr>
        <w:tc>
          <w:tcPr>
            <w:tcW w:w="91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numPr>
                <w:ilvl w:val="0"/>
                <w:numId w:val="31"/>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Conceitos fundamentais e teoria antropológica.</w:t>
            </w:r>
          </w:p>
          <w:p>
            <w:pPr>
              <w:widowControl w:val="0"/>
              <w:numPr>
                <w:ilvl w:val="0"/>
                <w:numId w:val="31"/>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before="142"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Técnicas qualitativas de pesquisa.</w:t>
            </w:r>
          </w:p>
          <w:p>
            <w:pPr>
              <w:widowControl w:val="0"/>
              <w:numPr>
                <w:ilvl w:val="0"/>
                <w:numId w:val="31"/>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before="136"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Técnicas de pesquisa em Antropologia.</w:t>
            </w:r>
          </w:p>
          <w:p>
            <w:pPr>
              <w:widowControl w:val="0"/>
              <w:numPr>
                <w:ilvl w:val="0"/>
                <w:numId w:val="31"/>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O trabalho de campo e a observação participante.</w:t>
            </w:r>
          </w:p>
          <w:p>
            <w:pPr>
              <w:widowControl w:val="0"/>
              <w:numPr>
                <w:ilvl w:val="0"/>
                <w:numId w:val="31"/>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Etnografia como forma de conhecer. Leituras de etnografias clássicas.</w:t>
            </w:r>
          </w:p>
          <w:p>
            <w:pPr>
              <w:widowControl w:val="0"/>
              <w:numPr>
                <w:ilvl w:val="0"/>
                <w:numId w:val="31"/>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Tradições do trabalho de campo. Autores clássicos.</w:t>
            </w:r>
          </w:p>
          <w:p>
            <w:pPr>
              <w:widowControl w:val="0"/>
              <w:numPr>
                <w:ilvl w:val="0"/>
                <w:numId w:val="31"/>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before="142"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Procedimentos do trabalho de campo em antropologia.</w:t>
            </w:r>
          </w:p>
          <w:p>
            <w:pPr>
              <w:widowControl w:val="0"/>
              <w:numPr>
                <w:ilvl w:val="0"/>
                <w:numId w:val="31"/>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O texto etnográfico.</w:t>
            </w:r>
          </w:p>
          <w:p>
            <w:pPr>
              <w:widowControl w:val="0"/>
              <w:numPr>
                <w:ilvl w:val="0"/>
                <w:numId w:val="31"/>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Objeto de pesquisa. Relação sujeito x objeto.</w:t>
            </w:r>
          </w:p>
          <w:p>
            <w:pPr>
              <w:widowControl w:val="0"/>
              <w:numPr>
                <w:ilvl w:val="0"/>
                <w:numId w:val="31"/>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Questões éticas.</w:t>
            </w:r>
          </w:p>
          <w:p>
            <w:pPr>
              <w:widowControl w:val="0"/>
              <w:numPr>
                <w:ilvl w:val="0"/>
                <w:numId w:val="31"/>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Qualidade em pesquisa qualitativa.</w:t>
            </w:r>
          </w:p>
          <w:p>
            <w:pPr>
              <w:widowControl w:val="0"/>
              <w:pBdr>
                <w:top w:val="none" w:color="auto" w:sz="0" w:space="0"/>
                <w:left w:val="none" w:color="auto" w:sz="0" w:space="0"/>
                <w:bottom w:val="none" w:color="auto" w:sz="0" w:space="0"/>
                <w:right w:val="none" w:color="auto" w:sz="0" w:space="0"/>
                <w:between w:val="none" w:color="auto" w:sz="0" w:space="0"/>
              </w:pBdr>
              <w:tabs>
                <w:tab w:val="left" w:pos="832"/>
              </w:tabs>
              <w:spacing w:before="137" w:line="240" w:lineRule="auto"/>
              <w:ind w:left="0" w:hanging="2"/>
              <w:rPr>
                <w:rFonts w:ascii="Times New Roman" w:hAnsi="Times New Roman" w:eastAsia="Times New Roman" w:cs="Times New Roman"/>
                <w:color w:val="000000"/>
              </w:rPr>
            </w:pPr>
          </w:p>
        </w:tc>
      </w:tr>
      <w:tr>
        <w:tblPrEx>
          <w:tblCellMar>
            <w:top w:w="0" w:type="dxa"/>
            <w:left w:w="22" w:type="dxa"/>
            <w:bottom w:w="0" w:type="dxa"/>
            <w:right w:w="22" w:type="dxa"/>
          </w:tblCellMar>
        </w:tblPrEx>
        <w:trPr>
          <w:trHeight w:val="3725" w:hRule="atLeast"/>
        </w:trPr>
        <w:tc>
          <w:tcPr>
            <w:tcW w:w="91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right="202" w:hanging="2"/>
              <w:rPr>
                <w:rFonts w:ascii="Times New Roman" w:hAnsi="Times New Roman" w:eastAsia="Times New Roman" w:cs="Times New Roman"/>
                <w:color w:val="000000"/>
              </w:rPr>
            </w:pPr>
            <w:r>
              <w:rPr>
                <w:rFonts w:ascii="Times New Roman" w:hAnsi="Times New Roman" w:eastAsia="Times New Roman" w:cs="Times New Roman"/>
                <w:color w:val="000000"/>
              </w:rPr>
              <w:t>MALINOWSKI, Bronislaw. Os argonautas do pacífico ocidental. São Paulo: Editora Abril, 1978.</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MAUSS, Marcel. “Ensaio sobre a dádiva” in: Sociologia e Antropologia. São Paulo: Cosac Naify, 2003.</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SILVA, Vágner G. O antropólogo e sua magia. São Paulo: Edusp, 2000.</w:t>
            </w:r>
          </w:p>
          <w:p>
            <w:pPr>
              <w:widowControl w:val="0"/>
              <w:pBdr>
                <w:top w:val="none" w:color="auto" w:sz="0" w:space="0"/>
                <w:left w:val="none" w:color="auto" w:sz="0" w:space="0"/>
                <w:bottom w:val="none" w:color="auto" w:sz="0" w:space="0"/>
                <w:right w:val="none" w:color="auto" w:sz="0" w:space="0"/>
                <w:between w:val="none" w:color="auto" w:sz="0" w:space="0"/>
              </w:pBdr>
              <w:spacing w:before="134"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COELHO, Maria Cláudia. O valor das intenções: dádiva, emoção e cidadania. Rio de Janeiro: Editora FGV, 2006.</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EVANS-PRITCHARD, E. E. Os Nuer. São Paulo: Perspectiva, 2002.</w:t>
            </w:r>
          </w:p>
        </w:tc>
      </w:tr>
    </w:tbl>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4" w:after="140" w:line="288" w:lineRule="auto"/>
        <w:ind w:left="0" w:hanging="2"/>
        <w:rPr>
          <w:rFonts w:ascii="Times New Roman" w:hAnsi="Times New Roman" w:eastAsia="Times New Roman" w:cs="Times New Roman"/>
          <w:color w:val="000000"/>
        </w:rPr>
      </w:pPr>
    </w:p>
    <w:tbl>
      <w:tblPr>
        <w:tblStyle w:val="518"/>
        <w:tblW w:w="9021" w:type="dxa"/>
        <w:tblInd w:w="2" w:type="dxa"/>
        <w:tblLayout w:type="fixed"/>
        <w:tblCellMar>
          <w:top w:w="0" w:type="dxa"/>
          <w:left w:w="22" w:type="dxa"/>
          <w:bottom w:w="0" w:type="dxa"/>
          <w:right w:w="22" w:type="dxa"/>
        </w:tblCellMar>
      </w:tblPr>
      <w:tblGrid>
        <w:gridCol w:w="2830"/>
        <w:gridCol w:w="3118"/>
        <w:gridCol w:w="3073"/>
      </w:tblGrid>
      <w:tr>
        <w:tblPrEx>
          <w:tblCellMar>
            <w:top w:w="0" w:type="dxa"/>
            <w:left w:w="22" w:type="dxa"/>
            <w:bottom w:w="0" w:type="dxa"/>
            <w:right w:w="22" w:type="dxa"/>
          </w:tblCellMar>
        </w:tblPrEx>
        <w:trPr>
          <w:trHeight w:val="1895" w:hRule="atLeast"/>
        </w:trPr>
        <w:tc>
          <w:tcPr>
            <w:tcW w:w="5948"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Seminário em História do Brasil XVII</w:t>
            </w:r>
          </w:p>
          <w:p>
            <w:pPr>
              <w:widowControl w:val="0"/>
              <w:pBdr>
                <w:top w:val="none" w:color="auto" w:sz="0" w:space="0"/>
                <w:left w:val="none" w:color="auto" w:sz="0" w:space="0"/>
                <w:bottom w:val="none" w:color="auto" w:sz="0" w:space="0"/>
                <w:right w:val="none" w:color="auto" w:sz="0" w:space="0"/>
                <w:between w:val="none" w:color="auto" w:sz="0" w:space="0"/>
              </w:pBdr>
              <w:spacing w:before="94" w:line="240" w:lineRule="auto"/>
              <w:ind w:left="0" w:right="885"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History of Brazil Seminar (XVII)</w:t>
            </w:r>
          </w:p>
        </w:tc>
        <w:tc>
          <w:tcPr>
            <w:tcW w:w="3073"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HIS 887</w:t>
            </w:r>
          </w:p>
        </w:tc>
      </w:tr>
      <w:tr>
        <w:tblPrEx>
          <w:tblCellMar>
            <w:top w:w="0" w:type="dxa"/>
            <w:left w:w="22" w:type="dxa"/>
            <w:bottom w:w="0" w:type="dxa"/>
            <w:right w:w="22" w:type="dxa"/>
          </w:tblCellMar>
        </w:tblPrEx>
        <w:trPr>
          <w:trHeight w:val="1243" w:hRule="atLeast"/>
        </w:trPr>
        <w:tc>
          <w:tcPr>
            <w:tcW w:w="5948"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809"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 História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DEHIS</w:t>
            </w:r>
          </w:p>
        </w:tc>
        <w:tc>
          <w:tcPr>
            <w:tcW w:w="3073"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34"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2" w:hRule="atLeast"/>
        </w:trPr>
        <w:tc>
          <w:tcPr>
            <w:tcW w:w="2830"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3118"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700" w:hanging="2"/>
              <w:jc w:val="right"/>
              <w:rPr>
                <w:rFonts w:ascii="Times New Roman" w:hAnsi="Times New Roman" w:eastAsia="Times New Roman" w:cs="Times New Roman"/>
                <w:color w:val="000000"/>
              </w:rPr>
            </w:pPr>
            <w:r>
              <w:rPr>
                <w:rFonts w:ascii="Times New Roman" w:hAnsi="Times New Roman" w:eastAsia="Times New Roman" w:cs="Times New Roman"/>
                <w:color w:val="000000"/>
              </w:rPr>
              <w:t>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right="720" w:hanging="2"/>
              <w:jc w:val="right"/>
              <w:rPr>
                <w:rFonts w:ascii="Times New Roman" w:hAnsi="Times New Roman" w:eastAsia="Times New Roman" w:cs="Times New Roman"/>
                <w:color w:val="000000"/>
              </w:rPr>
            </w:pPr>
            <w:r>
              <w:rPr>
                <w:rFonts w:ascii="Times New Roman" w:hAnsi="Times New Roman" w:eastAsia="Times New Roman" w:cs="Times New Roman"/>
                <w:color w:val="000000"/>
              </w:rPr>
              <w:t>04horas/aula</w:t>
            </w:r>
          </w:p>
        </w:tc>
        <w:tc>
          <w:tcPr>
            <w:tcW w:w="3073"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02 horas/aula</w:t>
            </w:r>
          </w:p>
        </w:tc>
      </w:tr>
      <w:tr>
        <w:tblPrEx>
          <w:tblCellMar>
            <w:top w:w="0" w:type="dxa"/>
            <w:left w:w="22" w:type="dxa"/>
            <w:bottom w:w="0" w:type="dxa"/>
            <w:right w:w="22" w:type="dxa"/>
          </w:tblCellMar>
        </w:tblPrEx>
        <w:trPr>
          <w:trHeight w:val="1243"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Ementa: Estudos aprofundados em temáticas sobre patrimônios (artístico, folclórico, religioso, histórico etc.), museus, preservação e acervos documentais no Brasil</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Republicano.</w:t>
            </w:r>
          </w:p>
        </w:tc>
      </w:tr>
      <w:tr>
        <w:tblPrEx>
          <w:tblCellMar>
            <w:top w:w="0" w:type="dxa"/>
            <w:left w:w="22" w:type="dxa"/>
            <w:bottom w:w="0" w:type="dxa"/>
            <w:right w:w="22" w:type="dxa"/>
          </w:tblCellMar>
        </w:tblPrEx>
        <w:trPr>
          <w:trHeight w:val="2899"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numPr>
                <w:ilvl w:val="0"/>
                <w:numId w:val="32"/>
              </w:numPr>
              <w:pBdr>
                <w:top w:val="none" w:color="auto" w:sz="0" w:space="0"/>
                <w:left w:val="none" w:color="auto" w:sz="0" w:space="0"/>
                <w:bottom w:val="none" w:color="auto" w:sz="0" w:space="0"/>
                <w:right w:val="none" w:color="auto" w:sz="0" w:space="0"/>
                <w:between w:val="none" w:color="auto" w:sz="0" w:space="0"/>
              </w:pBdr>
              <w:tabs>
                <w:tab w:val="left" w:pos="0"/>
                <w:tab w:val="left" w:pos="376"/>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 História e Ciência em perspectiva contemporânea.</w:t>
            </w:r>
          </w:p>
          <w:p>
            <w:pPr>
              <w:widowControl w:val="0"/>
              <w:numPr>
                <w:ilvl w:val="0"/>
                <w:numId w:val="32"/>
              </w:numPr>
              <w:pBdr>
                <w:top w:val="none" w:color="auto" w:sz="0" w:space="0"/>
                <w:left w:val="none" w:color="auto" w:sz="0" w:space="0"/>
                <w:bottom w:val="none" w:color="auto" w:sz="0" w:space="0"/>
                <w:right w:val="none" w:color="auto" w:sz="0" w:space="0"/>
                <w:between w:val="none" w:color="auto" w:sz="0" w:space="0"/>
              </w:pBdr>
              <w:tabs>
                <w:tab w:val="left" w:pos="0"/>
                <w:tab w:val="left" w:pos="376"/>
              </w:tabs>
              <w:spacing w:before="137" w:line="360" w:lineRule="auto"/>
              <w:ind w:left="0" w:right="1139" w:hanging="2"/>
              <w:rPr>
                <w:rFonts w:ascii="Times New Roman" w:hAnsi="Times New Roman" w:eastAsia="Times New Roman" w:cs="Times New Roman"/>
                <w:color w:val="000000"/>
              </w:rPr>
            </w:pPr>
            <w:r>
              <w:rPr>
                <w:rFonts w:ascii="Times New Roman" w:hAnsi="Times New Roman" w:eastAsia="Times New Roman" w:cs="Times New Roman"/>
                <w:color w:val="000000"/>
              </w:rPr>
              <w:t>Do gabinete de curiosidades ao museu de ciência – produção, pesquisa e divulgação de ciências.</w:t>
            </w:r>
          </w:p>
          <w:p>
            <w:pPr>
              <w:widowControl w:val="0"/>
              <w:numPr>
                <w:ilvl w:val="0"/>
                <w:numId w:val="32"/>
              </w:numPr>
              <w:pBdr>
                <w:top w:val="none" w:color="auto" w:sz="0" w:space="0"/>
                <w:left w:val="none" w:color="auto" w:sz="0" w:space="0"/>
                <w:bottom w:val="none" w:color="auto" w:sz="0" w:space="0"/>
                <w:right w:val="none" w:color="auto" w:sz="0" w:space="0"/>
                <w:between w:val="none" w:color="auto" w:sz="0" w:space="0"/>
              </w:pBdr>
              <w:tabs>
                <w:tab w:val="left" w:pos="0"/>
                <w:tab w:val="left" w:pos="376"/>
              </w:tabs>
              <w:spacing w:line="360" w:lineRule="auto"/>
              <w:ind w:left="0" w:right="747" w:hanging="2"/>
              <w:rPr>
                <w:rFonts w:ascii="Times New Roman" w:hAnsi="Times New Roman" w:eastAsia="Times New Roman" w:cs="Times New Roman"/>
                <w:color w:val="000000"/>
              </w:rPr>
            </w:pPr>
            <w:r>
              <w:rPr>
                <w:rFonts w:ascii="Times New Roman" w:hAnsi="Times New Roman" w:eastAsia="Times New Roman" w:cs="Times New Roman"/>
                <w:color w:val="000000"/>
              </w:rPr>
              <w:t>Produção e recepção de narrativas sobre a História da Ciência no espaço dos museus.</w:t>
            </w:r>
          </w:p>
          <w:p>
            <w:pPr>
              <w:widowControl w:val="0"/>
              <w:numPr>
                <w:ilvl w:val="0"/>
                <w:numId w:val="32"/>
              </w:numPr>
              <w:pBdr>
                <w:top w:val="none" w:color="auto" w:sz="0" w:space="0"/>
                <w:left w:val="none" w:color="auto" w:sz="0" w:space="0"/>
                <w:bottom w:val="none" w:color="auto" w:sz="0" w:space="0"/>
                <w:right w:val="none" w:color="auto" w:sz="0" w:space="0"/>
                <w:between w:val="none" w:color="auto" w:sz="0" w:space="0"/>
              </w:pBdr>
              <w:tabs>
                <w:tab w:val="left" w:pos="0"/>
                <w:tab w:val="left" w:pos="376"/>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Ensinando História e História das Ciências em espaços não-formais.</w:t>
            </w:r>
          </w:p>
        </w:tc>
      </w:tr>
      <w:tr>
        <w:tblPrEx>
          <w:tblCellMar>
            <w:top w:w="0" w:type="dxa"/>
            <w:left w:w="22" w:type="dxa"/>
            <w:bottom w:w="0" w:type="dxa"/>
            <w:right w:w="22" w:type="dxa"/>
          </w:tblCellMar>
        </w:tblPrEx>
        <w:trPr>
          <w:trHeight w:val="1718"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BUD, Robert. History of Science and the Science Museum. </w:t>
            </w:r>
            <w:r>
              <w:rPr>
                <w:rFonts w:ascii="Times New Roman" w:hAnsi="Times New Roman" w:eastAsia="Times New Roman" w:cs="Times New Roman"/>
                <w:i/>
                <w:color w:val="000000"/>
              </w:rPr>
              <w:t>The British Journal for</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i/>
                <w:color w:val="000000"/>
              </w:rPr>
              <w:t>the History of Science</w:t>
            </w:r>
            <w:r>
              <w:rPr>
                <w:rFonts w:ascii="Times New Roman" w:hAnsi="Times New Roman" w:eastAsia="Times New Roman" w:cs="Times New Roman"/>
                <w:color w:val="000000"/>
              </w:rPr>
              <w:t>, 30. 1, 47-50, 1997.</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CAVALCANTI, Cecília C.B.; PERSECHINI, Pedro Muanis. Museus de Ciência e a popularização do conhecimento no Brasil. </w:t>
            </w:r>
            <w:r>
              <w:rPr>
                <w:rFonts w:ascii="Times New Roman" w:hAnsi="Times New Roman" w:eastAsia="Times New Roman" w:cs="Times New Roman"/>
                <w:i/>
                <w:color w:val="000000"/>
              </w:rPr>
              <w:t xml:space="preserve">Field Actions Science Reports, </w:t>
            </w:r>
            <w:r>
              <w:rPr>
                <w:rFonts w:ascii="Times New Roman" w:hAnsi="Times New Roman" w:eastAsia="Times New Roman" w:cs="Times New Roman"/>
                <w:color w:val="000000"/>
              </w:rPr>
              <w:t>2011.</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FIGUEIREDO, Betânia G e VIDAL, Diana Gonçalves V. (orgs.). </w:t>
            </w:r>
            <w:r>
              <w:rPr>
                <w:rFonts w:ascii="Times New Roman" w:hAnsi="Times New Roman" w:eastAsia="Times New Roman" w:cs="Times New Roman"/>
                <w:i/>
                <w:color w:val="000000"/>
              </w:rPr>
              <w:t>Museus: dos</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i/>
                <w:color w:val="000000"/>
              </w:rPr>
              <w:t xml:space="preserve">gabinetes de curiosidade à museologia moderna. </w:t>
            </w:r>
            <w:r>
              <w:rPr>
                <w:rFonts w:ascii="Times New Roman" w:hAnsi="Times New Roman" w:eastAsia="Times New Roman" w:cs="Times New Roman"/>
                <w:color w:val="000000"/>
              </w:rPr>
              <w:t>Belo Horizonte; CNPq, Brasília, 2005.</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hanging="2"/>
              <w:rPr>
                <w:rFonts w:ascii="Times New Roman" w:hAnsi="Times New Roman" w:eastAsia="Times New Roman" w:cs="Times New Roman"/>
                <w:color w:val="000000"/>
              </w:rPr>
            </w:pPr>
          </w:p>
        </w:tc>
      </w:tr>
      <w:tr>
        <w:tblPrEx>
          <w:tblCellMar>
            <w:top w:w="0" w:type="dxa"/>
            <w:left w:w="22" w:type="dxa"/>
            <w:bottom w:w="0" w:type="dxa"/>
            <w:right w:w="22" w:type="dxa"/>
          </w:tblCellMar>
        </w:tblPrEx>
        <w:trPr>
          <w:trHeight w:val="1717"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tabs>
                <w:tab w:val="left" w:pos="7348"/>
              </w:tabs>
              <w:spacing w:before="141" w:line="360" w:lineRule="auto"/>
              <w:ind w:left="0" w:right="55"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SILVA, Patrícia Rodrigues da. O Museu no Ensino De História: buscando novas possibilidades. </w:t>
            </w:r>
            <w:r>
              <w:rPr>
                <w:rFonts w:ascii="Times New Roman" w:hAnsi="Times New Roman" w:eastAsia="Times New Roman" w:cs="Times New Roman"/>
                <w:i/>
                <w:color w:val="000000"/>
              </w:rPr>
              <w:t>Cadernos de Pesquisa - Cdhis</w:t>
            </w:r>
            <w:r>
              <w:rPr>
                <w:rFonts w:ascii="Times New Roman" w:hAnsi="Times New Roman" w:eastAsia="Times New Roman" w:cs="Times New Roman"/>
                <w:color w:val="000000"/>
              </w:rPr>
              <w:t>, Uberlândia, v.23: n.2, p.349-358, 2010.</w:t>
            </w:r>
            <w:r>
              <w:rPr>
                <w:rFonts w:ascii="Times New Roman" w:hAnsi="Times New Roman" w:eastAsia="Times New Roman" w:cs="Times New Roman"/>
                <w:color w:val="000000"/>
              </w:rPr>
              <w:tab/>
            </w:r>
            <w:r>
              <w:rPr>
                <w:rFonts w:ascii="Times New Roman" w:hAnsi="Times New Roman" w:eastAsia="Times New Roman" w:cs="Times New Roman"/>
                <w:color w:val="000000"/>
              </w:rPr>
              <w:t>Disponível</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9"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w:t>
            </w:r>
            <w:r>
              <w:rPr>
                <w:rFonts w:ascii="Times New Roman" w:hAnsi="Times New Roman" w:eastAsia="Times New Roman" w:cs="Times New Roman"/>
                <w:i/>
                <w:color w:val="000000"/>
              </w:rPr>
              <w:t>&lt;</w:t>
            </w:r>
            <w:r>
              <w:fldChar w:fldCharType="begin"/>
            </w:r>
            <w:r>
              <w:instrText xml:space="preserve"> HYPERLINK "http://www.seer.ufu.br/index.php/cdhis/article/download/8023/7146" \h </w:instrText>
            </w:r>
            <w:r>
              <w:fldChar w:fldCharType="separate"/>
            </w:r>
            <w:r>
              <w:rPr>
                <w:rFonts w:ascii="Times New Roman" w:hAnsi="Times New Roman" w:eastAsia="Times New Roman" w:cs="Times New Roman"/>
                <w:color w:val="0000FF"/>
                <w:u w:val="single"/>
              </w:rPr>
              <w:t>www.seer.ufu.br/index.php/cdhis/article/download/8023/7146</w:t>
            </w:r>
            <w:r>
              <w:rPr>
                <w:rFonts w:ascii="Times New Roman" w:hAnsi="Times New Roman" w:eastAsia="Times New Roman" w:cs="Times New Roman"/>
                <w:color w:val="0000FF"/>
                <w:u w:val="single"/>
              </w:rPr>
              <w:fldChar w:fldCharType="end"/>
            </w:r>
            <w:r>
              <w:rPr>
                <w:rFonts w:ascii="Times New Roman" w:hAnsi="Times New Roman" w:eastAsia="Times New Roman" w:cs="Times New Roman"/>
                <w:color w:val="000000"/>
              </w:rPr>
              <w:t>&gt;. Acesso em: 10 de nov. 2017.</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DELICADO,  Ana.  “Produção  e  reprodução  da  ciência  nos  museus portugueses”,</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i/>
                <w:color w:val="000000"/>
              </w:rPr>
              <w:t>Análise       Social</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 xml:space="preserve">XLIII:       </w:t>
            </w:r>
            <w:r>
              <w:rPr>
                <w:rFonts w:ascii="Times New Roman" w:hAnsi="Times New Roman" w:eastAsia="Times New Roman" w:cs="Times New Roman"/>
                <w:color w:val="000000"/>
              </w:rPr>
              <w:t>(1.º),        p.55-77,        2008.       Disponível     em:</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&lt;</w:t>
            </w:r>
            <w:r>
              <w:fldChar w:fldCharType="begin"/>
            </w:r>
            <w:r>
              <w:instrText xml:space="preserve"> HYPERLINK "http://www.scielo.mec.pt/pdf/aso/n186/n186a04" \h </w:instrText>
            </w:r>
            <w:r>
              <w:fldChar w:fldCharType="separate"/>
            </w:r>
            <w:r>
              <w:rPr>
                <w:rFonts w:ascii="Times New Roman" w:hAnsi="Times New Roman" w:eastAsia="Times New Roman" w:cs="Times New Roman"/>
                <w:color w:val="0000FF"/>
                <w:u w:val="single"/>
              </w:rPr>
              <w:t>http://www.scielo.mec.pt/pdf/aso/n186/n186a04</w:t>
            </w:r>
            <w:r>
              <w:rPr>
                <w:rFonts w:ascii="Times New Roman" w:hAnsi="Times New Roman" w:eastAsia="Times New Roman" w:cs="Times New Roman"/>
                <w:color w:val="0000FF"/>
                <w:u w:val="single"/>
              </w:rPr>
              <w:fldChar w:fldCharType="end"/>
            </w:r>
            <w:r>
              <w:rPr>
                <w:rFonts w:ascii="Times New Roman" w:hAnsi="Times New Roman" w:eastAsia="Times New Roman" w:cs="Times New Roman"/>
                <w:color w:val="000000"/>
              </w:rPr>
              <w:t xml:space="preserve">&gt;. Acesso em: 10 de mar. de 2017. GUTIERREZ, Ângela; LOUREIRO, Helena Maria Mourão; FIGUEIREDO, Betânia Gonçalves. </w:t>
            </w:r>
            <w:r>
              <w:rPr>
                <w:rFonts w:ascii="Times New Roman" w:hAnsi="Times New Roman" w:eastAsia="Times New Roman" w:cs="Times New Roman"/>
                <w:i/>
                <w:color w:val="000000"/>
              </w:rPr>
              <w:t xml:space="preserve">Cultura e educação: parceria que faz história. </w:t>
            </w:r>
            <w:r>
              <w:rPr>
                <w:rFonts w:ascii="Times New Roman" w:hAnsi="Times New Roman" w:eastAsia="Times New Roman" w:cs="Times New Roman"/>
                <w:color w:val="000000"/>
              </w:rPr>
              <w:t>Belo Horizonte: MAZZA Edições Instituto Cultural Flávio Gutierrez /Mai., 2007.</w:t>
            </w:r>
          </w:p>
          <w:p>
            <w:pPr>
              <w:widowControl w:val="0"/>
              <w:pBdr>
                <w:top w:val="none" w:color="auto" w:sz="0" w:space="0"/>
                <w:left w:val="none" w:color="auto" w:sz="0" w:space="0"/>
                <w:bottom w:val="none" w:color="auto" w:sz="0" w:space="0"/>
                <w:right w:val="none" w:color="auto" w:sz="0" w:space="0"/>
                <w:between w:val="none" w:color="auto" w:sz="0" w:space="0"/>
              </w:pBdr>
              <w:tabs>
                <w:tab w:val="left" w:pos="894"/>
                <w:tab w:val="left" w:pos="2174"/>
                <w:tab w:val="left" w:pos="3028"/>
                <w:tab w:val="left" w:pos="4529"/>
                <w:tab w:val="left" w:pos="5196"/>
                <w:tab w:val="left" w:pos="6261"/>
                <w:tab w:val="left" w:pos="7340"/>
              </w:tabs>
              <w:spacing w:line="360" w:lineRule="auto"/>
              <w:ind w:left="0" w:right="56"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LOPES, Maria Margaret. </w:t>
            </w:r>
            <w:r>
              <w:rPr>
                <w:rFonts w:ascii="Times New Roman" w:hAnsi="Times New Roman" w:eastAsia="Times New Roman" w:cs="Times New Roman"/>
                <w:i/>
                <w:color w:val="000000"/>
              </w:rPr>
              <w:t>“Le rôle des musées, de la science et du public au Brésil</w:t>
            </w:r>
            <w:r>
              <w:rPr>
                <w:rFonts w:ascii="Times New Roman" w:hAnsi="Times New Roman" w:eastAsia="Times New Roman" w:cs="Times New Roman"/>
                <w:color w:val="000000"/>
              </w:rPr>
              <w:t>” Les</w:t>
            </w:r>
            <w:r>
              <w:rPr>
                <w:rFonts w:ascii="Times New Roman" w:hAnsi="Times New Roman" w:eastAsia="Times New Roman" w:cs="Times New Roman"/>
                <w:color w:val="000000"/>
              </w:rPr>
              <w:tab/>
            </w:r>
            <w:r>
              <w:rPr>
                <w:rFonts w:ascii="Times New Roman" w:hAnsi="Times New Roman" w:eastAsia="Times New Roman" w:cs="Times New Roman"/>
                <w:color w:val="000000"/>
              </w:rPr>
              <w:t>Sciences</w:t>
            </w:r>
            <w:r>
              <w:rPr>
                <w:rFonts w:ascii="Times New Roman" w:hAnsi="Times New Roman" w:eastAsia="Times New Roman" w:cs="Times New Roman"/>
                <w:color w:val="000000"/>
              </w:rPr>
              <w:tab/>
            </w:r>
            <w:r>
              <w:rPr>
                <w:rFonts w:ascii="Times New Roman" w:hAnsi="Times New Roman" w:eastAsia="Times New Roman" w:cs="Times New Roman"/>
                <w:color w:val="000000"/>
              </w:rPr>
              <w:t>hors</w:t>
            </w:r>
            <w:r>
              <w:rPr>
                <w:rFonts w:ascii="Times New Roman" w:hAnsi="Times New Roman" w:eastAsia="Times New Roman" w:cs="Times New Roman"/>
                <w:color w:val="000000"/>
              </w:rPr>
              <w:tab/>
            </w:r>
            <w:r>
              <w:rPr>
                <w:rFonts w:ascii="Times New Roman" w:hAnsi="Times New Roman" w:eastAsia="Times New Roman" w:cs="Times New Roman"/>
                <w:color w:val="000000"/>
              </w:rPr>
              <w:t>d’Occident</w:t>
            </w:r>
            <w:r>
              <w:rPr>
                <w:rFonts w:ascii="Times New Roman" w:hAnsi="Times New Roman" w:eastAsia="Times New Roman" w:cs="Times New Roman"/>
                <w:color w:val="000000"/>
              </w:rPr>
              <w:tab/>
            </w:r>
            <w:r>
              <w:rPr>
                <w:rFonts w:ascii="Times New Roman" w:hAnsi="Times New Roman" w:eastAsia="Times New Roman" w:cs="Times New Roman"/>
                <w:color w:val="000000"/>
              </w:rPr>
              <w:t>au</w:t>
            </w:r>
            <w:r>
              <w:rPr>
                <w:rFonts w:ascii="Times New Roman" w:hAnsi="Times New Roman" w:eastAsia="Times New Roman" w:cs="Times New Roman"/>
                <w:color w:val="000000"/>
              </w:rPr>
              <w:tab/>
            </w:r>
            <w:r>
              <w:rPr>
                <w:rFonts w:ascii="Times New Roman" w:hAnsi="Times New Roman" w:eastAsia="Times New Roman" w:cs="Times New Roman"/>
                <w:color w:val="000000"/>
              </w:rPr>
              <w:t>XXVe</w:t>
            </w:r>
            <w:r>
              <w:rPr>
                <w:rFonts w:ascii="Times New Roman" w:hAnsi="Times New Roman" w:eastAsia="Times New Roman" w:cs="Times New Roman"/>
                <w:color w:val="000000"/>
              </w:rPr>
              <w:tab/>
            </w:r>
            <w:r>
              <w:rPr>
                <w:rFonts w:ascii="Times New Roman" w:hAnsi="Times New Roman" w:eastAsia="Times New Roman" w:cs="Times New Roman"/>
                <w:color w:val="000000"/>
              </w:rPr>
              <w:t>Siecle.</w:t>
            </w:r>
            <w:r>
              <w:rPr>
                <w:rFonts w:ascii="Times New Roman" w:hAnsi="Times New Roman" w:eastAsia="Times New Roman" w:cs="Times New Roman"/>
                <w:color w:val="000000"/>
              </w:rPr>
              <w:tab/>
            </w:r>
            <w:r>
              <w:rPr>
                <w:rFonts w:ascii="Times New Roman" w:hAnsi="Times New Roman" w:eastAsia="Times New Roman" w:cs="Times New Roman"/>
                <w:color w:val="000000"/>
              </w:rPr>
              <w:t>Disponível em:&lt;</w:t>
            </w:r>
            <w:r>
              <w:fldChar w:fldCharType="begin"/>
            </w:r>
            <w:r>
              <w:instrText xml:space="preserve"> HYPERLINK "http://horizon.documentation.ird.fr/exldoc/" \h </w:instrText>
            </w:r>
            <w:r>
              <w:fldChar w:fldCharType="separate"/>
            </w:r>
            <w:r>
              <w:rPr>
                <w:rFonts w:ascii="Times New Roman" w:hAnsi="Times New Roman" w:eastAsia="Times New Roman" w:cs="Times New Roman"/>
                <w:color w:val="0000FF"/>
                <w:u w:val="single"/>
              </w:rPr>
              <w:t>http://horizon.documentation.ird.fr/exldoc/</w:t>
            </w:r>
            <w:r>
              <w:rPr>
                <w:rFonts w:ascii="Times New Roman" w:hAnsi="Times New Roman" w:eastAsia="Times New Roman" w:cs="Times New Roman"/>
                <w:color w:val="0000FF"/>
                <w:u w:val="single"/>
              </w:rPr>
              <w:fldChar w:fldCharType="end"/>
            </w:r>
            <w:r>
              <w:rPr>
                <w:rFonts w:ascii="Times New Roman" w:hAnsi="Times New Roman" w:eastAsia="Times New Roman" w:cs="Times New Roman"/>
                <w:color w:val="0000FF"/>
              </w:rPr>
              <w:t>pleins_textes/pleins_textes_7/carton0 7/010008903.pdf</w:t>
            </w:r>
            <w:r>
              <w:rPr>
                <w:rFonts w:ascii="Times New Roman" w:hAnsi="Times New Roman" w:eastAsia="Times New Roman" w:cs="Times New Roman"/>
                <w:color w:val="000000"/>
              </w:rPr>
              <w:t>&gt;. Acesso em: 15 de set.2017.</w:t>
            </w: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VALENTE, Maria Esther; CAZELLI, Sibele e ALVES, Fátima. Museus, ciência e educação: novos desafios, </w:t>
            </w:r>
            <w:r>
              <w:rPr>
                <w:rFonts w:ascii="Times New Roman" w:hAnsi="Times New Roman" w:eastAsia="Times New Roman" w:cs="Times New Roman"/>
                <w:i/>
                <w:color w:val="000000"/>
              </w:rPr>
              <w:t>História, Ciências, Saúde – Manguinhos</w:t>
            </w:r>
            <w:r>
              <w:rPr>
                <w:rFonts w:ascii="Times New Roman" w:hAnsi="Times New Roman" w:eastAsia="Times New Roman" w:cs="Times New Roman"/>
                <w:color w:val="000000"/>
              </w:rPr>
              <w:t>, 12(suplemento),</w:t>
            </w:r>
          </w:p>
          <w:p>
            <w:pPr>
              <w:widowControl w:val="0"/>
              <w:pBdr>
                <w:top w:val="none" w:color="auto" w:sz="0" w:space="0"/>
                <w:left w:val="none" w:color="auto" w:sz="0" w:space="0"/>
                <w:bottom w:val="none" w:color="auto" w:sz="0" w:space="0"/>
                <w:right w:val="none" w:color="auto" w:sz="0" w:space="0"/>
                <w:between w:val="none" w:color="auto" w:sz="0" w:space="0"/>
              </w:pBdr>
              <w:spacing w:before="3"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p. 183-203, 2005. Disponível em:&lt;</w:t>
            </w:r>
            <w:r>
              <w:fldChar w:fldCharType="begin"/>
            </w:r>
            <w:r>
              <w:instrText xml:space="preserve"> HYPERLINK "http://www.scielo.br/pdf/hcsm/v12s0/09" \h </w:instrText>
            </w:r>
            <w:r>
              <w:fldChar w:fldCharType="separate"/>
            </w:r>
            <w:r>
              <w:rPr>
                <w:rFonts w:ascii="Times New Roman" w:hAnsi="Times New Roman" w:eastAsia="Times New Roman" w:cs="Times New Roman"/>
                <w:color w:val="0000FF"/>
                <w:u w:val="single"/>
              </w:rPr>
              <w:t>http://www.scielo.br/pdf/hcsm/v12s0/09</w:t>
            </w:r>
            <w:r>
              <w:rPr>
                <w:rFonts w:ascii="Times New Roman" w:hAnsi="Times New Roman" w:eastAsia="Times New Roman" w:cs="Times New Roman"/>
                <w:color w:val="0000FF"/>
                <w:u w:val="single"/>
              </w:rPr>
              <w:fldChar w:fldCharType="end"/>
            </w:r>
            <w:r>
              <w:rPr>
                <w:rFonts w:ascii="Times New Roman" w:hAnsi="Times New Roman" w:eastAsia="Times New Roman" w:cs="Times New Roman"/>
                <w:color w:val="0000FF"/>
              </w:rPr>
              <w:t xml:space="preserve">&gt;. </w:t>
            </w:r>
            <w:r>
              <w:rPr>
                <w:rFonts w:ascii="Times New Roman" w:hAnsi="Times New Roman" w:eastAsia="Times New Roman" w:cs="Times New Roman"/>
                <w:color w:val="000000"/>
              </w:rPr>
              <w:t>Acesso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em: 15 de set. 2017.</w:t>
            </w:r>
          </w:p>
        </w:tc>
      </w:tr>
    </w:tbl>
    <w:p>
      <w:pPr>
        <w:pBdr>
          <w:top w:val="none" w:color="auto" w:sz="0" w:space="0"/>
          <w:left w:val="none" w:color="auto" w:sz="0" w:space="0"/>
          <w:bottom w:val="none" w:color="auto" w:sz="0" w:space="0"/>
          <w:right w:val="none" w:color="auto" w:sz="0" w:space="0"/>
          <w:between w:val="none" w:color="auto" w:sz="0" w:space="0"/>
        </w:pBdr>
        <w:spacing w:before="8" w:after="1"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8" w:after="1" w:line="288" w:lineRule="auto"/>
        <w:ind w:left="0" w:leftChars="0" w:firstLine="0" w:firstLineChars="0"/>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8" w:after="1"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8" w:after="1" w:line="288" w:lineRule="auto"/>
        <w:ind w:left="0" w:hanging="2"/>
        <w:rPr>
          <w:rFonts w:ascii="Times New Roman" w:hAnsi="Times New Roman" w:eastAsia="Times New Roman" w:cs="Times New Roman"/>
          <w:color w:val="000000"/>
        </w:rPr>
      </w:pPr>
    </w:p>
    <w:tbl>
      <w:tblPr>
        <w:tblStyle w:val="519"/>
        <w:tblW w:w="9021" w:type="dxa"/>
        <w:tblInd w:w="2" w:type="dxa"/>
        <w:tblLayout w:type="fixed"/>
        <w:tblCellMar>
          <w:top w:w="0" w:type="dxa"/>
          <w:left w:w="22" w:type="dxa"/>
          <w:bottom w:w="0" w:type="dxa"/>
          <w:right w:w="5" w:type="dxa"/>
        </w:tblCellMar>
      </w:tblPr>
      <w:tblGrid>
        <w:gridCol w:w="2796"/>
        <w:gridCol w:w="3119"/>
        <w:gridCol w:w="3106"/>
      </w:tblGrid>
      <w:tr>
        <w:tblPrEx>
          <w:tblCellMar>
            <w:top w:w="0" w:type="dxa"/>
            <w:left w:w="22" w:type="dxa"/>
            <w:bottom w:w="0" w:type="dxa"/>
            <w:right w:w="5" w:type="dxa"/>
          </w:tblCellMar>
        </w:tblPrEx>
        <w:trPr>
          <w:trHeight w:val="1900" w:hRule="atLeast"/>
        </w:trPr>
        <w:tc>
          <w:tcPr>
            <w:tcW w:w="5915"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Seminário em História do Brasil XVIII</w:t>
            </w:r>
          </w:p>
          <w:p>
            <w:pPr>
              <w:widowControl w:val="0"/>
              <w:pBdr>
                <w:top w:val="none" w:color="auto" w:sz="0" w:space="0"/>
                <w:left w:val="none" w:color="auto" w:sz="0" w:space="0"/>
                <w:bottom w:val="none" w:color="auto" w:sz="0" w:space="0"/>
                <w:right w:val="none" w:color="auto" w:sz="0" w:space="0"/>
                <w:between w:val="none" w:color="auto" w:sz="0" w:space="0"/>
              </w:pBdr>
              <w:spacing w:before="100" w:line="240" w:lineRule="auto"/>
              <w:ind w:left="0" w:right="801"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History of Brazil Seminar (XVIII)</w:t>
            </w:r>
          </w:p>
        </w:tc>
        <w:tc>
          <w:tcPr>
            <w:tcW w:w="3106"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HIS888</w:t>
            </w:r>
          </w:p>
        </w:tc>
      </w:tr>
      <w:tr>
        <w:tblPrEx>
          <w:tblCellMar>
            <w:top w:w="0" w:type="dxa"/>
            <w:left w:w="22" w:type="dxa"/>
            <w:bottom w:w="0" w:type="dxa"/>
            <w:right w:w="5" w:type="dxa"/>
          </w:tblCellMar>
        </w:tblPrEx>
        <w:trPr>
          <w:trHeight w:val="825" w:hRule="atLeast"/>
        </w:trPr>
        <w:tc>
          <w:tcPr>
            <w:tcW w:w="5915" w:type="dxa"/>
            <w:gridSpan w:val="2"/>
            <w:tcBorders>
              <w:top w:val="single" w:color="000000" w:sz="18" w:space="0"/>
              <w:left w:val="single" w:color="000000" w:sz="18" w:space="0"/>
              <w:bottom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DEHIS</w:t>
            </w:r>
          </w:p>
        </w:tc>
        <w:tc>
          <w:tcPr>
            <w:tcW w:w="3106" w:type="dxa"/>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ICHS</w:t>
            </w:r>
          </w:p>
        </w:tc>
      </w:tr>
      <w:tr>
        <w:tblPrEx>
          <w:tblCellMar>
            <w:top w:w="0" w:type="dxa"/>
            <w:left w:w="22" w:type="dxa"/>
            <w:bottom w:w="0" w:type="dxa"/>
            <w:right w:w="5" w:type="dxa"/>
          </w:tblCellMar>
        </w:tblPrEx>
        <w:trPr>
          <w:trHeight w:val="1243" w:hRule="atLeast"/>
        </w:trPr>
        <w:tc>
          <w:tcPr>
            <w:tcW w:w="2796" w:type="dxa"/>
            <w:tcBorders>
              <w:top w:val="single" w:color="000000" w:sz="18" w:space="0"/>
              <w:left w:val="single" w:color="000000" w:sz="18" w:space="0"/>
              <w:bottom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397"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17"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semestral 90 horas</w:t>
            </w:r>
          </w:p>
        </w:tc>
        <w:tc>
          <w:tcPr>
            <w:tcW w:w="3119" w:type="dxa"/>
            <w:tcBorders>
              <w:top w:val="single" w:color="000000" w:sz="18" w:space="0"/>
              <w:left w:val="single" w:color="000000" w:sz="18" w:space="0"/>
              <w:bottom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3106" w:type="dxa"/>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prática 02 horas/aula</w:t>
            </w:r>
          </w:p>
        </w:tc>
      </w:tr>
      <w:tr>
        <w:tblPrEx>
          <w:tblCellMar>
            <w:top w:w="0" w:type="dxa"/>
            <w:left w:w="22" w:type="dxa"/>
            <w:bottom w:w="0" w:type="dxa"/>
            <w:right w:w="5" w:type="dxa"/>
          </w:tblCellMar>
        </w:tblPrEx>
        <w:trPr>
          <w:trHeight w:val="830" w:hRule="atLeast"/>
        </w:trPr>
        <w:tc>
          <w:tcPr>
            <w:tcW w:w="9021" w:type="dxa"/>
            <w:gridSpan w:val="3"/>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Ementa: Análise de temas historiográficos sobre Brasil Império: História política e as</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instituições parlamentares no oitocentos.</w:t>
            </w:r>
          </w:p>
        </w:tc>
      </w:tr>
      <w:tr>
        <w:tblPrEx>
          <w:tblCellMar>
            <w:top w:w="0" w:type="dxa"/>
            <w:left w:w="22" w:type="dxa"/>
            <w:bottom w:w="0" w:type="dxa"/>
            <w:right w:w="5" w:type="dxa"/>
          </w:tblCellMar>
        </w:tblPrEx>
        <w:trPr>
          <w:trHeight w:val="1380" w:hRule="atLeast"/>
        </w:trPr>
        <w:tc>
          <w:tcPr>
            <w:tcW w:w="9021" w:type="dxa"/>
            <w:gridSpan w:val="3"/>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right="1435"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1 - Os debates em torno de uma sociologia política: as raízes do Brasil. </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right="1435" w:hanging="2"/>
              <w:rPr>
                <w:rFonts w:ascii="Times New Roman" w:hAnsi="Times New Roman" w:eastAsia="Times New Roman" w:cs="Times New Roman"/>
                <w:color w:val="000000"/>
              </w:rPr>
            </w:pPr>
            <w:r>
              <w:rPr>
                <w:rFonts w:ascii="Times New Roman" w:hAnsi="Times New Roman" w:eastAsia="Times New Roman" w:cs="Times New Roman"/>
                <w:color w:val="000000"/>
              </w:rPr>
              <w:t>2- A “Construção da Ordem” e os “donos do poder”.</w:t>
            </w:r>
          </w:p>
          <w:p>
            <w:pPr>
              <w:widowControl w:val="0"/>
              <w:numPr>
                <w:ilvl w:val="0"/>
                <w:numId w:val="33"/>
              </w:numPr>
              <w:pBdr>
                <w:top w:val="none" w:color="auto" w:sz="0" w:space="0"/>
                <w:left w:val="none" w:color="auto" w:sz="0" w:space="0"/>
                <w:bottom w:val="none" w:color="auto" w:sz="0" w:space="0"/>
                <w:right w:val="none" w:color="auto" w:sz="0" w:space="0"/>
                <w:between w:val="none" w:color="auto" w:sz="0" w:space="0"/>
              </w:pBdr>
              <w:tabs>
                <w:tab w:val="left" w:pos="0"/>
                <w:tab w:val="left" w:pos="376"/>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 “Construção da Ordem” e a formação político-partidária no Império.</w:t>
            </w:r>
          </w:p>
          <w:p>
            <w:pPr>
              <w:widowControl w:val="0"/>
              <w:numPr>
                <w:ilvl w:val="0"/>
                <w:numId w:val="33"/>
              </w:numPr>
              <w:pBdr>
                <w:top w:val="none" w:color="auto" w:sz="0" w:space="0"/>
                <w:left w:val="none" w:color="auto" w:sz="0" w:space="0"/>
                <w:bottom w:val="none" w:color="auto" w:sz="0" w:space="0"/>
                <w:right w:val="none" w:color="auto" w:sz="0" w:space="0"/>
                <w:between w:val="none" w:color="auto" w:sz="0" w:space="0"/>
              </w:pBdr>
              <w:tabs>
                <w:tab w:val="left" w:pos="0"/>
                <w:tab w:val="left" w:pos="376"/>
              </w:tabs>
              <w:spacing w:before="14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O Império da escravidão e do café: O fim do tráfico e da Lei de terras.</w:t>
            </w:r>
          </w:p>
          <w:p>
            <w:pPr>
              <w:widowControl w:val="0"/>
              <w:pBdr>
                <w:top w:val="none" w:color="auto" w:sz="0" w:space="0"/>
                <w:left w:val="none" w:color="auto" w:sz="0" w:space="0"/>
                <w:bottom w:val="none" w:color="auto" w:sz="0" w:space="0"/>
                <w:right w:val="none" w:color="auto" w:sz="0" w:space="0"/>
                <w:between w:val="none" w:color="auto" w:sz="0" w:space="0"/>
              </w:pBdr>
              <w:tabs>
                <w:tab w:val="left" w:pos="376"/>
              </w:tabs>
              <w:spacing w:before="141" w:line="240" w:lineRule="auto"/>
              <w:ind w:left="0" w:hanging="2"/>
              <w:rPr>
                <w:rFonts w:ascii="Times New Roman" w:hAnsi="Times New Roman" w:eastAsia="Times New Roman" w:cs="Times New Roman"/>
                <w:color w:val="000000"/>
              </w:rPr>
            </w:pPr>
          </w:p>
        </w:tc>
      </w:tr>
      <w:tr>
        <w:tblPrEx>
          <w:tblCellMar>
            <w:top w:w="0" w:type="dxa"/>
            <w:left w:w="22" w:type="dxa"/>
            <w:bottom w:w="0" w:type="dxa"/>
            <w:right w:w="5" w:type="dxa"/>
          </w:tblCellMar>
        </w:tblPrEx>
        <w:trPr>
          <w:trHeight w:val="1380" w:hRule="atLeast"/>
        </w:trPr>
        <w:tc>
          <w:tcPr>
            <w:tcW w:w="9021" w:type="dxa"/>
            <w:gridSpan w:val="3"/>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9"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CARVALHO, José Murilo. </w:t>
            </w:r>
            <w:r>
              <w:rPr>
                <w:rFonts w:ascii="Times New Roman" w:hAnsi="Times New Roman" w:eastAsia="Times New Roman" w:cs="Times New Roman"/>
                <w:i/>
                <w:color w:val="000000"/>
              </w:rPr>
              <w:t>A Construção da Ordem/ Teatro de Sombras</w:t>
            </w:r>
            <w:r>
              <w:rPr>
                <w:rFonts w:ascii="Times New Roman" w:hAnsi="Times New Roman" w:eastAsia="Times New Roman" w:cs="Times New Roman"/>
                <w:color w:val="000000"/>
              </w:rPr>
              <w:t>. Rio de Janeiro: Civilização Brasileira, 2003.</w:t>
            </w:r>
          </w:p>
          <w:p>
            <w:pPr>
              <w:widowControl w:val="0"/>
              <w:pBdr>
                <w:top w:val="none" w:color="auto" w:sz="0" w:space="0"/>
                <w:left w:val="none" w:color="auto" w:sz="0" w:space="0"/>
                <w:bottom w:val="none" w:color="auto" w:sz="0" w:space="0"/>
                <w:right w:val="none" w:color="auto" w:sz="0" w:space="0"/>
                <w:between w:val="none" w:color="auto" w:sz="0" w:space="0"/>
              </w:pBdr>
              <w:spacing w:before="2"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DIAS, Maria Odila Leite da Silva. </w:t>
            </w:r>
            <w:r>
              <w:rPr>
                <w:rFonts w:ascii="Times New Roman" w:hAnsi="Times New Roman" w:eastAsia="Times New Roman" w:cs="Times New Roman"/>
                <w:i/>
                <w:color w:val="000000"/>
              </w:rPr>
              <w:t>A interiorização da Metrópole</w:t>
            </w:r>
            <w:r>
              <w:rPr>
                <w:rFonts w:ascii="Times New Roman" w:hAnsi="Times New Roman" w:eastAsia="Times New Roman" w:cs="Times New Roman"/>
                <w:color w:val="000000"/>
              </w:rPr>
              <w:t>. In: MOTA, Carlo Guilherme, 1822: Dimensões. São Paulo: Perspectiva, 1986. p.160-184.</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FAORO, Raymundo. </w:t>
            </w:r>
            <w:r>
              <w:rPr>
                <w:rFonts w:ascii="Times New Roman" w:hAnsi="Times New Roman" w:eastAsia="Times New Roman" w:cs="Times New Roman"/>
                <w:i/>
                <w:color w:val="000000"/>
              </w:rPr>
              <w:t>Os donos do Poder</w:t>
            </w:r>
            <w:r>
              <w:rPr>
                <w:rFonts w:ascii="Times New Roman" w:hAnsi="Times New Roman" w:eastAsia="Times New Roman" w:cs="Times New Roman"/>
                <w:color w:val="000000"/>
              </w:rPr>
              <w:t>: Formação do patronato político brasileiro. São Paulo: Globo, 1989.</w:t>
            </w:r>
          </w:p>
          <w:p>
            <w:pPr>
              <w:widowControl w:val="0"/>
              <w:pBdr>
                <w:top w:val="none" w:color="auto" w:sz="0" w:space="0"/>
                <w:left w:val="none" w:color="auto" w:sz="0" w:space="0"/>
                <w:bottom w:val="none" w:color="auto" w:sz="0" w:space="0"/>
                <w:right w:val="none" w:color="auto" w:sz="0" w:space="0"/>
                <w:between w:val="none" w:color="auto" w:sz="0" w:space="0"/>
              </w:pBdr>
              <w:spacing w:before="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HOLLANDA, Sérgio B. </w:t>
            </w:r>
            <w:r>
              <w:rPr>
                <w:rFonts w:ascii="Times New Roman" w:hAnsi="Times New Roman" w:eastAsia="Times New Roman" w:cs="Times New Roman"/>
                <w:i/>
                <w:color w:val="000000"/>
              </w:rPr>
              <w:t>Raízes do Brasil</w:t>
            </w:r>
            <w:r>
              <w:rPr>
                <w:rFonts w:ascii="Times New Roman" w:hAnsi="Times New Roman" w:eastAsia="Times New Roman" w:cs="Times New Roman"/>
                <w:color w:val="000000"/>
              </w:rPr>
              <w:t>. Rio de Janeiro: José Olympio, 1936.</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MATTOS, Ilmar Rohloff. </w:t>
            </w:r>
            <w:r>
              <w:rPr>
                <w:rFonts w:ascii="Times New Roman" w:hAnsi="Times New Roman" w:eastAsia="Times New Roman" w:cs="Times New Roman"/>
                <w:i/>
                <w:color w:val="000000"/>
              </w:rPr>
              <w:t>O tempo Saquarema</w:t>
            </w:r>
            <w:r>
              <w:rPr>
                <w:rFonts w:ascii="Times New Roman" w:hAnsi="Times New Roman" w:eastAsia="Times New Roman" w:cs="Times New Roman"/>
                <w:color w:val="000000"/>
              </w:rPr>
              <w:t>. São Paulo: Hucitec, 1987.</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tc>
      </w:tr>
      <w:tr>
        <w:tblPrEx>
          <w:tblCellMar>
            <w:top w:w="0" w:type="dxa"/>
            <w:left w:w="22" w:type="dxa"/>
            <w:bottom w:w="0" w:type="dxa"/>
            <w:right w:w="5" w:type="dxa"/>
          </w:tblCellMar>
        </w:tblPrEx>
        <w:trPr>
          <w:trHeight w:val="4382" w:hRule="atLeast"/>
        </w:trPr>
        <w:tc>
          <w:tcPr>
            <w:tcW w:w="9021" w:type="dxa"/>
            <w:gridSpan w:val="3"/>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right="202"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CARVALHO, José Murilo de. </w:t>
            </w:r>
            <w:r>
              <w:rPr>
                <w:rFonts w:ascii="Times New Roman" w:hAnsi="Times New Roman" w:eastAsia="Times New Roman" w:cs="Times New Roman"/>
                <w:i/>
                <w:color w:val="000000"/>
              </w:rPr>
              <w:t>Nação e cidadania no Império</w:t>
            </w:r>
            <w:r>
              <w:rPr>
                <w:rFonts w:ascii="Times New Roman" w:hAnsi="Times New Roman" w:eastAsia="Times New Roman" w:cs="Times New Roman"/>
                <w:color w:val="000000"/>
              </w:rPr>
              <w:t>: Novos Horizontes. Rio de Janeiro: Civilização Brasileira,2007.</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COSTA, Emilia Viotti</w:t>
            </w:r>
            <w:r>
              <w:rPr>
                <w:rFonts w:ascii="Times New Roman" w:hAnsi="Times New Roman" w:eastAsia="Times New Roman" w:cs="Times New Roman"/>
                <w:i/>
                <w:color w:val="000000"/>
              </w:rPr>
              <w:t>. Da Monarquia à República</w:t>
            </w:r>
            <w:r>
              <w:rPr>
                <w:rFonts w:ascii="Times New Roman" w:hAnsi="Times New Roman" w:eastAsia="Times New Roman" w:cs="Times New Roman"/>
                <w:color w:val="000000"/>
              </w:rPr>
              <w:t>. Unesp, 1977.</w:t>
            </w:r>
          </w:p>
          <w:p>
            <w:pPr>
              <w:widowControl w:val="0"/>
              <w:pBdr>
                <w:top w:val="none" w:color="auto" w:sz="0" w:space="0"/>
                <w:left w:val="none" w:color="auto" w:sz="0" w:space="0"/>
                <w:bottom w:val="none" w:color="auto" w:sz="0" w:space="0"/>
                <w:right w:val="none" w:color="auto" w:sz="0" w:space="0"/>
                <w:between w:val="none" w:color="auto" w:sz="0" w:space="0"/>
              </w:pBdr>
              <w:spacing w:before="136"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JANCSÓ, István (Coord.). </w:t>
            </w:r>
            <w:r>
              <w:rPr>
                <w:rFonts w:ascii="Times New Roman" w:hAnsi="Times New Roman" w:eastAsia="Times New Roman" w:cs="Times New Roman"/>
                <w:i/>
                <w:color w:val="000000"/>
              </w:rPr>
              <w:t>Brasil: Formação do Estado e da Nação</w:t>
            </w:r>
            <w:r>
              <w:rPr>
                <w:rFonts w:ascii="Times New Roman" w:hAnsi="Times New Roman" w:eastAsia="Times New Roman" w:cs="Times New Roman"/>
                <w:color w:val="000000"/>
              </w:rPr>
              <w:t>. São Paulo: Hucitec, 2003.</w:t>
            </w:r>
          </w:p>
          <w:p>
            <w:pPr>
              <w:widowControl w:val="0"/>
              <w:pBdr>
                <w:top w:val="none" w:color="auto" w:sz="0" w:space="0"/>
                <w:left w:val="none" w:color="auto" w:sz="0" w:space="0"/>
                <w:bottom w:val="none" w:color="auto" w:sz="0" w:space="0"/>
                <w:right w:val="none" w:color="auto" w:sz="0" w:space="0"/>
                <w:between w:val="none" w:color="auto" w:sz="0" w:space="0"/>
              </w:pBdr>
              <w:tabs>
                <w:tab w:val="left" w:pos="1366"/>
              </w:tabs>
              <w:spacing w:before="3" w:line="360" w:lineRule="auto"/>
              <w:ind w:left="0" w:right="64" w:hanging="2"/>
              <w:rPr>
                <w:rFonts w:ascii="Times New Roman" w:hAnsi="Times New Roman" w:eastAsia="Times New Roman" w:cs="Times New Roman"/>
                <w:color w:val="000000"/>
              </w:rPr>
            </w:pPr>
            <w:r>
              <w:rPr>
                <w:rFonts w:ascii="Times New Roman" w:hAnsi="Times New Roman" w:eastAsia="Times New Roman" w:cs="Times New Roman"/>
                <w:color w:val="000000"/>
                <w:u w:val="single"/>
              </w:rPr>
              <w:tab/>
            </w:r>
            <w:r>
              <w:rPr>
                <w:rFonts w:ascii="Times New Roman" w:hAnsi="Times New Roman" w:eastAsia="Times New Roman" w:cs="Times New Roman"/>
                <w:color w:val="000000"/>
              </w:rPr>
              <w:t xml:space="preserve">(Coord.). </w:t>
            </w:r>
            <w:r>
              <w:rPr>
                <w:rFonts w:ascii="Times New Roman" w:hAnsi="Times New Roman" w:eastAsia="Times New Roman" w:cs="Times New Roman"/>
                <w:i/>
                <w:color w:val="000000"/>
              </w:rPr>
              <w:t>Independência</w:t>
            </w:r>
            <w:r>
              <w:rPr>
                <w:rFonts w:ascii="Times New Roman" w:hAnsi="Times New Roman" w:eastAsia="Times New Roman" w:cs="Times New Roman"/>
                <w:color w:val="000000"/>
              </w:rPr>
              <w:t>: História e Historiografia. São Paulo: Hucitec, 2005.</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MATTOS, Ilmar Rohloff. </w:t>
            </w:r>
            <w:r>
              <w:rPr>
                <w:rFonts w:ascii="Times New Roman" w:hAnsi="Times New Roman" w:eastAsia="Times New Roman" w:cs="Times New Roman"/>
                <w:i/>
                <w:color w:val="000000"/>
              </w:rPr>
              <w:t>Construtores e Herdeiros</w:t>
            </w:r>
            <w:r>
              <w:rPr>
                <w:rFonts w:ascii="Times New Roman" w:hAnsi="Times New Roman" w:eastAsia="Times New Roman" w:cs="Times New Roman"/>
                <w:color w:val="000000"/>
              </w:rPr>
              <w:t>: a trama dos interesses na</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construção da unidade política. Revista de História da USP, 2005.</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MOTA, Carlo Guilherme. </w:t>
            </w:r>
            <w:r>
              <w:rPr>
                <w:rFonts w:ascii="Times New Roman" w:hAnsi="Times New Roman" w:eastAsia="Times New Roman" w:cs="Times New Roman"/>
                <w:i/>
                <w:color w:val="000000"/>
              </w:rPr>
              <w:t>Viagem Incompleta</w:t>
            </w:r>
            <w:r>
              <w:rPr>
                <w:rFonts w:ascii="Times New Roman" w:hAnsi="Times New Roman" w:eastAsia="Times New Roman" w:cs="Times New Roman"/>
                <w:color w:val="000000"/>
              </w:rPr>
              <w:t>: a grande experiência do Brasil. São Paulo: Senac, 2vols, 2006</w:t>
            </w:r>
          </w:p>
        </w:tc>
      </w:tr>
    </w:tbl>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5" w:after="1" w:line="288" w:lineRule="auto"/>
        <w:ind w:left="0" w:hanging="2"/>
        <w:rPr>
          <w:rFonts w:ascii="Times New Roman" w:hAnsi="Times New Roman" w:eastAsia="Times New Roman" w:cs="Times New Roman"/>
          <w:color w:val="000000"/>
        </w:rPr>
      </w:pPr>
    </w:p>
    <w:tbl>
      <w:tblPr>
        <w:tblStyle w:val="520"/>
        <w:tblW w:w="9021" w:type="dxa"/>
        <w:tblInd w:w="2" w:type="dxa"/>
        <w:tblLayout w:type="fixed"/>
        <w:tblCellMar>
          <w:top w:w="0" w:type="dxa"/>
          <w:left w:w="22" w:type="dxa"/>
          <w:bottom w:w="0" w:type="dxa"/>
          <w:right w:w="22" w:type="dxa"/>
        </w:tblCellMar>
      </w:tblPr>
      <w:tblGrid>
        <w:gridCol w:w="2830"/>
        <w:gridCol w:w="3243"/>
        <w:gridCol w:w="2948"/>
      </w:tblGrid>
      <w:tr>
        <w:tblPrEx>
          <w:tblCellMar>
            <w:top w:w="0" w:type="dxa"/>
            <w:left w:w="22" w:type="dxa"/>
            <w:bottom w:w="0" w:type="dxa"/>
            <w:right w:w="22" w:type="dxa"/>
          </w:tblCellMar>
        </w:tblPrEx>
        <w:trPr>
          <w:trHeight w:val="1895" w:hRule="atLeast"/>
        </w:trPr>
        <w:tc>
          <w:tcPr>
            <w:tcW w:w="6073"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809"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Leitura Dirigida XXVII</w:t>
            </w:r>
          </w:p>
          <w:p>
            <w:pPr>
              <w:widowControl w:val="0"/>
              <w:pBdr>
                <w:top w:val="none" w:color="auto" w:sz="0" w:space="0"/>
                <w:left w:val="none" w:color="auto" w:sz="0" w:space="0"/>
                <w:bottom w:val="none" w:color="auto" w:sz="0" w:space="0"/>
                <w:right w:val="none" w:color="auto" w:sz="0" w:space="0"/>
                <w:between w:val="none" w:color="auto" w:sz="0" w:space="0"/>
              </w:pBdr>
              <w:spacing w:before="95" w:line="240" w:lineRule="auto"/>
              <w:ind w:left="0" w:right="885"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Targeted Readings XXVII</w:t>
            </w:r>
          </w:p>
        </w:tc>
        <w:tc>
          <w:tcPr>
            <w:tcW w:w="2948"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HIS084</w:t>
            </w:r>
          </w:p>
        </w:tc>
      </w:tr>
      <w:tr>
        <w:tblPrEx>
          <w:tblCellMar>
            <w:top w:w="0" w:type="dxa"/>
            <w:left w:w="22" w:type="dxa"/>
            <w:bottom w:w="0" w:type="dxa"/>
            <w:right w:w="22" w:type="dxa"/>
          </w:tblCellMar>
        </w:tblPrEx>
        <w:trPr>
          <w:trHeight w:val="825" w:hRule="atLeast"/>
        </w:trPr>
        <w:tc>
          <w:tcPr>
            <w:tcW w:w="6073"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Departamento de História - DEHIS</w:t>
            </w:r>
          </w:p>
        </w:tc>
        <w:tc>
          <w:tcPr>
            <w:tcW w:w="2948"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3" w:hRule="atLeast"/>
        </w:trPr>
        <w:tc>
          <w:tcPr>
            <w:tcW w:w="2830"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427"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2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45 horas</w:t>
            </w:r>
          </w:p>
        </w:tc>
        <w:tc>
          <w:tcPr>
            <w:tcW w:w="3243"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02 horas/aula</w:t>
            </w:r>
          </w:p>
        </w:tc>
        <w:tc>
          <w:tcPr>
            <w:tcW w:w="2948"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 01 hora/aula</w:t>
            </w:r>
          </w:p>
        </w:tc>
      </w:tr>
      <w:tr>
        <w:tblPrEx>
          <w:tblCellMar>
            <w:top w:w="0" w:type="dxa"/>
            <w:left w:w="22" w:type="dxa"/>
            <w:bottom w:w="0" w:type="dxa"/>
            <w:right w:w="22" w:type="dxa"/>
          </w:tblCellMar>
        </w:tblPrEx>
        <w:trPr>
          <w:trHeight w:val="1242"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Ementa: O curso baseia-se em discussões sobre textos, documentários e entrevistas que tratam dos processos de luta pela terra no Brasil, especialmente em Minas Gerais durante a segunda metade do século XX. Assim, estimula-se que os alunos produzam textos, entrevistas e/ou pequenos vídeos relacionados às reflexões desencadeadas pelo curso.</w:t>
            </w:r>
          </w:p>
        </w:tc>
      </w:tr>
      <w:tr>
        <w:tblPrEx>
          <w:tblCellMar>
            <w:top w:w="0" w:type="dxa"/>
            <w:left w:w="22" w:type="dxa"/>
            <w:bottom w:w="0" w:type="dxa"/>
            <w:right w:w="22" w:type="dxa"/>
          </w:tblCellMar>
        </w:tblPrEx>
        <w:trPr>
          <w:trHeight w:val="2069"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Introdução</w:t>
            </w:r>
          </w:p>
          <w:p>
            <w:pPr>
              <w:widowControl w:val="0"/>
              <w:pBdr>
                <w:top w:val="none" w:color="auto" w:sz="0" w:space="0"/>
                <w:left w:val="none" w:color="auto" w:sz="0" w:space="0"/>
                <w:bottom w:val="none" w:color="auto" w:sz="0" w:space="0"/>
                <w:right w:val="none" w:color="auto" w:sz="0" w:space="0"/>
                <w:between w:val="none" w:color="auto" w:sz="0" w:space="0"/>
              </w:pBdr>
              <w:spacing w:before="142" w:line="240" w:lineRule="auto"/>
              <w:ind w:left="0" w:right="3454" w:hanging="2"/>
              <w:rPr>
                <w:rFonts w:ascii="Times New Roman" w:hAnsi="Times New Roman" w:eastAsia="Times New Roman" w:cs="Times New Roman"/>
              </w:rPr>
            </w:pPr>
            <w:r>
              <w:rPr>
                <w:rFonts w:ascii="Times New Roman" w:hAnsi="Times New Roman" w:eastAsia="Times New Roman" w:cs="Times New Roman"/>
                <w:color w:val="000000"/>
              </w:rPr>
              <w:t>UNIDADE I – Luta pela Terra no Brasil</w:t>
            </w:r>
          </w:p>
          <w:p>
            <w:pPr>
              <w:widowControl w:val="0"/>
              <w:pBdr>
                <w:top w:val="none" w:color="auto" w:sz="0" w:space="0"/>
                <w:left w:val="none" w:color="auto" w:sz="0" w:space="0"/>
                <w:bottom w:val="none" w:color="auto" w:sz="0" w:space="0"/>
                <w:right w:val="none" w:color="auto" w:sz="0" w:space="0"/>
                <w:between w:val="none" w:color="auto" w:sz="0" w:space="0"/>
              </w:pBdr>
              <w:spacing w:before="142" w:line="240" w:lineRule="auto"/>
              <w:ind w:left="0" w:right="3454" w:hanging="2"/>
              <w:rPr>
                <w:rFonts w:ascii="Times New Roman" w:hAnsi="Times New Roman" w:eastAsia="Times New Roman" w:cs="Times New Roman"/>
                <w:color w:val="000000"/>
              </w:rPr>
            </w:pPr>
            <w:r>
              <w:rPr>
                <w:rFonts w:ascii="Times New Roman" w:hAnsi="Times New Roman" w:eastAsia="Times New Roman" w:cs="Times New Roman"/>
                <w:color w:val="000000"/>
              </w:rPr>
              <w:t>UNIDADE II – Luta pela Terra em Minas Gerais</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III – Estado, imprensa e meio rural no século XX</w:t>
            </w:r>
          </w:p>
        </w:tc>
      </w:tr>
      <w:tr>
        <w:tblPrEx>
          <w:tblCellMar>
            <w:top w:w="0" w:type="dxa"/>
            <w:left w:w="22" w:type="dxa"/>
            <w:bottom w:w="0" w:type="dxa"/>
            <w:right w:w="22" w:type="dxa"/>
          </w:tblCellMar>
        </w:tblPrEx>
        <w:trPr>
          <w:trHeight w:val="5850"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2"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3"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NOVAES, Regina Reyes. </w:t>
            </w:r>
            <w:r>
              <w:rPr>
                <w:rFonts w:ascii="Times New Roman" w:hAnsi="Times New Roman" w:eastAsia="Times New Roman" w:cs="Times New Roman"/>
                <w:b/>
                <w:color w:val="000000"/>
              </w:rPr>
              <w:t>De corpo e alma: catolicismo, classes sociais e conflitos no campo</w:t>
            </w:r>
            <w:r>
              <w:rPr>
                <w:rFonts w:ascii="Times New Roman" w:hAnsi="Times New Roman" w:eastAsia="Times New Roman" w:cs="Times New Roman"/>
                <w:color w:val="000000"/>
              </w:rPr>
              <w:t>. Rio de Janeiro: Graphia, 1997.</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MORAES, João Q.; DEL ROIO, Marcos. </w:t>
            </w:r>
            <w:r>
              <w:rPr>
                <w:rFonts w:ascii="Times New Roman" w:hAnsi="Times New Roman" w:eastAsia="Times New Roman" w:cs="Times New Roman"/>
                <w:b/>
                <w:color w:val="000000"/>
              </w:rPr>
              <w:t>História do Marxismo no Brasil</w:t>
            </w:r>
            <w:r>
              <w:rPr>
                <w:rFonts w:ascii="Times New Roman" w:hAnsi="Times New Roman" w:eastAsia="Times New Roman" w:cs="Times New Roman"/>
                <w:color w:val="000000"/>
              </w:rPr>
              <w:t>. V. 4 Campinas: Ed. Unicamp, 2007.</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3"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MARTINS, José de Sousa. </w:t>
            </w:r>
            <w:r>
              <w:rPr>
                <w:rFonts w:ascii="Times New Roman" w:hAnsi="Times New Roman" w:eastAsia="Times New Roman" w:cs="Times New Roman"/>
                <w:b/>
                <w:color w:val="000000"/>
              </w:rPr>
              <w:t xml:space="preserve">Os camponeses e a política do Brasil. </w:t>
            </w:r>
            <w:r>
              <w:rPr>
                <w:rFonts w:ascii="Times New Roman" w:hAnsi="Times New Roman" w:eastAsia="Times New Roman" w:cs="Times New Roman"/>
                <w:color w:val="000000"/>
              </w:rPr>
              <w:t>São Paulo: Editora Vozes, 1981.</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48"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SIGAUD, L; ROSA, M; MACEDO, M. E. Ocupações de Terra, Acampamentos e Demandas ao Estado: Uma Análise em Perspectiva Comparada. </w:t>
            </w:r>
            <w:r>
              <w:rPr>
                <w:rFonts w:ascii="Times New Roman" w:hAnsi="Times New Roman" w:eastAsia="Times New Roman" w:cs="Times New Roman"/>
                <w:b/>
                <w:color w:val="000000"/>
              </w:rPr>
              <w:t>DADOS – Revista de</w:t>
            </w:r>
          </w:p>
          <w:p>
            <w:pPr>
              <w:widowControl w:val="0"/>
              <w:pBdr>
                <w:top w:val="none" w:color="auto" w:sz="0" w:space="0"/>
                <w:left w:val="none" w:color="auto" w:sz="0" w:space="0"/>
                <w:bottom w:val="none" w:color="auto" w:sz="0" w:space="0"/>
                <w:right w:val="none" w:color="auto" w:sz="0" w:space="0"/>
                <w:between w:val="none" w:color="auto" w:sz="0" w:space="0"/>
              </w:pBdr>
              <w:spacing w:before="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b/>
                <w:color w:val="000000"/>
              </w:rPr>
              <w:t>Ciências Sociais</w:t>
            </w:r>
            <w:r>
              <w:rPr>
                <w:rFonts w:ascii="Times New Roman" w:hAnsi="Times New Roman" w:eastAsia="Times New Roman" w:cs="Times New Roman"/>
                <w:color w:val="000000"/>
              </w:rPr>
              <w:t>, Rio de Janeiro, Vol. 51, no 1, 2008, pp. 107 a 142.</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FERNANDES, Bernardo Mançano; MEDEIROS, Leonilde S. de; PAULILO, Maria Ignez. (Orgs). </w:t>
            </w:r>
            <w:r>
              <w:rPr>
                <w:rFonts w:ascii="Times New Roman" w:hAnsi="Times New Roman" w:eastAsia="Times New Roman" w:cs="Times New Roman"/>
                <w:b/>
                <w:color w:val="000000"/>
              </w:rPr>
              <w:t xml:space="preserve">Lutas Camponesas Contemporâneas: condições, dilemas e conquistas. </w:t>
            </w:r>
            <w:r>
              <w:rPr>
                <w:rFonts w:ascii="Times New Roman" w:hAnsi="Times New Roman" w:eastAsia="Times New Roman" w:cs="Times New Roman"/>
                <w:color w:val="000000"/>
              </w:rPr>
              <w:t>Vol II. São Paulo: Ed. Da UNESP, 2009. Coleção História Social do Campesinato.</w:t>
            </w:r>
          </w:p>
        </w:tc>
      </w:tr>
      <w:tr>
        <w:tblPrEx>
          <w:tblCellMar>
            <w:top w:w="0" w:type="dxa"/>
            <w:left w:w="22" w:type="dxa"/>
            <w:bottom w:w="0" w:type="dxa"/>
            <w:right w:w="22" w:type="dxa"/>
          </w:tblCellMar>
        </w:tblPrEx>
        <w:trPr>
          <w:trHeight w:val="4143"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141"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LOWY, M. </w:t>
            </w:r>
            <w:r>
              <w:rPr>
                <w:rFonts w:ascii="Times New Roman" w:hAnsi="Times New Roman" w:eastAsia="Times New Roman" w:cs="Times New Roman"/>
                <w:b/>
                <w:color w:val="000000"/>
              </w:rPr>
              <w:t>Marxismo e Teologia da Libertação</w:t>
            </w:r>
            <w:r>
              <w:rPr>
                <w:rFonts w:ascii="Times New Roman" w:hAnsi="Times New Roman" w:eastAsia="Times New Roman" w:cs="Times New Roman"/>
                <w:color w:val="000000"/>
              </w:rPr>
              <w:t xml:space="preserve">. São Paulo: Cortez, 1993. MARTINS, José de Sousa. </w:t>
            </w:r>
            <w:r>
              <w:rPr>
                <w:rFonts w:ascii="Times New Roman" w:hAnsi="Times New Roman" w:eastAsia="Times New Roman" w:cs="Times New Roman"/>
                <w:b/>
                <w:color w:val="000000"/>
              </w:rPr>
              <w:t>Reforma Agrária: o impossível diálogo</w:t>
            </w:r>
            <w:r>
              <w:rPr>
                <w:rFonts w:ascii="Times New Roman" w:hAnsi="Times New Roman" w:eastAsia="Times New Roman" w:cs="Times New Roman"/>
                <w:color w:val="000000"/>
              </w:rPr>
              <w:t>. São Paulo: Ed. USP, 2004.</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3"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MEDEIROS, L. S. de. </w:t>
            </w:r>
            <w:r>
              <w:rPr>
                <w:rFonts w:ascii="Times New Roman" w:hAnsi="Times New Roman" w:eastAsia="Times New Roman" w:cs="Times New Roman"/>
                <w:b/>
                <w:color w:val="000000"/>
              </w:rPr>
              <w:t>Movimentos sociais, disputas políticas e reforma agrária de mercado no Brasil</w:t>
            </w:r>
            <w:r>
              <w:rPr>
                <w:rFonts w:ascii="Times New Roman" w:hAnsi="Times New Roman" w:eastAsia="Times New Roman" w:cs="Times New Roman"/>
                <w:color w:val="000000"/>
              </w:rPr>
              <w:t>. Rio de Janeiro: Unrisd e Edur, 2002.</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MEDEIROS, L. S. de. </w:t>
            </w:r>
            <w:r>
              <w:rPr>
                <w:rFonts w:ascii="Times New Roman" w:hAnsi="Times New Roman" w:eastAsia="Times New Roman" w:cs="Times New Roman"/>
                <w:b/>
                <w:color w:val="000000"/>
              </w:rPr>
              <w:t>Reforma Agrária no Brasil: história e atualidade da luta pela terra</w:t>
            </w:r>
            <w:r>
              <w:rPr>
                <w:rFonts w:ascii="Times New Roman" w:hAnsi="Times New Roman" w:eastAsia="Times New Roman" w:cs="Times New Roman"/>
                <w:color w:val="000000"/>
              </w:rPr>
              <w:t>. São Paulo: Fundação Perseu Abrano, 2003 (Coleção Brasil Urgente).</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SIGAUD</w:t>
            </w:r>
            <w:r>
              <w:rPr>
                <w:rFonts w:ascii="Times New Roman" w:hAnsi="Times New Roman" w:eastAsia="Times New Roman" w:cs="Times New Roman"/>
                <w:i/>
                <w:color w:val="000000"/>
              </w:rPr>
              <w:t xml:space="preserve">, </w:t>
            </w:r>
            <w:r>
              <w:rPr>
                <w:rFonts w:ascii="Times New Roman" w:hAnsi="Times New Roman" w:eastAsia="Times New Roman" w:cs="Times New Roman"/>
                <w:color w:val="000000"/>
              </w:rPr>
              <w:t>Lygia.</w:t>
            </w:r>
            <w:r>
              <w:rPr>
                <w:rFonts w:ascii="Times New Roman" w:hAnsi="Times New Roman" w:eastAsia="Times New Roman" w:cs="Times New Roman"/>
                <w:b/>
                <w:color w:val="000000"/>
              </w:rPr>
              <w:t>Os clandestinos e os direitos; estudo sobre trabalhadores da</w:t>
            </w:r>
          </w:p>
          <w:p>
            <w:pPr>
              <w:widowControl w:val="0"/>
              <w:pBdr>
                <w:top w:val="none" w:color="auto" w:sz="0" w:space="0"/>
                <w:left w:val="none" w:color="auto" w:sz="0" w:space="0"/>
                <w:bottom w:val="none" w:color="auto" w:sz="0" w:space="0"/>
                <w:right w:val="none" w:color="auto" w:sz="0" w:space="0"/>
                <w:between w:val="none" w:color="auto" w:sz="0" w:space="0"/>
              </w:pBdr>
              <w:spacing w:before="13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b/>
                <w:color w:val="000000"/>
              </w:rPr>
              <w:t>cana-de-açúcar de Pernambuco</w:t>
            </w:r>
            <w:r>
              <w:rPr>
                <w:rFonts w:ascii="Times New Roman" w:hAnsi="Times New Roman" w:eastAsia="Times New Roman" w:cs="Times New Roman"/>
                <w:color w:val="000000"/>
              </w:rPr>
              <w:t>. São Paulo: Livraria Duas Cidades, 1979.</w:t>
            </w:r>
          </w:p>
        </w:tc>
      </w:tr>
    </w:tbl>
    <w:p>
      <w:pPr>
        <w:pBdr>
          <w:top w:val="none" w:color="auto" w:sz="0" w:space="0"/>
          <w:left w:val="none" w:color="auto" w:sz="0" w:space="0"/>
          <w:bottom w:val="none" w:color="auto" w:sz="0" w:space="0"/>
          <w:right w:val="none" w:color="auto" w:sz="0" w:space="0"/>
          <w:between w:val="none" w:color="auto" w:sz="0" w:space="0"/>
        </w:pBdr>
        <w:spacing w:before="9" w:after="14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9" w:after="140" w:line="288" w:lineRule="auto"/>
        <w:ind w:left="0" w:hanging="2"/>
        <w:rPr>
          <w:rFonts w:ascii="Times New Roman" w:hAnsi="Times New Roman" w:eastAsia="Times New Roman" w:cs="Times New Roman"/>
          <w:color w:val="000000"/>
        </w:rPr>
      </w:pPr>
    </w:p>
    <w:tbl>
      <w:tblPr>
        <w:tblStyle w:val="521"/>
        <w:tblW w:w="9021" w:type="dxa"/>
        <w:tblInd w:w="2" w:type="dxa"/>
        <w:tblLayout w:type="fixed"/>
        <w:tblCellMar>
          <w:top w:w="0" w:type="dxa"/>
          <w:left w:w="22" w:type="dxa"/>
          <w:bottom w:w="0" w:type="dxa"/>
          <w:right w:w="22" w:type="dxa"/>
        </w:tblCellMar>
      </w:tblPr>
      <w:tblGrid>
        <w:gridCol w:w="2830"/>
        <w:gridCol w:w="3243"/>
        <w:gridCol w:w="2948"/>
      </w:tblGrid>
      <w:tr>
        <w:tblPrEx>
          <w:tblCellMar>
            <w:top w:w="0" w:type="dxa"/>
            <w:left w:w="22" w:type="dxa"/>
            <w:bottom w:w="0" w:type="dxa"/>
            <w:right w:w="22" w:type="dxa"/>
          </w:tblCellMar>
        </w:tblPrEx>
        <w:trPr>
          <w:trHeight w:val="2073" w:hRule="atLeast"/>
        </w:trPr>
        <w:tc>
          <w:tcPr>
            <w:tcW w:w="6073"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809"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Leituras Dirigidas XXVIII</w:t>
            </w:r>
          </w:p>
          <w:p>
            <w:pPr>
              <w:widowControl w:val="0"/>
              <w:pBdr>
                <w:top w:val="none" w:color="auto" w:sz="0" w:space="0"/>
                <w:left w:val="none" w:color="auto" w:sz="0" w:space="0"/>
                <w:bottom w:val="none" w:color="auto" w:sz="0" w:space="0"/>
                <w:right w:val="none" w:color="auto" w:sz="0" w:space="0"/>
                <w:between w:val="none" w:color="auto" w:sz="0" w:space="0"/>
              </w:pBdr>
              <w:spacing w:before="1"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885"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Targeted Readings XXVIII</w:t>
            </w:r>
          </w:p>
        </w:tc>
        <w:tc>
          <w:tcPr>
            <w:tcW w:w="2948"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HIS085</w:t>
            </w:r>
          </w:p>
        </w:tc>
      </w:tr>
      <w:tr>
        <w:tblPrEx>
          <w:tblCellMar>
            <w:top w:w="0" w:type="dxa"/>
            <w:left w:w="22" w:type="dxa"/>
            <w:bottom w:w="0" w:type="dxa"/>
            <w:right w:w="22" w:type="dxa"/>
          </w:tblCellMar>
        </w:tblPrEx>
        <w:trPr>
          <w:trHeight w:val="830" w:hRule="atLeast"/>
        </w:trPr>
        <w:tc>
          <w:tcPr>
            <w:tcW w:w="6073"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Departamento de História - DEHIS</w:t>
            </w:r>
          </w:p>
        </w:tc>
        <w:tc>
          <w:tcPr>
            <w:tcW w:w="2948"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38" w:hRule="atLeast"/>
        </w:trPr>
        <w:tc>
          <w:tcPr>
            <w:tcW w:w="2830"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428"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2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45 horas</w:t>
            </w:r>
          </w:p>
        </w:tc>
        <w:tc>
          <w:tcPr>
            <w:tcW w:w="3243"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02 horas/aula</w:t>
            </w:r>
          </w:p>
        </w:tc>
        <w:tc>
          <w:tcPr>
            <w:tcW w:w="2948"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01hora/aula</w:t>
            </w:r>
          </w:p>
        </w:tc>
      </w:tr>
      <w:tr>
        <w:tblPrEx>
          <w:tblCellMar>
            <w:top w:w="0" w:type="dxa"/>
            <w:left w:w="22" w:type="dxa"/>
            <w:bottom w:w="0" w:type="dxa"/>
            <w:right w:w="22" w:type="dxa"/>
          </w:tblCellMar>
        </w:tblPrEx>
        <w:trPr>
          <w:trHeight w:val="1243"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Ementa: Discussões sobre textos, filmes e depoimentos que problematizam os</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2" w:hanging="2"/>
              <w:rPr>
                <w:rFonts w:ascii="Times New Roman" w:hAnsi="Times New Roman" w:eastAsia="Times New Roman" w:cs="Times New Roman"/>
                <w:color w:val="000000"/>
              </w:rPr>
            </w:pPr>
            <w:r>
              <w:rPr>
                <w:rFonts w:ascii="Times New Roman" w:hAnsi="Times New Roman" w:eastAsia="Times New Roman" w:cs="Times New Roman"/>
                <w:color w:val="000000"/>
              </w:rPr>
              <w:t>cruzamentos metodológicos, conceituais e temáticos entre História e Ciências Sociais. Produção de textos e/ou entrevistas a partir das reflexões desencadeadas pelo curso.</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2" w:hanging="2"/>
              <w:rPr>
                <w:rFonts w:ascii="Times New Roman" w:hAnsi="Times New Roman" w:eastAsia="Times New Roman" w:cs="Times New Roman"/>
                <w:color w:val="000000"/>
              </w:rPr>
            </w:pPr>
          </w:p>
        </w:tc>
      </w:tr>
      <w:tr>
        <w:tblPrEx>
          <w:tblCellMar>
            <w:top w:w="0" w:type="dxa"/>
            <w:left w:w="22" w:type="dxa"/>
            <w:bottom w:w="0" w:type="dxa"/>
            <w:right w:w="22" w:type="dxa"/>
          </w:tblCellMar>
        </w:tblPrEx>
        <w:trPr>
          <w:trHeight w:val="2495"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Introdução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right="4061"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UNIDADE I – História e oralidade </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right="4061" w:hanging="2"/>
              <w:rPr>
                <w:rFonts w:ascii="Times New Roman" w:hAnsi="Times New Roman" w:eastAsia="Times New Roman" w:cs="Times New Roman"/>
                <w:color w:val="000000"/>
              </w:rPr>
            </w:pPr>
            <w:r>
              <w:rPr>
                <w:rFonts w:ascii="Times New Roman" w:hAnsi="Times New Roman" w:eastAsia="Times New Roman" w:cs="Times New Roman"/>
                <w:color w:val="000000"/>
              </w:rPr>
              <w:t>UNIDADE II – História e memória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III – História, memória e identidade social</w:t>
            </w:r>
          </w:p>
        </w:tc>
      </w:tr>
      <w:tr>
        <w:tblPrEx>
          <w:tblCellMar>
            <w:top w:w="0" w:type="dxa"/>
            <w:left w:w="22" w:type="dxa"/>
            <w:bottom w:w="0" w:type="dxa"/>
            <w:right w:w="22" w:type="dxa"/>
          </w:tblCellMar>
        </w:tblPrEx>
        <w:trPr>
          <w:trHeight w:val="2250"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ALBERTI, Verena. </w:t>
            </w:r>
            <w:r>
              <w:rPr>
                <w:rFonts w:ascii="Times New Roman" w:hAnsi="Times New Roman" w:eastAsia="Times New Roman" w:cs="Times New Roman"/>
                <w:b/>
                <w:color w:val="000000"/>
              </w:rPr>
              <w:t>Manual de História Oral</w:t>
            </w:r>
            <w:r>
              <w:rPr>
                <w:rFonts w:ascii="Times New Roman" w:hAnsi="Times New Roman" w:eastAsia="Times New Roman" w:cs="Times New Roman"/>
                <w:color w:val="000000"/>
              </w:rPr>
              <w:t>. Rio de Janeiro: FGV, 2004.</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AMADO, J.; FERREIRA, M. M. (orgs). </w:t>
            </w:r>
            <w:r>
              <w:rPr>
                <w:rFonts w:ascii="Times New Roman" w:hAnsi="Times New Roman" w:eastAsia="Times New Roman" w:cs="Times New Roman"/>
                <w:b/>
                <w:color w:val="000000"/>
              </w:rPr>
              <w:t>Usos e Abusos da História Oral</w:t>
            </w:r>
            <w:r>
              <w:rPr>
                <w:rFonts w:ascii="Times New Roman" w:hAnsi="Times New Roman" w:eastAsia="Times New Roman" w:cs="Times New Roman"/>
                <w:color w:val="000000"/>
              </w:rPr>
              <w:t>. Rio de Janeiro: Fundação Getúlio Vargas, 2002.</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tabs>
                <w:tab w:val="left" w:pos="908"/>
                <w:tab w:val="left" w:pos="1948"/>
                <w:tab w:val="left" w:pos="2562"/>
                <w:tab w:val="left" w:pos="3296"/>
                <w:tab w:val="left" w:pos="3848"/>
                <w:tab w:val="left" w:pos="5143"/>
                <w:tab w:val="left" w:pos="6622"/>
                <w:tab w:val="left" w:pos="8099"/>
              </w:tabs>
              <w:spacing w:before="1" w:line="360" w:lineRule="auto"/>
              <w:ind w:left="0" w:right="6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AMADO, Janaína. A culpa nossa de cada dia: ética e história oral. </w:t>
            </w:r>
            <w:r>
              <w:rPr>
                <w:rFonts w:ascii="Times New Roman" w:hAnsi="Times New Roman" w:eastAsia="Times New Roman" w:cs="Times New Roman"/>
                <w:b/>
                <w:color w:val="000000"/>
              </w:rPr>
              <w:t>Projeto História</w:t>
            </w:r>
            <w:r>
              <w:rPr>
                <w:rFonts w:ascii="Times New Roman" w:hAnsi="Times New Roman" w:eastAsia="Times New Roman" w:cs="Times New Roman"/>
                <w:color w:val="000000"/>
              </w:rPr>
              <w:t>, São</w:t>
            </w:r>
            <w:r>
              <w:rPr>
                <w:rFonts w:ascii="Times New Roman" w:hAnsi="Times New Roman" w:eastAsia="Times New Roman" w:cs="Times New Roman"/>
                <w:color w:val="000000"/>
              </w:rPr>
              <w:tab/>
            </w:r>
            <w:r>
              <w:rPr>
                <w:rFonts w:ascii="Times New Roman" w:hAnsi="Times New Roman" w:eastAsia="Times New Roman" w:cs="Times New Roman"/>
                <w:color w:val="000000"/>
              </w:rPr>
              <w:t>Paulo,</w:t>
            </w:r>
            <w:r>
              <w:rPr>
                <w:rFonts w:ascii="Times New Roman" w:hAnsi="Times New Roman" w:eastAsia="Times New Roman" w:cs="Times New Roman"/>
                <w:color w:val="000000"/>
              </w:rPr>
              <w:tab/>
            </w:r>
            <w:r>
              <w:rPr>
                <w:rFonts w:ascii="Times New Roman" w:hAnsi="Times New Roman" w:eastAsia="Times New Roman" w:cs="Times New Roman"/>
                <w:color w:val="000000"/>
              </w:rPr>
              <w:t>n.</w:t>
            </w:r>
            <w:r>
              <w:rPr>
                <w:rFonts w:ascii="Times New Roman" w:hAnsi="Times New Roman" w:eastAsia="Times New Roman" w:cs="Times New Roman"/>
                <w:color w:val="000000"/>
              </w:rPr>
              <w:tab/>
            </w:r>
            <w:r>
              <w:rPr>
                <w:rFonts w:ascii="Times New Roman" w:hAnsi="Times New Roman" w:eastAsia="Times New Roman" w:cs="Times New Roman"/>
                <w:color w:val="000000"/>
              </w:rPr>
              <w:t>15,</w:t>
            </w:r>
            <w:r>
              <w:rPr>
                <w:rFonts w:ascii="Times New Roman" w:hAnsi="Times New Roman" w:eastAsia="Times New Roman" w:cs="Times New Roman"/>
                <w:color w:val="000000"/>
              </w:rPr>
              <w:tab/>
            </w:r>
            <w:r>
              <w:rPr>
                <w:rFonts w:ascii="Times New Roman" w:hAnsi="Times New Roman" w:eastAsia="Times New Roman" w:cs="Times New Roman"/>
                <w:color w:val="000000"/>
              </w:rPr>
              <w:t>p</w:t>
            </w:r>
            <w:r>
              <w:rPr>
                <w:rFonts w:ascii="Times New Roman" w:hAnsi="Times New Roman" w:eastAsia="Times New Roman" w:cs="Times New Roman"/>
                <w:color w:val="000000"/>
              </w:rPr>
              <w:tab/>
            </w:r>
            <w:r>
              <w:rPr>
                <w:rFonts w:ascii="Times New Roman" w:hAnsi="Times New Roman" w:eastAsia="Times New Roman" w:cs="Times New Roman"/>
                <w:color w:val="000000"/>
              </w:rPr>
              <w:t>145-155,</w:t>
            </w:r>
            <w:r>
              <w:rPr>
                <w:rFonts w:ascii="Times New Roman" w:hAnsi="Times New Roman" w:eastAsia="Times New Roman" w:cs="Times New Roman"/>
                <w:color w:val="000000"/>
              </w:rPr>
              <w:tab/>
            </w:r>
            <w:r>
              <w:rPr>
                <w:rFonts w:ascii="Times New Roman" w:hAnsi="Times New Roman" w:eastAsia="Times New Roman" w:cs="Times New Roman"/>
                <w:color w:val="000000"/>
              </w:rPr>
              <w:t>abril/1997.</w:t>
            </w:r>
            <w:r>
              <w:rPr>
                <w:rFonts w:ascii="Times New Roman" w:hAnsi="Times New Roman" w:eastAsia="Times New Roman" w:cs="Times New Roman"/>
                <w:color w:val="000000"/>
              </w:rPr>
              <w:tab/>
            </w:r>
            <w:r>
              <w:rPr>
                <w:rFonts w:ascii="Times New Roman" w:hAnsi="Times New Roman" w:eastAsia="Times New Roman" w:cs="Times New Roman"/>
                <w:color w:val="000000"/>
              </w:rPr>
              <w:t>Disponível</w:t>
            </w:r>
            <w:r>
              <w:rPr>
                <w:rFonts w:ascii="Times New Roman" w:hAnsi="Times New Roman" w:eastAsia="Times New Roman" w:cs="Times New Roman"/>
                <w:color w:val="000000"/>
              </w:rPr>
              <w:tab/>
            </w:r>
            <w:r>
              <w:rPr>
                <w:rFonts w:ascii="Times New Roman" w:hAnsi="Times New Roman" w:eastAsia="Times New Roman" w:cs="Times New Roman"/>
                <w:color w:val="000000"/>
              </w:rPr>
              <w:t>em</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&lt;</w:t>
            </w:r>
            <w:r>
              <w:fldChar w:fldCharType="begin"/>
            </w:r>
            <w:r>
              <w:instrText xml:space="preserve"> HYPERLINK "https://revistas.pucsp.br/revph" \h </w:instrText>
            </w:r>
            <w:r>
              <w:fldChar w:fldCharType="separate"/>
            </w:r>
            <w:r>
              <w:rPr>
                <w:rFonts w:ascii="Times New Roman" w:hAnsi="Times New Roman" w:eastAsia="Times New Roman" w:cs="Times New Roman"/>
                <w:color w:val="0000FF"/>
                <w:u w:val="single"/>
              </w:rPr>
              <w:t>https://revistas.pucsp.br//revph</w:t>
            </w:r>
            <w:r>
              <w:rPr>
                <w:rFonts w:ascii="Times New Roman" w:hAnsi="Times New Roman" w:eastAsia="Times New Roman" w:cs="Times New Roman"/>
                <w:color w:val="0000FF"/>
                <w:u w:val="single"/>
              </w:rPr>
              <w:fldChar w:fldCharType="end"/>
            </w:r>
            <w:r>
              <w:rPr>
                <w:rFonts w:ascii="Times New Roman" w:hAnsi="Times New Roman" w:eastAsia="Times New Roman" w:cs="Times New Roman"/>
                <w:color w:val="000000"/>
              </w:rPr>
              <w:t>&gt;</w:t>
            </w:r>
          </w:p>
          <w:p>
            <w:pPr>
              <w:widowControl w:val="0"/>
              <w:pBdr>
                <w:top w:val="none" w:color="auto" w:sz="0" w:space="0"/>
                <w:left w:val="none" w:color="auto" w:sz="0" w:space="0"/>
                <w:bottom w:val="none" w:color="auto" w:sz="0" w:space="0"/>
                <w:right w:val="none" w:color="auto" w:sz="0" w:space="0"/>
                <w:between w:val="none" w:color="auto" w:sz="0" w:space="0"/>
              </w:pBdr>
              <w:tabs>
                <w:tab w:val="left" w:pos="1383"/>
                <w:tab w:val="left" w:pos="2121"/>
                <w:tab w:val="left" w:pos="3100"/>
                <w:tab w:val="left" w:pos="3949"/>
                <w:tab w:val="left" w:pos="4716"/>
                <w:tab w:val="left" w:pos="5628"/>
                <w:tab w:val="left" w:pos="6685"/>
                <w:tab w:val="left" w:pos="8105"/>
              </w:tabs>
              <w:spacing w:before="141" w:line="360" w:lineRule="auto"/>
              <w:ind w:left="0" w:right="55"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NORA, Pierre. Entre memória e história: a problemática dos lugares. </w:t>
            </w:r>
            <w:r>
              <w:rPr>
                <w:rFonts w:ascii="Times New Roman" w:hAnsi="Times New Roman" w:eastAsia="Times New Roman" w:cs="Times New Roman"/>
                <w:b/>
                <w:color w:val="000000"/>
              </w:rPr>
              <w:t>Projeto História</w:t>
            </w:r>
            <w:r>
              <w:rPr>
                <w:rFonts w:ascii="Times New Roman" w:hAnsi="Times New Roman" w:eastAsia="Times New Roman" w:cs="Times New Roman"/>
                <w:color w:val="000000"/>
              </w:rPr>
              <w:t>,</w:t>
            </w:r>
            <w:r>
              <w:rPr>
                <w:rFonts w:ascii="Times New Roman" w:hAnsi="Times New Roman" w:eastAsia="Times New Roman" w:cs="Times New Roman"/>
                <w:color w:val="000000"/>
              </w:rPr>
              <w:tab/>
            </w:r>
            <w:r>
              <w:rPr>
                <w:rFonts w:ascii="Times New Roman" w:hAnsi="Times New Roman" w:eastAsia="Times New Roman" w:cs="Times New Roman"/>
                <w:color w:val="000000"/>
              </w:rPr>
              <w:t>São</w:t>
            </w:r>
            <w:r>
              <w:rPr>
                <w:rFonts w:ascii="Times New Roman" w:hAnsi="Times New Roman" w:eastAsia="Times New Roman" w:cs="Times New Roman"/>
                <w:color w:val="000000"/>
              </w:rPr>
              <w:tab/>
            </w:r>
            <w:r>
              <w:rPr>
                <w:rFonts w:ascii="Times New Roman" w:hAnsi="Times New Roman" w:eastAsia="Times New Roman" w:cs="Times New Roman"/>
                <w:color w:val="000000"/>
              </w:rPr>
              <w:t>Paulo,</w:t>
            </w:r>
            <w:r>
              <w:rPr>
                <w:rFonts w:ascii="Times New Roman" w:hAnsi="Times New Roman" w:eastAsia="Times New Roman" w:cs="Times New Roman"/>
                <w:color w:val="000000"/>
              </w:rPr>
              <w:tab/>
            </w:r>
            <w:r>
              <w:rPr>
                <w:rFonts w:ascii="Times New Roman" w:hAnsi="Times New Roman" w:eastAsia="Times New Roman" w:cs="Times New Roman"/>
                <w:color w:val="000000"/>
              </w:rPr>
              <w:t>n.10,</w:t>
            </w:r>
            <w:r>
              <w:rPr>
                <w:rFonts w:ascii="Times New Roman" w:hAnsi="Times New Roman" w:eastAsia="Times New Roman" w:cs="Times New Roman"/>
                <w:color w:val="000000"/>
              </w:rPr>
              <w:tab/>
            </w:r>
            <w:r>
              <w:rPr>
                <w:rFonts w:ascii="Times New Roman" w:hAnsi="Times New Roman" w:eastAsia="Times New Roman" w:cs="Times New Roman"/>
                <w:color w:val="000000"/>
              </w:rPr>
              <w:t>dez.</w:t>
            </w:r>
            <w:r>
              <w:rPr>
                <w:rFonts w:ascii="Times New Roman" w:hAnsi="Times New Roman" w:eastAsia="Times New Roman" w:cs="Times New Roman"/>
                <w:color w:val="000000"/>
              </w:rPr>
              <w:tab/>
            </w:r>
            <w:r>
              <w:rPr>
                <w:rFonts w:ascii="Times New Roman" w:hAnsi="Times New Roman" w:eastAsia="Times New Roman" w:cs="Times New Roman"/>
                <w:color w:val="000000"/>
              </w:rPr>
              <w:t>1993,</w:t>
            </w:r>
            <w:r>
              <w:rPr>
                <w:rFonts w:ascii="Times New Roman" w:hAnsi="Times New Roman" w:eastAsia="Times New Roman" w:cs="Times New Roman"/>
                <w:color w:val="000000"/>
              </w:rPr>
              <w:tab/>
            </w:r>
            <w:r>
              <w:rPr>
                <w:rFonts w:ascii="Times New Roman" w:hAnsi="Times New Roman" w:eastAsia="Times New Roman" w:cs="Times New Roman"/>
                <w:color w:val="000000"/>
              </w:rPr>
              <w:t>p.7-28.</w:t>
            </w:r>
            <w:r>
              <w:rPr>
                <w:rFonts w:ascii="Times New Roman" w:hAnsi="Times New Roman" w:eastAsia="Times New Roman" w:cs="Times New Roman"/>
                <w:color w:val="000000"/>
              </w:rPr>
              <w:tab/>
            </w:r>
            <w:r>
              <w:rPr>
                <w:rFonts w:ascii="Times New Roman" w:hAnsi="Times New Roman" w:eastAsia="Times New Roman" w:cs="Times New Roman"/>
                <w:color w:val="000000"/>
              </w:rPr>
              <w:t>Disponível</w:t>
            </w:r>
            <w:r>
              <w:rPr>
                <w:rFonts w:ascii="Times New Roman" w:hAnsi="Times New Roman" w:eastAsia="Times New Roman" w:cs="Times New Roman"/>
                <w:color w:val="000000"/>
              </w:rPr>
              <w:tab/>
            </w:r>
            <w:r>
              <w:rPr>
                <w:rFonts w:ascii="Times New Roman" w:hAnsi="Times New Roman" w:eastAsia="Times New Roman" w:cs="Times New Roman"/>
                <w:color w:val="000000"/>
              </w:rPr>
              <w:t>em</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&lt;</w:t>
            </w:r>
            <w:r>
              <w:fldChar w:fldCharType="begin"/>
            </w:r>
            <w:r>
              <w:instrText xml:space="preserve"> HYPERLINK "https://revistas.pucsp.br/revph" \h </w:instrText>
            </w:r>
            <w:r>
              <w:fldChar w:fldCharType="separate"/>
            </w:r>
            <w:r>
              <w:rPr>
                <w:rFonts w:ascii="Times New Roman" w:hAnsi="Times New Roman" w:eastAsia="Times New Roman" w:cs="Times New Roman"/>
                <w:color w:val="0000FF"/>
                <w:u w:val="single"/>
              </w:rPr>
              <w:t>https://revistas.pucsp.br//revph</w:t>
            </w:r>
            <w:r>
              <w:rPr>
                <w:rFonts w:ascii="Times New Roman" w:hAnsi="Times New Roman" w:eastAsia="Times New Roman" w:cs="Times New Roman"/>
                <w:color w:val="0000FF"/>
                <w:u w:val="single"/>
              </w:rPr>
              <w:fldChar w:fldCharType="end"/>
            </w:r>
            <w:r>
              <w:rPr>
                <w:rFonts w:ascii="Times New Roman" w:hAnsi="Times New Roman" w:eastAsia="Times New Roman" w:cs="Times New Roman"/>
                <w:color w:val="000000"/>
              </w:rPr>
              <w:t>&gt;</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PORTELLI, Alessandro. Tentando aprender um pouquinho: algumas reflexões sobre</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a ética na história oral. </w:t>
            </w:r>
            <w:r>
              <w:rPr>
                <w:rFonts w:ascii="Times New Roman" w:hAnsi="Times New Roman" w:eastAsia="Times New Roman" w:cs="Times New Roman"/>
                <w:b/>
                <w:color w:val="000000"/>
              </w:rPr>
              <w:t xml:space="preserve">Projeto História. </w:t>
            </w:r>
            <w:r>
              <w:rPr>
                <w:rFonts w:ascii="Times New Roman" w:hAnsi="Times New Roman" w:eastAsia="Times New Roman" w:cs="Times New Roman"/>
                <w:color w:val="000000"/>
              </w:rPr>
              <w:t>São Paulo, n. 15, abr./1997, p. 13-49. Disponível em &lt;</w:t>
            </w:r>
            <w:r>
              <w:fldChar w:fldCharType="begin"/>
            </w:r>
            <w:r>
              <w:instrText xml:space="preserve"> HYPERLINK "https://revistas.pucsp.br/revph" \h </w:instrText>
            </w:r>
            <w:r>
              <w:fldChar w:fldCharType="separate"/>
            </w:r>
            <w:r>
              <w:rPr>
                <w:rFonts w:ascii="Times New Roman" w:hAnsi="Times New Roman" w:eastAsia="Times New Roman" w:cs="Times New Roman"/>
                <w:color w:val="0000FF"/>
                <w:u w:val="single"/>
              </w:rPr>
              <w:t>https://revistas.pucsp.br//revph</w:t>
            </w:r>
            <w:r>
              <w:rPr>
                <w:rFonts w:ascii="Times New Roman" w:hAnsi="Times New Roman" w:eastAsia="Times New Roman" w:cs="Times New Roman"/>
                <w:color w:val="0000FF"/>
                <w:u w:val="single"/>
              </w:rPr>
              <w:fldChar w:fldCharType="end"/>
            </w:r>
            <w:r>
              <w:rPr>
                <w:rFonts w:ascii="Times New Roman" w:hAnsi="Times New Roman" w:eastAsia="Times New Roman" w:cs="Times New Roman"/>
                <w:color w:val="000000"/>
              </w:rPr>
              <w:t>&gt;</w:t>
            </w:r>
          </w:p>
        </w:tc>
      </w:tr>
      <w:tr>
        <w:tblPrEx>
          <w:tblCellMar>
            <w:top w:w="0" w:type="dxa"/>
            <w:left w:w="22" w:type="dxa"/>
            <w:bottom w:w="0" w:type="dxa"/>
            <w:right w:w="22" w:type="dxa"/>
          </w:tblCellMar>
        </w:tblPrEx>
        <w:trPr>
          <w:trHeight w:val="2895"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Bibliografiacomplementar:</w:t>
            </w:r>
          </w:p>
          <w:p>
            <w:pPr>
              <w:widowControl w:val="0"/>
              <w:pBdr>
                <w:top w:val="none" w:color="auto" w:sz="0" w:space="0"/>
                <w:left w:val="none" w:color="auto" w:sz="0" w:space="0"/>
                <w:bottom w:val="none" w:color="auto" w:sz="0" w:space="0"/>
                <w:right w:val="none" w:color="auto" w:sz="0" w:space="0"/>
                <w:between w:val="none" w:color="auto" w:sz="0" w:space="0"/>
              </w:pBdr>
              <w:spacing w:before="141" w:line="360" w:lineRule="auto"/>
              <w:ind w:left="0" w:right="67"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FERREIRA, Marieta de Moraes. História, tempo presente e história oral. </w:t>
            </w:r>
            <w:r>
              <w:rPr>
                <w:rFonts w:ascii="Times New Roman" w:hAnsi="Times New Roman" w:eastAsia="Times New Roman" w:cs="Times New Roman"/>
                <w:b/>
                <w:color w:val="000000"/>
              </w:rPr>
              <w:t>Topoi</w:t>
            </w:r>
            <w:r>
              <w:rPr>
                <w:rFonts w:ascii="Times New Roman" w:hAnsi="Times New Roman" w:eastAsia="Times New Roman" w:cs="Times New Roman"/>
                <w:color w:val="000000"/>
              </w:rPr>
              <w:t>, Rio de Janeiro, dezembro2002.</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1"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GEERTZ. C. O pensamento como ato moral: dimensões éticas do trabalho de campo antropológico nos países novos. In: </w:t>
            </w:r>
            <w:r>
              <w:rPr>
                <w:rFonts w:ascii="Times New Roman" w:hAnsi="Times New Roman" w:eastAsia="Times New Roman" w:cs="Times New Roman"/>
                <w:b/>
                <w:color w:val="000000"/>
              </w:rPr>
              <w:t>Nova luz sobre a Antropologia</w:t>
            </w:r>
            <w:r>
              <w:rPr>
                <w:rFonts w:ascii="Times New Roman" w:hAnsi="Times New Roman" w:eastAsia="Times New Roman" w:cs="Times New Roman"/>
                <w:color w:val="000000"/>
              </w:rPr>
              <w:t>. Rio de Janeiro: Zahar, 2001.</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HALBWACHS, M. A memória coletiva. São Paulo: Vértice, 1990.</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right="6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MEIHY, José Carlos Sebe Bom. </w:t>
            </w:r>
            <w:r>
              <w:rPr>
                <w:rFonts w:ascii="Times New Roman" w:hAnsi="Times New Roman" w:eastAsia="Times New Roman" w:cs="Times New Roman"/>
                <w:b/>
                <w:color w:val="000000"/>
              </w:rPr>
              <w:t>Manual de História Oral</w:t>
            </w:r>
            <w:r>
              <w:rPr>
                <w:rFonts w:ascii="Times New Roman" w:hAnsi="Times New Roman" w:eastAsia="Times New Roman" w:cs="Times New Roman"/>
                <w:color w:val="000000"/>
              </w:rPr>
              <w:t>. São Paulo: Edições Loyola,1998.</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8"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POLLAK, M. Memória, esquecimento, silêncio. </w:t>
            </w:r>
            <w:r>
              <w:rPr>
                <w:rFonts w:ascii="Times New Roman" w:hAnsi="Times New Roman" w:eastAsia="Times New Roman" w:cs="Times New Roman"/>
                <w:b/>
                <w:color w:val="000000"/>
              </w:rPr>
              <w:t>Estudos Históricos</w:t>
            </w:r>
            <w:r>
              <w:rPr>
                <w:rFonts w:ascii="Times New Roman" w:hAnsi="Times New Roman" w:eastAsia="Times New Roman" w:cs="Times New Roman"/>
                <w:color w:val="000000"/>
              </w:rPr>
              <w:t>, N.3, Rio de Janeiro: CPDOC, 1989.</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SANTANA, M. A. Militância, repressão e silêncio: relato de uma experiência com a</w:t>
            </w:r>
          </w:p>
          <w:p>
            <w:pPr>
              <w:widowControl w:val="0"/>
              <w:pBdr>
                <w:top w:val="none" w:color="auto" w:sz="0" w:space="0"/>
                <w:left w:val="none" w:color="auto" w:sz="0" w:space="0"/>
                <w:bottom w:val="none" w:color="auto" w:sz="0" w:space="0"/>
                <w:right w:val="none" w:color="auto" w:sz="0" w:space="0"/>
                <w:between w:val="none" w:color="auto" w:sz="0" w:space="0"/>
              </w:pBdr>
              <w:spacing w:before="1" w:line="240" w:lineRule="auto"/>
              <w:ind w:left="0" w:right="65"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memória operária. In: </w:t>
            </w:r>
            <w:r>
              <w:rPr>
                <w:rFonts w:ascii="Times New Roman" w:hAnsi="Times New Roman" w:eastAsia="Times New Roman" w:cs="Times New Roman"/>
                <w:b/>
                <w:color w:val="000000"/>
              </w:rPr>
              <w:t>História Oral: Revista da ABHO</w:t>
            </w:r>
            <w:r>
              <w:rPr>
                <w:rFonts w:ascii="Times New Roman" w:hAnsi="Times New Roman" w:eastAsia="Times New Roman" w:cs="Times New Roman"/>
                <w:color w:val="000000"/>
              </w:rPr>
              <w:t>, n 3 – jun. 2000. São Paulo: ABHO, v 3, 2000.</w:t>
            </w:r>
          </w:p>
          <w:p>
            <w:pPr>
              <w:widowControl w:val="0"/>
              <w:pBdr>
                <w:top w:val="none" w:color="auto" w:sz="0" w:space="0"/>
                <w:left w:val="none" w:color="auto" w:sz="0" w:space="0"/>
                <w:bottom w:val="none" w:color="auto" w:sz="0" w:space="0"/>
                <w:right w:val="none" w:color="auto" w:sz="0" w:space="0"/>
                <w:between w:val="none" w:color="auto" w:sz="0" w:space="0"/>
              </w:pBdr>
              <w:spacing w:before="240"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SANTOS, Myrian S. dos. (1993), O pesadelo da amnésia coletiva: um estudo sobre os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conceitos de memória, tradição e traços do passado. </w:t>
            </w:r>
            <w:r>
              <w:rPr>
                <w:rFonts w:ascii="Times New Roman" w:hAnsi="Times New Roman" w:eastAsia="Times New Roman" w:cs="Times New Roman"/>
                <w:b/>
                <w:color w:val="000000"/>
              </w:rPr>
              <w:t>Revista Brasileira de Ciências Sociais</w:t>
            </w:r>
            <w:r>
              <w:rPr>
                <w:rFonts w:ascii="Times New Roman" w:hAnsi="Times New Roman" w:eastAsia="Times New Roman" w:cs="Times New Roman"/>
                <w:color w:val="000000"/>
              </w:rPr>
              <w:t>, Anpocs, 23: 70-85, 1993.</w:t>
            </w:r>
          </w:p>
        </w:tc>
      </w:tr>
    </w:tbl>
    <w:p>
      <w:pPr>
        <w:pBdr>
          <w:top w:val="none" w:color="auto" w:sz="0" w:space="0"/>
          <w:left w:val="none" w:color="auto" w:sz="0" w:space="0"/>
          <w:bottom w:val="none" w:color="auto" w:sz="0" w:space="0"/>
          <w:right w:val="none" w:color="auto" w:sz="0" w:space="0"/>
          <w:between w:val="none" w:color="auto" w:sz="0" w:space="0"/>
        </w:pBdr>
        <w:spacing w:before="9" w:after="140" w:line="288" w:lineRule="auto"/>
        <w:ind w:left="0" w:leftChars="0" w:firstLine="0" w:firstLineChars="0"/>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9" w:after="14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9" w:after="140" w:line="288" w:lineRule="auto"/>
        <w:ind w:left="0" w:hanging="2"/>
        <w:rPr>
          <w:rFonts w:ascii="Times New Roman" w:hAnsi="Times New Roman" w:eastAsia="Times New Roman" w:cs="Times New Roman"/>
          <w:color w:val="000000"/>
        </w:rPr>
      </w:pPr>
    </w:p>
    <w:tbl>
      <w:tblPr>
        <w:tblStyle w:val="522"/>
        <w:tblW w:w="9021" w:type="dxa"/>
        <w:tblInd w:w="2" w:type="dxa"/>
        <w:tblLayout w:type="fixed"/>
        <w:tblCellMar>
          <w:top w:w="0" w:type="dxa"/>
          <w:left w:w="22" w:type="dxa"/>
          <w:bottom w:w="0" w:type="dxa"/>
          <w:right w:w="5" w:type="dxa"/>
        </w:tblCellMar>
      </w:tblPr>
      <w:tblGrid>
        <w:gridCol w:w="2902"/>
        <w:gridCol w:w="3121"/>
        <w:gridCol w:w="2998"/>
      </w:tblGrid>
      <w:tr>
        <w:tblPrEx>
          <w:tblCellMar>
            <w:top w:w="0" w:type="dxa"/>
            <w:left w:w="22" w:type="dxa"/>
            <w:bottom w:w="0" w:type="dxa"/>
            <w:right w:w="5" w:type="dxa"/>
          </w:tblCellMar>
        </w:tblPrEx>
        <w:trPr>
          <w:trHeight w:val="2073" w:hRule="atLeast"/>
        </w:trPr>
        <w:tc>
          <w:tcPr>
            <w:tcW w:w="6023"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013"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Leituras Dirigidas XXIX</w:t>
            </w:r>
          </w:p>
          <w:p>
            <w:pPr>
              <w:widowControl w:val="0"/>
              <w:pBdr>
                <w:top w:val="none" w:color="auto" w:sz="0" w:space="0"/>
                <w:left w:val="none" w:color="auto" w:sz="0" w:space="0"/>
                <w:bottom w:val="none" w:color="auto" w:sz="0" w:space="0"/>
                <w:right w:val="none" w:color="auto" w:sz="0" w:space="0"/>
                <w:between w:val="none" w:color="auto" w:sz="0" w:space="0"/>
              </w:pBdr>
              <w:spacing w:before="2"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1013"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Targeted Readings XXIX</w:t>
            </w:r>
          </w:p>
        </w:tc>
        <w:tc>
          <w:tcPr>
            <w:tcW w:w="2998"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HIS086</w:t>
            </w:r>
          </w:p>
        </w:tc>
      </w:tr>
      <w:tr>
        <w:tblPrEx>
          <w:tblCellMar>
            <w:top w:w="0" w:type="dxa"/>
            <w:left w:w="22" w:type="dxa"/>
            <w:bottom w:w="0" w:type="dxa"/>
            <w:right w:w="5" w:type="dxa"/>
          </w:tblCellMar>
        </w:tblPrEx>
        <w:trPr>
          <w:trHeight w:val="825" w:hRule="atLeast"/>
        </w:trPr>
        <w:tc>
          <w:tcPr>
            <w:tcW w:w="6023"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Departamento de História - DEHIS</w:t>
            </w:r>
          </w:p>
        </w:tc>
        <w:tc>
          <w:tcPr>
            <w:tcW w:w="2998"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5" w:type="dxa"/>
          </w:tblCellMar>
        </w:tblPrEx>
        <w:trPr>
          <w:trHeight w:val="1243" w:hRule="atLeast"/>
        </w:trPr>
        <w:tc>
          <w:tcPr>
            <w:tcW w:w="2902"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502"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right="717"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semestral 45 horas</w:t>
            </w:r>
          </w:p>
        </w:tc>
        <w:tc>
          <w:tcPr>
            <w:tcW w:w="3121"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02 horas/aula</w:t>
            </w:r>
          </w:p>
        </w:tc>
        <w:tc>
          <w:tcPr>
            <w:tcW w:w="2998"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 01 hora/aula</w:t>
            </w:r>
          </w:p>
        </w:tc>
      </w:tr>
      <w:tr>
        <w:tblPrEx>
          <w:tblCellMar>
            <w:top w:w="0" w:type="dxa"/>
            <w:left w:w="22" w:type="dxa"/>
            <w:bottom w:w="0" w:type="dxa"/>
            <w:right w:w="5" w:type="dxa"/>
          </w:tblCellMar>
        </w:tblPrEx>
        <w:trPr>
          <w:trHeight w:val="1656"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4"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Discussões sobre análises teóricas, estudos empíricos, depoimentos e  trabalhos audiovisuais que problematizam as dinâmicas de mobilização dos movimentossociaisemdiversoscontextos.Produçãodetextos,entrevistasevídeos</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relacionados às temáticas do curso.</w:t>
            </w:r>
          </w:p>
        </w:tc>
      </w:tr>
      <w:tr>
        <w:tblPrEx>
          <w:tblCellMar>
            <w:top w:w="0" w:type="dxa"/>
            <w:left w:w="22" w:type="dxa"/>
            <w:bottom w:w="0" w:type="dxa"/>
            <w:right w:w="5" w:type="dxa"/>
          </w:tblCellMar>
        </w:tblPrEx>
        <w:trPr>
          <w:trHeight w:val="2068"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Introdução</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rPr>
            </w:pP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right="2405" w:hanging="2"/>
              <w:rPr>
                <w:rFonts w:ascii="Times New Roman" w:hAnsi="Times New Roman" w:eastAsia="Times New Roman" w:cs="Times New Roman"/>
                <w:color w:val="000000"/>
              </w:rPr>
            </w:pPr>
            <w:r>
              <w:rPr>
                <w:rFonts w:ascii="Times New Roman" w:hAnsi="Times New Roman" w:eastAsia="Times New Roman" w:cs="Times New Roman"/>
                <w:color w:val="000000"/>
              </w:rPr>
              <w:t>UNIDADE I – Abordagens sobre Movimentos Sociais</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right="2405" w:hanging="2"/>
              <w:rPr>
                <w:rFonts w:ascii="Times New Roman" w:hAnsi="Times New Roman" w:eastAsia="Times New Roman" w:cs="Times New Roman"/>
                <w:color w:val="000000"/>
              </w:rPr>
            </w:pPr>
            <w:r>
              <w:rPr>
                <w:rFonts w:ascii="Times New Roman" w:hAnsi="Times New Roman" w:eastAsia="Times New Roman" w:cs="Times New Roman"/>
                <w:color w:val="000000"/>
              </w:rPr>
              <w:t>UNIDADE II – Mediações políticas, identidades e redes UNIDADE III – Opinião pública, Estado e movimentos sociais</w:t>
            </w:r>
          </w:p>
        </w:tc>
      </w:tr>
      <w:tr>
        <w:tblPrEx>
          <w:tblCellMar>
            <w:top w:w="0" w:type="dxa"/>
            <w:left w:w="22" w:type="dxa"/>
            <w:bottom w:w="0" w:type="dxa"/>
            <w:right w:w="5" w:type="dxa"/>
          </w:tblCellMar>
        </w:tblPrEx>
        <w:trPr>
          <w:trHeight w:val="3139"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2"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COHEN, J.; ARATO, </w:t>
            </w:r>
            <w:r>
              <w:rPr>
                <w:rFonts w:ascii="Times New Roman" w:hAnsi="Times New Roman" w:eastAsia="Times New Roman" w:cs="Times New Roman"/>
                <w:b/>
                <w:color w:val="000000"/>
              </w:rPr>
              <w:t>Sociedad civil y teoria política</w:t>
            </w:r>
            <w:r>
              <w:rPr>
                <w:rFonts w:ascii="Times New Roman" w:hAnsi="Times New Roman" w:eastAsia="Times New Roman" w:cs="Times New Roman"/>
                <w:color w:val="000000"/>
              </w:rPr>
              <w:t>. México: Fondo de La cultura, 2000.</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HONNETH, Axel. </w:t>
            </w:r>
            <w:r>
              <w:rPr>
                <w:rFonts w:ascii="Times New Roman" w:hAnsi="Times New Roman" w:eastAsia="Times New Roman" w:cs="Times New Roman"/>
                <w:b/>
                <w:color w:val="000000"/>
              </w:rPr>
              <w:t>Luta por reconhecimento: a gramática moral dos conflitos sociais</w:t>
            </w:r>
            <w:r>
              <w:rPr>
                <w:rFonts w:ascii="Times New Roman" w:hAnsi="Times New Roman" w:eastAsia="Times New Roman" w:cs="Times New Roman"/>
                <w:color w:val="000000"/>
              </w:rPr>
              <w:t>. São Paulo: Editora 34, 2003.</w:t>
            </w:r>
          </w:p>
          <w:p>
            <w:pPr>
              <w:widowControl w:val="0"/>
              <w:pBdr>
                <w:top w:val="none" w:color="auto" w:sz="0" w:space="0"/>
                <w:left w:val="none" w:color="auto" w:sz="0" w:space="0"/>
                <w:bottom w:val="none" w:color="auto" w:sz="0" w:space="0"/>
                <w:right w:val="none" w:color="auto" w:sz="0" w:space="0"/>
                <w:between w:val="none" w:color="auto" w:sz="0" w:space="0"/>
              </w:pBdr>
              <w:spacing w:before="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JASPER, James M. </w:t>
            </w:r>
            <w:r>
              <w:rPr>
                <w:rFonts w:ascii="Times New Roman" w:hAnsi="Times New Roman" w:eastAsia="Times New Roman" w:cs="Times New Roman"/>
                <w:b/>
                <w:color w:val="000000"/>
              </w:rPr>
              <w:t>Protesto</w:t>
            </w:r>
            <w:r>
              <w:rPr>
                <w:rFonts w:ascii="Times New Roman" w:hAnsi="Times New Roman" w:eastAsia="Times New Roman" w:cs="Times New Roman"/>
                <w:i/>
                <w:color w:val="000000"/>
              </w:rPr>
              <w:t xml:space="preserve">: </w:t>
            </w:r>
            <w:r>
              <w:rPr>
                <w:rFonts w:ascii="Times New Roman" w:hAnsi="Times New Roman" w:eastAsia="Times New Roman" w:cs="Times New Roman"/>
                <w:color w:val="000000"/>
              </w:rPr>
              <w:t>uma introdução aos movimentos sociais. Tradução:</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Carlos Alberto Medeiros. 1ª ed. Rio de Janeiro: Zahar, 2016.</w:t>
            </w:r>
          </w:p>
        </w:tc>
      </w:tr>
      <w:tr>
        <w:tblPrEx>
          <w:tblCellMar>
            <w:top w:w="0" w:type="dxa"/>
            <w:left w:w="22" w:type="dxa"/>
            <w:bottom w:w="0" w:type="dxa"/>
            <w:right w:w="5" w:type="dxa"/>
          </w:tblCellMar>
        </w:tblPrEx>
        <w:trPr>
          <w:trHeight w:val="5583" w:hRule="atLeast"/>
        </w:trPr>
        <w:tc>
          <w:tcPr>
            <w:tcW w:w="9021" w:type="dxa"/>
            <w:gridSpan w:val="3"/>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right="64"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WOLF, Eric. Parentesco, amizade e relações patrono-cliente em sociedades complexas. In: Bela Feldman-Bianco e Gustavo Lins Ribeiro (orgs). </w:t>
            </w:r>
            <w:r>
              <w:rPr>
                <w:rFonts w:ascii="Times New Roman" w:hAnsi="Times New Roman" w:eastAsia="Times New Roman" w:cs="Times New Roman"/>
                <w:b/>
                <w:color w:val="000000"/>
              </w:rPr>
              <w:t>Antropologia e Poder</w:t>
            </w:r>
            <w:r>
              <w:rPr>
                <w:rFonts w:ascii="Times New Roman" w:hAnsi="Times New Roman" w:eastAsia="Times New Roman" w:cs="Times New Roman"/>
                <w:color w:val="000000"/>
              </w:rPr>
              <w:t>. Brasília: Editora Universidade de Brasília; São Paulo: Imprensa Oficial do Estado de São Paulo; Campinas: Editora Unicamp, 2003.</w:t>
            </w:r>
          </w:p>
          <w:p>
            <w:pPr>
              <w:widowControl w:val="0"/>
              <w:pBdr>
                <w:top w:val="none" w:color="auto" w:sz="0" w:space="0"/>
                <w:left w:val="none" w:color="auto" w:sz="0" w:space="0"/>
                <w:bottom w:val="none" w:color="auto" w:sz="0" w:space="0"/>
                <w:right w:val="none" w:color="auto" w:sz="0" w:space="0"/>
                <w:between w:val="none" w:color="auto" w:sz="0" w:space="0"/>
              </w:pBdr>
              <w:spacing w:before="1" w:line="348" w:lineRule="auto"/>
              <w:ind w:left="0" w:right="62"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ALEXANDER, J. Ação coletiva, cultura e sociedade civil: secularização, atualização, inversão, revisão e deslocamento do modelo clássico dos movimentos sociais. </w:t>
            </w:r>
            <w:r>
              <w:rPr>
                <w:rFonts w:ascii="Times New Roman" w:hAnsi="Times New Roman" w:eastAsia="Times New Roman" w:cs="Times New Roman"/>
                <w:b/>
                <w:color w:val="000000"/>
              </w:rPr>
              <w:t>Revista Brasileira de Ciências Sociais</w:t>
            </w:r>
            <w:r>
              <w:rPr>
                <w:rFonts w:ascii="Times New Roman" w:hAnsi="Times New Roman" w:eastAsia="Times New Roman" w:cs="Times New Roman"/>
                <w:color w:val="000000"/>
              </w:rPr>
              <w:t>. São Paulo, v 13, no 37, 5-31, junho, 1998.</w:t>
            </w:r>
          </w:p>
          <w:p>
            <w:pPr>
              <w:widowControl w:val="0"/>
              <w:pBdr>
                <w:top w:val="none" w:color="auto" w:sz="0" w:space="0"/>
                <w:left w:val="none" w:color="auto" w:sz="0" w:space="0"/>
                <w:bottom w:val="none" w:color="auto" w:sz="0" w:space="0"/>
                <w:right w:val="none" w:color="auto" w:sz="0" w:space="0"/>
                <w:between w:val="none" w:color="auto" w:sz="0" w:space="0"/>
              </w:pBdr>
              <w:spacing w:before="10" w:line="360" w:lineRule="auto"/>
              <w:ind w:left="0" w:right="64"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NEVES, D. P. (Org.). </w:t>
            </w:r>
            <w:r>
              <w:rPr>
                <w:rFonts w:ascii="Times New Roman" w:hAnsi="Times New Roman" w:eastAsia="Times New Roman" w:cs="Times New Roman"/>
                <w:b/>
                <w:color w:val="000000"/>
              </w:rPr>
              <w:t>Desenvolvimento social e mediadores políticos</w:t>
            </w:r>
            <w:r>
              <w:rPr>
                <w:rFonts w:ascii="Times New Roman" w:hAnsi="Times New Roman" w:eastAsia="Times New Roman" w:cs="Times New Roman"/>
                <w:color w:val="000000"/>
              </w:rPr>
              <w:t>. Porto Alegre: Ed. UFRGS, 2008.</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NEVEU, Érik, </w:t>
            </w:r>
            <w:r>
              <w:rPr>
                <w:rFonts w:ascii="Times New Roman" w:hAnsi="Times New Roman" w:eastAsia="Times New Roman" w:cs="Times New Roman"/>
                <w:b/>
                <w:color w:val="000000"/>
              </w:rPr>
              <w:t>Sociologie des mouvements sociaux</w:t>
            </w:r>
            <w:r>
              <w:rPr>
                <w:rFonts w:ascii="Times New Roman" w:hAnsi="Times New Roman" w:eastAsia="Times New Roman" w:cs="Times New Roman"/>
                <w:color w:val="000000"/>
              </w:rPr>
              <w:t>. Paris: Le Découverte, 2005</w:t>
            </w:r>
          </w:p>
          <w:p>
            <w:pPr>
              <w:widowControl w:val="0"/>
              <w:pBdr>
                <w:top w:val="none" w:color="auto" w:sz="0" w:space="0"/>
                <w:left w:val="none" w:color="auto" w:sz="0" w:space="0"/>
                <w:bottom w:val="none" w:color="auto" w:sz="0" w:space="0"/>
                <w:right w:val="none" w:color="auto" w:sz="0" w:space="0"/>
                <w:between w:val="none" w:color="auto" w:sz="0" w:space="0"/>
              </w:pBdr>
              <w:spacing w:before="205" w:line="240" w:lineRule="auto"/>
              <w:ind w:left="0" w:right="24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CHAMPAGNE, Patrick. </w:t>
            </w:r>
            <w:r>
              <w:rPr>
                <w:rFonts w:ascii="Times New Roman" w:hAnsi="Times New Roman" w:eastAsia="Times New Roman" w:cs="Times New Roman"/>
                <w:b/>
                <w:color w:val="000000"/>
              </w:rPr>
              <w:t>Formar a opinião: o novo jogo político</w:t>
            </w:r>
            <w:r>
              <w:rPr>
                <w:rFonts w:ascii="Times New Roman" w:hAnsi="Times New Roman" w:eastAsia="Times New Roman" w:cs="Times New Roman"/>
                <w:color w:val="000000"/>
              </w:rPr>
              <w:t>. Petrópolis: Vozes, 1996.</w:t>
            </w:r>
          </w:p>
        </w:tc>
      </w:tr>
    </w:tbl>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10" w:after="14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10" w:after="140" w:line="288" w:lineRule="auto"/>
        <w:ind w:left="0" w:hanging="2"/>
        <w:rPr>
          <w:rFonts w:ascii="Times New Roman" w:hAnsi="Times New Roman" w:eastAsia="Times New Roman" w:cs="Times New Roman"/>
          <w:color w:val="000000"/>
        </w:rPr>
      </w:pPr>
    </w:p>
    <w:tbl>
      <w:tblPr>
        <w:tblStyle w:val="523"/>
        <w:tblW w:w="9021" w:type="dxa"/>
        <w:tblInd w:w="2" w:type="dxa"/>
        <w:tblLayout w:type="fixed"/>
        <w:tblCellMar>
          <w:top w:w="0" w:type="dxa"/>
          <w:left w:w="22" w:type="dxa"/>
          <w:bottom w:w="0" w:type="dxa"/>
          <w:right w:w="5" w:type="dxa"/>
        </w:tblCellMar>
      </w:tblPr>
      <w:tblGrid>
        <w:gridCol w:w="2902"/>
        <w:gridCol w:w="3121"/>
        <w:gridCol w:w="2998"/>
      </w:tblGrid>
      <w:tr>
        <w:tblPrEx>
          <w:tblCellMar>
            <w:top w:w="0" w:type="dxa"/>
            <w:left w:w="22" w:type="dxa"/>
            <w:bottom w:w="0" w:type="dxa"/>
            <w:right w:w="5" w:type="dxa"/>
          </w:tblCellMar>
        </w:tblPrEx>
        <w:trPr>
          <w:trHeight w:val="2068" w:hRule="atLeast"/>
        </w:trPr>
        <w:tc>
          <w:tcPr>
            <w:tcW w:w="6023"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4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Seminário de Ciências Sociais I</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1013"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Seminar on Social Sciences I</w:t>
            </w:r>
          </w:p>
        </w:tc>
        <w:tc>
          <w:tcPr>
            <w:tcW w:w="2998"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HIS087</w:t>
            </w:r>
          </w:p>
        </w:tc>
      </w:tr>
      <w:tr>
        <w:tblPrEx>
          <w:tblCellMar>
            <w:top w:w="0" w:type="dxa"/>
            <w:left w:w="22" w:type="dxa"/>
            <w:bottom w:w="0" w:type="dxa"/>
            <w:right w:w="5" w:type="dxa"/>
          </w:tblCellMar>
        </w:tblPrEx>
        <w:trPr>
          <w:trHeight w:val="830" w:hRule="atLeast"/>
        </w:trPr>
        <w:tc>
          <w:tcPr>
            <w:tcW w:w="6023"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Departamento de História - DEHIS</w:t>
            </w:r>
          </w:p>
        </w:tc>
        <w:tc>
          <w:tcPr>
            <w:tcW w:w="2998"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5" w:type="dxa"/>
          </w:tblCellMar>
        </w:tblPrEx>
        <w:trPr>
          <w:trHeight w:val="1242" w:hRule="atLeast"/>
        </w:trPr>
        <w:tc>
          <w:tcPr>
            <w:tcW w:w="2902"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0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96"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3121"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2998"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 02 horas/aula</w:t>
            </w:r>
          </w:p>
        </w:tc>
      </w:tr>
      <w:tr>
        <w:tblPrEx>
          <w:tblCellMar>
            <w:top w:w="0" w:type="dxa"/>
            <w:left w:w="22" w:type="dxa"/>
            <w:bottom w:w="0" w:type="dxa"/>
            <w:right w:w="5" w:type="dxa"/>
          </w:tblCellMar>
        </w:tblPrEx>
        <w:trPr>
          <w:trHeight w:val="1656"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7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A história oral como técnica, disciplina e metodologia; o lugar da história oral na historiografia; modalidades e procedimentos básicos; memória e identidade social; história, esquecimento e amnésia coletiva; trajetória e biografia; relações de silêncio;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questões éticas.</w:t>
            </w:r>
          </w:p>
        </w:tc>
      </w:tr>
      <w:tr>
        <w:tblPrEx>
          <w:tblCellMar>
            <w:top w:w="0" w:type="dxa"/>
            <w:left w:w="22" w:type="dxa"/>
            <w:bottom w:w="0" w:type="dxa"/>
            <w:right w:w="5" w:type="dxa"/>
          </w:tblCellMar>
        </w:tblPrEx>
        <w:trPr>
          <w:trHeight w:val="3735" w:hRule="atLeast"/>
        </w:trPr>
        <w:tc>
          <w:tcPr>
            <w:tcW w:w="9021" w:type="dxa"/>
            <w:gridSpan w:val="3"/>
            <w:tcBorders>
              <w:top w:val="single" w:color="000000" w:sz="4"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Introdução</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I - A História Oral na historiografia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811" w:hanging="2"/>
              <w:rPr>
                <w:rFonts w:ascii="Times New Roman" w:hAnsi="Times New Roman" w:eastAsia="Times New Roman" w:cs="Times New Roman"/>
                <w:color w:val="000000"/>
              </w:rPr>
            </w:pPr>
            <w:r>
              <w:rPr>
                <w:rFonts w:ascii="Times New Roman" w:hAnsi="Times New Roman" w:eastAsia="Times New Roman" w:cs="Times New Roman"/>
                <w:color w:val="000000"/>
              </w:rPr>
              <w:t>UNIDADE II - Metodologia, modalidades, procedimentos. UNIDADE III - Memória e identidade social</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012" w:hanging="2"/>
              <w:rPr>
                <w:rFonts w:ascii="Times New Roman" w:hAnsi="Times New Roman" w:eastAsia="Times New Roman" w:cs="Times New Roman"/>
                <w:color w:val="000000"/>
              </w:rPr>
            </w:pPr>
            <w:r>
              <w:rPr>
                <w:rFonts w:ascii="Times New Roman" w:hAnsi="Times New Roman" w:eastAsia="Times New Roman" w:cs="Times New Roman"/>
                <w:color w:val="000000"/>
              </w:rPr>
              <w:t>UNIDADE IV - História, esquecimento e amnésia coletiva UNIDADE UNIDADE  V - Trajetórias e biografias</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VI - Relações de silêncio</w:t>
            </w:r>
          </w:p>
          <w:p>
            <w:pPr>
              <w:widowControl w:val="0"/>
              <w:pBdr>
                <w:top w:val="none" w:color="auto" w:sz="0" w:space="0"/>
                <w:left w:val="none" w:color="auto" w:sz="0" w:space="0"/>
                <w:bottom w:val="none" w:color="auto" w:sz="0" w:space="0"/>
                <w:right w:val="none" w:color="auto" w:sz="0" w:space="0"/>
                <w:between w:val="none" w:color="auto" w:sz="0" w:space="0"/>
              </w:pBdr>
              <w:spacing w:before="129"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VII - Questões éticas</w:t>
            </w:r>
          </w:p>
        </w:tc>
      </w:tr>
      <w:tr>
        <w:tblPrEx>
          <w:tblCellMar>
            <w:top w:w="0" w:type="dxa"/>
            <w:left w:w="22" w:type="dxa"/>
            <w:bottom w:w="0" w:type="dxa"/>
            <w:right w:w="5" w:type="dxa"/>
          </w:tblCellMar>
        </w:tblPrEx>
        <w:trPr>
          <w:trHeight w:val="4969" w:hRule="atLeast"/>
        </w:trPr>
        <w:tc>
          <w:tcPr>
            <w:tcW w:w="9021" w:type="dxa"/>
            <w:gridSpan w:val="3"/>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14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ALBERTI, Verena. </w:t>
            </w:r>
            <w:r>
              <w:rPr>
                <w:rFonts w:ascii="Times New Roman" w:hAnsi="Times New Roman" w:eastAsia="Times New Roman" w:cs="Times New Roman"/>
                <w:b/>
                <w:color w:val="000000"/>
              </w:rPr>
              <w:t>Manual de História Oral</w:t>
            </w:r>
            <w:r>
              <w:rPr>
                <w:rFonts w:ascii="Times New Roman" w:hAnsi="Times New Roman" w:eastAsia="Times New Roman" w:cs="Times New Roman"/>
                <w:color w:val="000000"/>
              </w:rPr>
              <w:t>. Rio de Janeiro: FGV, 2004.</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AMADO, J.; FERREIRA, M. M. (orgs). </w:t>
            </w:r>
            <w:r>
              <w:rPr>
                <w:rFonts w:ascii="Times New Roman" w:hAnsi="Times New Roman" w:eastAsia="Times New Roman" w:cs="Times New Roman"/>
                <w:b/>
                <w:color w:val="000000"/>
              </w:rPr>
              <w:t>Usos e Abusos da História Oral</w:t>
            </w:r>
            <w:r>
              <w:rPr>
                <w:rFonts w:ascii="Times New Roman" w:hAnsi="Times New Roman" w:eastAsia="Times New Roman" w:cs="Times New Roman"/>
                <w:color w:val="000000"/>
              </w:rPr>
              <w:t>. Rio de Janeiro: Fundação Getúlio Vargas, 2002.</w:t>
            </w:r>
          </w:p>
          <w:p>
            <w:pPr>
              <w:widowControl w:val="0"/>
              <w:pBdr>
                <w:top w:val="none" w:color="auto" w:sz="0" w:space="0"/>
                <w:left w:val="none" w:color="auto" w:sz="0" w:space="0"/>
                <w:bottom w:val="none" w:color="auto" w:sz="0" w:space="0"/>
                <w:right w:val="none" w:color="auto" w:sz="0" w:space="0"/>
                <w:between w:val="none" w:color="auto" w:sz="0" w:space="0"/>
              </w:pBdr>
              <w:tabs>
                <w:tab w:val="left" w:pos="927"/>
                <w:tab w:val="left" w:pos="1982"/>
                <w:tab w:val="left" w:pos="2615"/>
                <w:tab w:val="left" w:pos="3364"/>
                <w:tab w:val="left" w:pos="3935"/>
                <w:tab w:val="left" w:pos="5249"/>
                <w:tab w:val="left" w:pos="6745"/>
                <w:tab w:val="left" w:pos="8242"/>
              </w:tabs>
              <w:spacing w:line="360" w:lineRule="auto"/>
              <w:ind w:left="0" w:right="61"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AMADO, Janaína. A culpa nossa de cada dia: ética e história oral. </w:t>
            </w:r>
            <w:r>
              <w:rPr>
                <w:rFonts w:ascii="Times New Roman" w:hAnsi="Times New Roman" w:eastAsia="Times New Roman" w:cs="Times New Roman"/>
                <w:b/>
                <w:color w:val="000000"/>
              </w:rPr>
              <w:t>Projeto História</w:t>
            </w:r>
            <w:r>
              <w:rPr>
                <w:rFonts w:ascii="Times New Roman" w:hAnsi="Times New Roman" w:eastAsia="Times New Roman" w:cs="Times New Roman"/>
                <w:color w:val="000000"/>
              </w:rPr>
              <w:t>, São</w:t>
            </w:r>
            <w:r>
              <w:rPr>
                <w:rFonts w:ascii="Times New Roman" w:hAnsi="Times New Roman" w:eastAsia="Times New Roman" w:cs="Times New Roman"/>
                <w:color w:val="000000"/>
              </w:rPr>
              <w:tab/>
            </w:r>
            <w:r>
              <w:rPr>
                <w:rFonts w:ascii="Times New Roman" w:hAnsi="Times New Roman" w:eastAsia="Times New Roman" w:cs="Times New Roman"/>
                <w:color w:val="000000"/>
              </w:rPr>
              <w:t>Paulo,</w:t>
            </w:r>
            <w:r>
              <w:rPr>
                <w:rFonts w:ascii="Times New Roman" w:hAnsi="Times New Roman" w:eastAsia="Times New Roman" w:cs="Times New Roman"/>
                <w:color w:val="000000"/>
              </w:rPr>
              <w:tab/>
            </w:r>
            <w:r>
              <w:rPr>
                <w:rFonts w:ascii="Times New Roman" w:hAnsi="Times New Roman" w:eastAsia="Times New Roman" w:cs="Times New Roman"/>
                <w:color w:val="000000"/>
              </w:rPr>
              <w:t>n.</w:t>
            </w:r>
            <w:r>
              <w:rPr>
                <w:rFonts w:ascii="Times New Roman" w:hAnsi="Times New Roman" w:eastAsia="Times New Roman" w:cs="Times New Roman"/>
                <w:color w:val="000000"/>
              </w:rPr>
              <w:tab/>
            </w:r>
            <w:r>
              <w:rPr>
                <w:rFonts w:ascii="Times New Roman" w:hAnsi="Times New Roman" w:eastAsia="Times New Roman" w:cs="Times New Roman"/>
                <w:color w:val="000000"/>
              </w:rPr>
              <w:t>15,</w:t>
            </w:r>
            <w:r>
              <w:rPr>
                <w:rFonts w:ascii="Times New Roman" w:hAnsi="Times New Roman" w:eastAsia="Times New Roman" w:cs="Times New Roman"/>
                <w:color w:val="000000"/>
              </w:rPr>
              <w:tab/>
            </w:r>
            <w:r>
              <w:rPr>
                <w:rFonts w:ascii="Times New Roman" w:hAnsi="Times New Roman" w:eastAsia="Times New Roman" w:cs="Times New Roman"/>
                <w:color w:val="000000"/>
              </w:rPr>
              <w:t>p</w:t>
            </w:r>
            <w:r>
              <w:rPr>
                <w:rFonts w:ascii="Times New Roman" w:hAnsi="Times New Roman" w:eastAsia="Times New Roman" w:cs="Times New Roman"/>
                <w:color w:val="000000"/>
              </w:rPr>
              <w:tab/>
            </w:r>
            <w:r>
              <w:rPr>
                <w:rFonts w:ascii="Times New Roman" w:hAnsi="Times New Roman" w:eastAsia="Times New Roman" w:cs="Times New Roman"/>
                <w:color w:val="000000"/>
              </w:rPr>
              <w:t>145-155,</w:t>
            </w:r>
            <w:r>
              <w:rPr>
                <w:rFonts w:ascii="Times New Roman" w:hAnsi="Times New Roman" w:eastAsia="Times New Roman" w:cs="Times New Roman"/>
                <w:color w:val="000000"/>
              </w:rPr>
              <w:tab/>
            </w:r>
            <w:r>
              <w:rPr>
                <w:rFonts w:ascii="Times New Roman" w:hAnsi="Times New Roman" w:eastAsia="Times New Roman" w:cs="Times New Roman"/>
                <w:color w:val="000000"/>
              </w:rPr>
              <w:t>abril/1997.</w:t>
            </w:r>
            <w:r>
              <w:rPr>
                <w:rFonts w:ascii="Times New Roman" w:hAnsi="Times New Roman" w:eastAsia="Times New Roman" w:cs="Times New Roman"/>
                <w:color w:val="000000"/>
              </w:rPr>
              <w:tab/>
            </w:r>
            <w:r>
              <w:rPr>
                <w:rFonts w:ascii="Times New Roman" w:hAnsi="Times New Roman" w:eastAsia="Times New Roman" w:cs="Times New Roman"/>
                <w:color w:val="000000"/>
              </w:rPr>
              <w:t>Disponível</w:t>
            </w:r>
            <w:r>
              <w:rPr>
                <w:rFonts w:ascii="Times New Roman" w:hAnsi="Times New Roman" w:eastAsia="Times New Roman" w:cs="Times New Roman"/>
                <w:color w:val="000000"/>
              </w:rPr>
              <w:tab/>
            </w:r>
            <w:r>
              <w:rPr>
                <w:rFonts w:ascii="Times New Roman" w:hAnsi="Times New Roman" w:eastAsia="Times New Roman" w:cs="Times New Roman"/>
                <w:color w:val="000000"/>
              </w:rPr>
              <w:t>em</w:t>
            </w:r>
          </w:p>
          <w:p>
            <w:pPr>
              <w:widowControl w:val="0"/>
              <w:pBdr>
                <w:top w:val="none" w:color="auto" w:sz="0" w:space="0"/>
                <w:left w:val="none" w:color="auto" w:sz="0" w:space="0"/>
                <w:bottom w:val="none" w:color="auto" w:sz="0" w:space="0"/>
                <w:right w:val="none" w:color="auto" w:sz="0" w:space="0"/>
                <w:between w:val="none" w:color="auto" w:sz="0" w:space="0"/>
              </w:pBdr>
              <w:spacing w:before="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&lt;</w:t>
            </w:r>
            <w:r>
              <w:fldChar w:fldCharType="begin"/>
            </w:r>
            <w:r>
              <w:instrText xml:space="preserve"> HYPERLINK "https://revistas.pucsp.br/revph" \h </w:instrText>
            </w:r>
            <w:r>
              <w:fldChar w:fldCharType="separate"/>
            </w:r>
            <w:r>
              <w:rPr>
                <w:rFonts w:ascii="Times New Roman" w:hAnsi="Times New Roman" w:eastAsia="Times New Roman" w:cs="Times New Roman"/>
                <w:color w:val="0000FF"/>
                <w:u w:val="single"/>
              </w:rPr>
              <w:t>https://revistas.pucsp.br//revph</w:t>
            </w:r>
            <w:r>
              <w:rPr>
                <w:rFonts w:ascii="Times New Roman" w:hAnsi="Times New Roman" w:eastAsia="Times New Roman" w:cs="Times New Roman"/>
                <w:color w:val="0000FF"/>
                <w:u w:val="single"/>
              </w:rPr>
              <w:fldChar w:fldCharType="end"/>
            </w:r>
            <w:r>
              <w:rPr>
                <w:rFonts w:ascii="Times New Roman" w:hAnsi="Times New Roman" w:eastAsia="Times New Roman" w:cs="Times New Roman"/>
                <w:color w:val="000000"/>
              </w:rPr>
              <w:t>&gt;</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NORA, Pierre. Entre memória e história: a problemática dos lugares. </w:t>
            </w:r>
            <w:r>
              <w:rPr>
                <w:rFonts w:ascii="Times New Roman" w:hAnsi="Times New Roman" w:eastAsia="Times New Roman" w:cs="Times New Roman"/>
                <w:b/>
                <w:color w:val="000000"/>
              </w:rPr>
              <w:t>Projeto História</w:t>
            </w:r>
            <w:r>
              <w:rPr>
                <w:rFonts w:ascii="Times New Roman" w:hAnsi="Times New Roman" w:eastAsia="Times New Roman" w:cs="Times New Roman"/>
                <w:color w:val="000000"/>
              </w:rPr>
              <w:t>, São Paulo, n.10, dez. 1993, p.7-28. Disponível em &lt;</w:t>
            </w:r>
            <w:r>
              <w:fldChar w:fldCharType="begin"/>
            </w:r>
            <w:r>
              <w:instrText xml:space="preserve"> HYPERLINK "https://revistas.pucsp.br/revph" \h </w:instrText>
            </w:r>
            <w:r>
              <w:fldChar w:fldCharType="separate"/>
            </w:r>
            <w:r>
              <w:rPr>
                <w:rFonts w:ascii="Times New Roman" w:hAnsi="Times New Roman" w:eastAsia="Times New Roman" w:cs="Times New Roman"/>
                <w:color w:val="0000FF"/>
                <w:u w:val="single"/>
              </w:rPr>
              <w:t>https://revistas.pucsp.br//revph</w:t>
            </w:r>
            <w:r>
              <w:rPr>
                <w:rFonts w:ascii="Times New Roman" w:hAnsi="Times New Roman" w:eastAsia="Times New Roman" w:cs="Times New Roman"/>
                <w:color w:val="0000FF"/>
                <w:u w:val="single"/>
              </w:rPr>
              <w:fldChar w:fldCharType="end"/>
            </w:r>
            <w:r>
              <w:rPr>
                <w:rFonts w:ascii="Times New Roman" w:hAnsi="Times New Roman" w:eastAsia="Times New Roman" w:cs="Times New Roman"/>
                <w:color w:val="000000"/>
              </w:rPr>
              <w:t xml:space="preserve">&gt; PORTELLI, Alessandro. Tentando aprender um pouquinho: algumas reflexões sobre a ética na história oral. </w:t>
            </w:r>
            <w:r>
              <w:rPr>
                <w:rFonts w:ascii="Times New Roman" w:hAnsi="Times New Roman" w:eastAsia="Times New Roman" w:cs="Times New Roman"/>
                <w:b/>
                <w:color w:val="000000"/>
              </w:rPr>
              <w:t xml:space="preserve">Projeto História. </w:t>
            </w:r>
            <w:r>
              <w:rPr>
                <w:rFonts w:ascii="Times New Roman" w:hAnsi="Times New Roman" w:eastAsia="Times New Roman" w:cs="Times New Roman"/>
                <w:color w:val="000000"/>
              </w:rPr>
              <w:t>São Paulo, n. 15, abr./1997, p. 13-49.</w:t>
            </w:r>
          </w:p>
          <w:p>
            <w:pPr>
              <w:widowControl w:val="0"/>
              <w:pBdr>
                <w:top w:val="none" w:color="auto" w:sz="0" w:space="0"/>
                <w:left w:val="none" w:color="auto" w:sz="0" w:space="0"/>
                <w:bottom w:val="none" w:color="auto" w:sz="0" w:space="0"/>
                <w:right w:val="none" w:color="auto" w:sz="0" w:space="0"/>
                <w:between w:val="none" w:color="auto" w:sz="0" w:space="0"/>
              </w:pBdr>
              <w:spacing w:before="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Disponível em &lt;</w:t>
            </w:r>
            <w:r>
              <w:fldChar w:fldCharType="begin"/>
            </w:r>
            <w:r>
              <w:instrText xml:space="preserve"> HYPERLINK "https://revistas.pucsp.br/revph" \h </w:instrText>
            </w:r>
            <w:r>
              <w:fldChar w:fldCharType="separate"/>
            </w:r>
            <w:r>
              <w:rPr>
                <w:rFonts w:ascii="Times New Roman" w:hAnsi="Times New Roman" w:eastAsia="Times New Roman" w:cs="Times New Roman"/>
                <w:color w:val="0000FF"/>
                <w:u w:val="single"/>
              </w:rPr>
              <w:t>https://revistas.pucsp.br//revph</w:t>
            </w:r>
            <w:r>
              <w:rPr>
                <w:rFonts w:ascii="Times New Roman" w:hAnsi="Times New Roman" w:eastAsia="Times New Roman" w:cs="Times New Roman"/>
                <w:color w:val="0000FF"/>
                <w:u w:val="single"/>
              </w:rPr>
              <w:fldChar w:fldCharType="end"/>
            </w:r>
            <w:r>
              <w:rPr>
                <w:rFonts w:ascii="Times New Roman" w:hAnsi="Times New Roman" w:eastAsia="Times New Roman" w:cs="Times New Roman"/>
                <w:color w:val="000000"/>
              </w:rPr>
              <w:t>&gt;</w:t>
            </w:r>
          </w:p>
        </w:tc>
      </w:tr>
      <w:tr>
        <w:tblPrEx>
          <w:tblCellMar>
            <w:top w:w="0" w:type="dxa"/>
            <w:left w:w="22" w:type="dxa"/>
            <w:bottom w:w="0" w:type="dxa"/>
            <w:right w:w="5" w:type="dxa"/>
          </w:tblCellMar>
        </w:tblPrEx>
        <w:trPr>
          <w:trHeight w:val="7052" w:hRule="atLeast"/>
        </w:trPr>
        <w:tc>
          <w:tcPr>
            <w:tcW w:w="9021" w:type="dxa"/>
            <w:gridSpan w:val="3"/>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141" w:line="360" w:lineRule="auto"/>
              <w:ind w:left="0" w:right="62"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FERREIRA, Marieta de Moraes. História, tempo presente e história oral. </w:t>
            </w:r>
            <w:r>
              <w:rPr>
                <w:rFonts w:ascii="Times New Roman" w:hAnsi="Times New Roman" w:eastAsia="Times New Roman" w:cs="Times New Roman"/>
                <w:b/>
                <w:color w:val="000000"/>
              </w:rPr>
              <w:t xml:space="preserve">Topoi, </w:t>
            </w:r>
            <w:r>
              <w:rPr>
                <w:rFonts w:ascii="Times New Roman" w:hAnsi="Times New Roman" w:eastAsia="Times New Roman" w:cs="Times New Roman"/>
                <w:color w:val="000000"/>
              </w:rPr>
              <w:t>Rio de Janeiro, dezembro 2002.</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5"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GEERTZ. C. O pensamento como ato moral: dimensões éticas do trabalho de campo antropológico nos países novos. In: </w:t>
            </w:r>
            <w:r>
              <w:rPr>
                <w:rFonts w:ascii="Times New Roman" w:hAnsi="Times New Roman" w:eastAsia="Times New Roman" w:cs="Times New Roman"/>
                <w:b/>
                <w:color w:val="000000"/>
              </w:rPr>
              <w:t>Nova luz sobre a Antropologia</w:t>
            </w:r>
            <w:r>
              <w:rPr>
                <w:rFonts w:ascii="Times New Roman" w:hAnsi="Times New Roman" w:eastAsia="Times New Roman" w:cs="Times New Roman"/>
                <w:color w:val="000000"/>
              </w:rPr>
              <w:t>. Rio de Janeiro: Zahar, 2001.</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HALBWACHS, M. A memória coletiva. São Paulo: Vértice, 1990.</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right="63"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MEIHY, José Carlos Sebe Bom. </w:t>
            </w:r>
            <w:r>
              <w:rPr>
                <w:rFonts w:ascii="Times New Roman" w:hAnsi="Times New Roman" w:eastAsia="Times New Roman" w:cs="Times New Roman"/>
                <w:b/>
                <w:color w:val="000000"/>
              </w:rPr>
              <w:t>Manual de História Oral</w:t>
            </w:r>
            <w:r>
              <w:rPr>
                <w:rFonts w:ascii="Times New Roman" w:hAnsi="Times New Roman" w:eastAsia="Times New Roman" w:cs="Times New Roman"/>
                <w:color w:val="000000"/>
              </w:rPr>
              <w:t>. São Paulo: Edições Loyola,1998.</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8"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POLLAK, M. Memória, esquecimento, silêncio. </w:t>
            </w:r>
            <w:r>
              <w:rPr>
                <w:rFonts w:ascii="Times New Roman" w:hAnsi="Times New Roman" w:eastAsia="Times New Roman" w:cs="Times New Roman"/>
                <w:b/>
                <w:color w:val="000000"/>
              </w:rPr>
              <w:t>Estudos Históricos</w:t>
            </w:r>
            <w:r>
              <w:rPr>
                <w:rFonts w:ascii="Times New Roman" w:hAnsi="Times New Roman" w:eastAsia="Times New Roman" w:cs="Times New Roman"/>
                <w:color w:val="000000"/>
              </w:rPr>
              <w:t>, N.3, Rio de Janeiro: CPDOC, 1989.</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SANTANA, M. A. Militância, repressão e silêncio: relato de uma experiência com a</w:t>
            </w:r>
          </w:p>
          <w:p>
            <w:pPr>
              <w:widowControl w:val="0"/>
              <w:pBdr>
                <w:top w:val="none" w:color="auto" w:sz="0" w:space="0"/>
                <w:left w:val="none" w:color="auto" w:sz="0" w:space="0"/>
                <w:bottom w:val="none" w:color="auto" w:sz="0" w:space="0"/>
                <w:right w:val="none" w:color="auto" w:sz="0" w:space="0"/>
                <w:between w:val="none" w:color="auto" w:sz="0" w:space="0"/>
              </w:pBdr>
              <w:spacing w:before="1" w:line="240" w:lineRule="auto"/>
              <w:ind w:left="0" w:right="65"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memória operária. In: </w:t>
            </w:r>
            <w:r>
              <w:rPr>
                <w:rFonts w:ascii="Times New Roman" w:hAnsi="Times New Roman" w:eastAsia="Times New Roman" w:cs="Times New Roman"/>
                <w:b/>
                <w:color w:val="000000"/>
              </w:rPr>
              <w:t>História Oral: Revista da ABHO</w:t>
            </w:r>
            <w:r>
              <w:rPr>
                <w:rFonts w:ascii="Times New Roman" w:hAnsi="Times New Roman" w:eastAsia="Times New Roman" w:cs="Times New Roman"/>
                <w:color w:val="000000"/>
              </w:rPr>
              <w:t>, n 3 – jun. 2000. São Paulo: ABHO, v 3, 2000.</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SANTOS, Myrian S. dos. (1993), O pesadelo da amnésia coletiva: um estudo sobre os</w:t>
            </w:r>
          </w:p>
          <w:p>
            <w:pPr>
              <w:widowControl w:val="0"/>
              <w:pBdr>
                <w:top w:val="none" w:color="auto" w:sz="0" w:space="0"/>
                <w:left w:val="none" w:color="auto" w:sz="0" w:space="0"/>
                <w:bottom w:val="none" w:color="auto" w:sz="0" w:space="0"/>
                <w:right w:val="none" w:color="auto" w:sz="0" w:space="0"/>
                <w:between w:val="none" w:color="auto" w:sz="0" w:space="0"/>
              </w:pBdr>
              <w:spacing w:before="3"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conceitos de memória, tradição e traços do passado. </w:t>
            </w:r>
            <w:r>
              <w:rPr>
                <w:rFonts w:ascii="Times New Roman" w:hAnsi="Times New Roman" w:eastAsia="Times New Roman" w:cs="Times New Roman"/>
                <w:b/>
                <w:color w:val="000000"/>
              </w:rPr>
              <w:t>Revista Brasileira de Ciências Sociais</w:t>
            </w:r>
            <w:r>
              <w:rPr>
                <w:rFonts w:ascii="Times New Roman" w:hAnsi="Times New Roman" w:eastAsia="Times New Roman" w:cs="Times New Roman"/>
                <w:color w:val="000000"/>
              </w:rPr>
              <w:t>, Anpocs, 23: 70-85, 1993.</w:t>
            </w:r>
          </w:p>
        </w:tc>
      </w:tr>
    </w:tbl>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10" w:after="14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10" w:after="140" w:line="288" w:lineRule="auto"/>
        <w:ind w:left="0" w:hanging="2"/>
        <w:rPr>
          <w:rFonts w:ascii="Times New Roman" w:hAnsi="Times New Roman" w:eastAsia="Times New Roman" w:cs="Times New Roman"/>
          <w:color w:val="000000"/>
        </w:rPr>
      </w:pPr>
    </w:p>
    <w:tbl>
      <w:tblPr>
        <w:tblStyle w:val="524"/>
        <w:tblW w:w="9021" w:type="dxa"/>
        <w:tblInd w:w="2" w:type="dxa"/>
        <w:tblLayout w:type="fixed"/>
        <w:tblCellMar>
          <w:top w:w="0" w:type="dxa"/>
          <w:left w:w="22" w:type="dxa"/>
          <w:bottom w:w="0" w:type="dxa"/>
          <w:right w:w="5" w:type="dxa"/>
        </w:tblCellMar>
      </w:tblPr>
      <w:tblGrid>
        <w:gridCol w:w="2902"/>
        <w:gridCol w:w="3121"/>
        <w:gridCol w:w="2998"/>
      </w:tblGrid>
      <w:tr>
        <w:tblPrEx>
          <w:tblCellMar>
            <w:top w:w="0" w:type="dxa"/>
            <w:left w:w="22" w:type="dxa"/>
            <w:bottom w:w="0" w:type="dxa"/>
            <w:right w:w="5" w:type="dxa"/>
          </w:tblCellMar>
        </w:tblPrEx>
        <w:trPr>
          <w:trHeight w:val="2068" w:hRule="atLeast"/>
        </w:trPr>
        <w:tc>
          <w:tcPr>
            <w:tcW w:w="6023"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4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Seminário de Ciências Sociais II</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1013"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Seminar on Social Sciences II</w:t>
            </w:r>
          </w:p>
        </w:tc>
        <w:tc>
          <w:tcPr>
            <w:tcW w:w="2998"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HIS088</w:t>
            </w:r>
          </w:p>
        </w:tc>
      </w:tr>
      <w:tr>
        <w:tblPrEx>
          <w:tblCellMar>
            <w:top w:w="0" w:type="dxa"/>
            <w:left w:w="22" w:type="dxa"/>
            <w:bottom w:w="0" w:type="dxa"/>
            <w:right w:w="5" w:type="dxa"/>
          </w:tblCellMar>
        </w:tblPrEx>
        <w:trPr>
          <w:trHeight w:val="830" w:hRule="atLeast"/>
        </w:trPr>
        <w:tc>
          <w:tcPr>
            <w:tcW w:w="6023"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w:t>
            </w:r>
          </w:p>
          <w:p>
            <w:pPr>
              <w:widowControl w:val="0"/>
              <w:pBdr>
                <w:top w:val="none" w:color="auto" w:sz="0" w:space="0"/>
                <w:left w:val="none" w:color="auto" w:sz="0" w:space="0"/>
                <w:bottom w:val="none" w:color="auto" w:sz="0" w:space="0"/>
                <w:right w:val="none" w:color="auto" w:sz="0" w:space="0"/>
                <w:between w:val="none" w:color="auto" w:sz="0" w:space="0"/>
              </w:pBdr>
              <w:spacing w:before="14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Departamento de História – DEHIS</w:t>
            </w:r>
          </w:p>
        </w:tc>
        <w:tc>
          <w:tcPr>
            <w:tcW w:w="2998"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5" w:type="dxa"/>
          </w:tblCellMar>
        </w:tblPrEx>
        <w:trPr>
          <w:trHeight w:val="1243" w:hRule="atLeast"/>
        </w:trPr>
        <w:tc>
          <w:tcPr>
            <w:tcW w:w="2902"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0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96"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3121"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2998"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02 horas/aula</w:t>
            </w:r>
          </w:p>
        </w:tc>
      </w:tr>
      <w:tr>
        <w:tblPrEx>
          <w:tblCellMar>
            <w:top w:w="0" w:type="dxa"/>
            <w:left w:w="22" w:type="dxa"/>
            <w:bottom w:w="0" w:type="dxa"/>
            <w:right w:w="5" w:type="dxa"/>
          </w:tblCellMar>
        </w:tblPrEx>
        <w:trPr>
          <w:trHeight w:val="2899"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5"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Ementa: Questão agrária, movimentos sociais e luta pela terra no Brasil durante a segunda metade do século XX; conflitos pela terra entre grileiros, posseiros, agentes públicos, empresas, organizações e movimentos sociais em Minas Gerais; conformação das identidades de </w:t>
            </w:r>
            <w:r>
              <w:rPr>
                <w:rFonts w:ascii="Times New Roman" w:hAnsi="Times New Roman" w:eastAsia="Times New Roman" w:cs="Times New Roman"/>
                <w:i/>
                <w:color w:val="000000"/>
              </w:rPr>
              <w:t xml:space="preserve">camponês </w:t>
            </w:r>
            <w:r>
              <w:rPr>
                <w:rFonts w:ascii="Times New Roman" w:hAnsi="Times New Roman" w:eastAsia="Times New Roman" w:cs="Times New Roman"/>
                <w:color w:val="000000"/>
              </w:rPr>
              <w:t xml:space="preserve">e </w:t>
            </w:r>
            <w:r>
              <w:rPr>
                <w:rFonts w:ascii="Times New Roman" w:hAnsi="Times New Roman" w:eastAsia="Times New Roman" w:cs="Times New Roman"/>
                <w:i/>
                <w:color w:val="000000"/>
              </w:rPr>
              <w:t xml:space="preserve">latifundiário </w:t>
            </w:r>
            <w:r>
              <w:rPr>
                <w:rFonts w:ascii="Times New Roman" w:hAnsi="Times New Roman" w:eastAsia="Times New Roman" w:cs="Times New Roman"/>
                <w:color w:val="000000"/>
              </w:rPr>
              <w:t>nas décadas de 1940 a 1960; repressão e resistência no campo durante o regime civil-militar; redemocratização e luta pela terra; constituição e desenvolvimento dos movimentos sindicais, da Comissão Pastoral da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Terra (CPT) e do Movimento dos Trabalhadores Rurais Sem-Terra (MST).</w:t>
            </w:r>
          </w:p>
        </w:tc>
      </w:tr>
      <w:tr>
        <w:tblPrEx>
          <w:tblCellMar>
            <w:top w:w="0" w:type="dxa"/>
            <w:left w:w="22" w:type="dxa"/>
            <w:bottom w:w="0" w:type="dxa"/>
            <w:right w:w="5" w:type="dxa"/>
          </w:tblCellMar>
        </w:tblPrEx>
        <w:trPr>
          <w:trHeight w:val="2069"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Introdução</w:t>
            </w:r>
          </w:p>
          <w:p>
            <w:pPr>
              <w:widowControl w:val="0"/>
              <w:pBdr>
                <w:top w:val="none" w:color="auto" w:sz="0" w:space="0"/>
                <w:left w:val="none" w:color="auto" w:sz="0" w:space="0"/>
                <w:bottom w:val="none" w:color="auto" w:sz="0" w:space="0"/>
                <w:right w:val="none" w:color="auto" w:sz="0" w:space="0"/>
                <w:between w:val="none" w:color="auto" w:sz="0" w:space="0"/>
              </w:pBdr>
              <w:spacing w:before="136" w:line="360" w:lineRule="auto"/>
              <w:ind w:left="0" w:right="2613" w:hanging="2"/>
              <w:rPr>
                <w:rFonts w:ascii="Times New Roman" w:hAnsi="Times New Roman" w:eastAsia="Times New Roman" w:cs="Times New Roman"/>
                <w:color w:val="000000"/>
              </w:rPr>
            </w:pPr>
            <w:r>
              <w:rPr>
                <w:rFonts w:ascii="Times New Roman" w:hAnsi="Times New Roman" w:eastAsia="Times New Roman" w:cs="Times New Roman"/>
                <w:color w:val="000000"/>
              </w:rPr>
              <w:t>UNIDADE I – Questão agrária e as esquerdas no campo UNIDADE II – Movimentos sociais no campo</w:t>
            </w:r>
          </w:p>
          <w:p>
            <w:pPr>
              <w:widowControl w:val="0"/>
              <w:pBdr>
                <w:top w:val="none" w:color="auto" w:sz="0" w:space="0"/>
                <w:left w:val="none" w:color="auto" w:sz="0" w:space="0"/>
                <w:bottom w:val="none" w:color="auto" w:sz="0" w:space="0"/>
                <w:right w:val="none" w:color="auto" w:sz="0" w:space="0"/>
                <w:between w:val="none" w:color="auto" w:sz="0" w:space="0"/>
              </w:pBdr>
              <w:spacing w:before="3"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III – Estado, imprensa e meio rural no século XX</w:t>
            </w:r>
          </w:p>
        </w:tc>
      </w:tr>
      <w:tr>
        <w:tblPrEx>
          <w:tblCellMar>
            <w:top w:w="0" w:type="dxa"/>
            <w:left w:w="22" w:type="dxa"/>
            <w:bottom w:w="0" w:type="dxa"/>
            <w:right w:w="5" w:type="dxa"/>
          </w:tblCellMar>
        </w:tblPrEx>
        <w:trPr>
          <w:trHeight w:val="6000" w:hRule="atLeast"/>
        </w:trPr>
        <w:tc>
          <w:tcPr>
            <w:tcW w:w="9021" w:type="dxa"/>
            <w:gridSpan w:val="3"/>
            <w:tcBorders>
              <w:top w:val="single" w:color="000000" w:sz="4"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right="59"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NOVAES, Regina Reyes. </w:t>
            </w:r>
            <w:r>
              <w:rPr>
                <w:rFonts w:ascii="Times New Roman" w:hAnsi="Times New Roman" w:eastAsia="Times New Roman" w:cs="Times New Roman"/>
                <w:b/>
                <w:color w:val="000000"/>
              </w:rPr>
              <w:t>De corpo e alma: catolicismo, classes sociais e conflitos no campo</w:t>
            </w:r>
            <w:r>
              <w:rPr>
                <w:rFonts w:ascii="Times New Roman" w:hAnsi="Times New Roman" w:eastAsia="Times New Roman" w:cs="Times New Roman"/>
                <w:color w:val="000000"/>
              </w:rPr>
              <w:t>. Rio de Janeiro: Graphia, 1997.</w:t>
            </w:r>
          </w:p>
          <w:p>
            <w:pPr>
              <w:widowControl w:val="0"/>
              <w:pBdr>
                <w:top w:val="none" w:color="auto" w:sz="0" w:space="0"/>
                <w:left w:val="none" w:color="auto" w:sz="0" w:space="0"/>
                <w:bottom w:val="none" w:color="auto" w:sz="0" w:space="0"/>
                <w:right w:val="none" w:color="auto" w:sz="0" w:space="0"/>
                <w:between w:val="none" w:color="auto" w:sz="0" w:space="0"/>
              </w:pBdr>
              <w:spacing w:before="3"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MORAES, João Q.; DEL ROIO, Marcos. </w:t>
            </w:r>
            <w:r>
              <w:rPr>
                <w:rFonts w:ascii="Times New Roman" w:hAnsi="Times New Roman" w:eastAsia="Times New Roman" w:cs="Times New Roman"/>
                <w:b/>
                <w:color w:val="000000"/>
              </w:rPr>
              <w:t>História do Marxismo no Brasil</w:t>
            </w:r>
            <w:r>
              <w:rPr>
                <w:rFonts w:ascii="Times New Roman" w:hAnsi="Times New Roman" w:eastAsia="Times New Roman" w:cs="Times New Roman"/>
                <w:color w:val="000000"/>
              </w:rPr>
              <w:t>. V. 4 Campinas: Ed. Unicamp, 2007.</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MARTINS, José de Sousa. </w:t>
            </w:r>
            <w:r>
              <w:rPr>
                <w:rFonts w:ascii="Times New Roman" w:hAnsi="Times New Roman" w:eastAsia="Times New Roman" w:cs="Times New Roman"/>
                <w:b/>
                <w:color w:val="000000"/>
              </w:rPr>
              <w:t xml:space="preserve">Os camponeses e a política do Brasil. </w:t>
            </w:r>
            <w:r>
              <w:rPr>
                <w:rFonts w:ascii="Times New Roman" w:hAnsi="Times New Roman" w:eastAsia="Times New Roman" w:cs="Times New Roman"/>
                <w:color w:val="000000"/>
              </w:rPr>
              <w:t>São Paulo: Editora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Vozes, 1981.</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right="62" w:hanging="2"/>
              <w:jc w:val="both"/>
              <w:rPr>
                <w:rFonts w:ascii="Times New Roman" w:hAnsi="Times New Roman" w:eastAsia="Times New Roman" w:cs="Times New Roman"/>
                <w:color w:val="000000"/>
              </w:rPr>
            </w:pPr>
            <w:r>
              <w:rPr>
                <w:rFonts w:ascii="Times New Roman" w:hAnsi="Times New Roman" w:eastAsia="Times New Roman" w:cs="Times New Roman"/>
                <w:color w:val="221F1F"/>
              </w:rPr>
              <w:t xml:space="preserve">SIGAUD, L; ROSA, M; MACEDO, M. E. Ocupações de Terra, Acampamentos e Demandas ao Estado: Uma Análise em Perspectiva Comparada. </w:t>
            </w:r>
            <w:r>
              <w:rPr>
                <w:rFonts w:ascii="Times New Roman" w:hAnsi="Times New Roman" w:eastAsia="Times New Roman" w:cs="Times New Roman"/>
                <w:b/>
                <w:color w:val="221F1F"/>
              </w:rPr>
              <w:t>DADOS – Revista de Ciências Sociais</w:t>
            </w:r>
            <w:r>
              <w:rPr>
                <w:rFonts w:ascii="Times New Roman" w:hAnsi="Times New Roman" w:eastAsia="Times New Roman" w:cs="Times New Roman"/>
                <w:color w:val="221F1F"/>
              </w:rPr>
              <w:t>, Rio de Janeiro, Vol. 51, no 1, 2008, pp. 107 a 142.</w:t>
            </w: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right="136"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FERNANDES, Bernardo Mançano; MEDEIROS, Leonilde S. de; PAULILO, Maria Ignez. (Orgs). </w:t>
            </w:r>
            <w:r>
              <w:rPr>
                <w:rFonts w:ascii="Times New Roman" w:hAnsi="Times New Roman" w:eastAsia="Times New Roman" w:cs="Times New Roman"/>
                <w:b/>
                <w:color w:val="000000"/>
              </w:rPr>
              <w:t xml:space="preserve">Lutas Camponesas Contemporâneas: condições, dilemas e conquistas. </w:t>
            </w:r>
            <w:r>
              <w:rPr>
                <w:rFonts w:ascii="Times New Roman" w:hAnsi="Times New Roman" w:eastAsia="Times New Roman" w:cs="Times New Roman"/>
                <w:color w:val="000000"/>
              </w:rPr>
              <w:t>Vol II. São Paulo: Ed. Da UNESP, 2009. Coleção História Social do Campesinato.</w:t>
            </w:r>
          </w:p>
        </w:tc>
      </w:tr>
      <w:tr>
        <w:tblPrEx>
          <w:tblCellMar>
            <w:top w:w="0" w:type="dxa"/>
            <w:left w:w="22" w:type="dxa"/>
            <w:bottom w:w="0" w:type="dxa"/>
            <w:right w:w="5" w:type="dxa"/>
          </w:tblCellMar>
        </w:tblPrEx>
        <w:trPr>
          <w:trHeight w:val="4143" w:hRule="atLeast"/>
        </w:trPr>
        <w:tc>
          <w:tcPr>
            <w:tcW w:w="9021" w:type="dxa"/>
            <w:gridSpan w:val="3"/>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142" w:line="360" w:lineRule="auto"/>
              <w:ind w:left="0" w:right="136"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LOWY, M. </w:t>
            </w:r>
            <w:r>
              <w:rPr>
                <w:rFonts w:ascii="Times New Roman" w:hAnsi="Times New Roman" w:eastAsia="Times New Roman" w:cs="Times New Roman"/>
                <w:b/>
                <w:color w:val="000000"/>
              </w:rPr>
              <w:t>Marxismo e Teologia da Libertação</w:t>
            </w:r>
            <w:r>
              <w:rPr>
                <w:rFonts w:ascii="Times New Roman" w:hAnsi="Times New Roman" w:eastAsia="Times New Roman" w:cs="Times New Roman"/>
                <w:color w:val="000000"/>
              </w:rPr>
              <w:t xml:space="preserve">. São Paulo: Cortez, 1993. MARTINS, José de Sousa. </w:t>
            </w:r>
            <w:r>
              <w:rPr>
                <w:rFonts w:ascii="Times New Roman" w:hAnsi="Times New Roman" w:eastAsia="Times New Roman" w:cs="Times New Roman"/>
                <w:b/>
                <w:color w:val="000000"/>
              </w:rPr>
              <w:t>Reforma Agrária: o impossível diálogo</w:t>
            </w:r>
            <w:r>
              <w:rPr>
                <w:rFonts w:ascii="Times New Roman" w:hAnsi="Times New Roman" w:eastAsia="Times New Roman" w:cs="Times New Roman"/>
                <w:color w:val="000000"/>
              </w:rPr>
              <w:t>. São Paulo: Ed. USP, 2004.</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MEDEIROS, L. S. de. </w:t>
            </w:r>
            <w:r>
              <w:rPr>
                <w:rFonts w:ascii="Times New Roman" w:hAnsi="Times New Roman" w:eastAsia="Times New Roman" w:cs="Times New Roman"/>
                <w:b/>
                <w:color w:val="000000"/>
              </w:rPr>
              <w:t>Movimentos sociais, disputas políticas e reforma agrária de mercado no Brasil</w:t>
            </w:r>
            <w:r>
              <w:rPr>
                <w:rFonts w:ascii="Times New Roman" w:hAnsi="Times New Roman" w:eastAsia="Times New Roman" w:cs="Times New Roman"/>
                <w:color w:val="000000"/>
              </w:rPr>
              <w:t>. Rio de Janeiro: Unrisd e Edur, 2002.</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36"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MEDEIROS, L. S. de. </w:t>
            </w:r>
            <w:r>
              <w:rPr>
                <w:rFonts w:ascii="Times New Roman" w:hAnsi="Times New Roman" w:eastAsia="Times New Roman" w:cs="Times New Roman"/>
                <w:b/>
                <w:color w:val="000000"/>
              </w:rPr>
              <w:t>Reforma Agrária no Brasil: história e atualidade da luta pela terra</w:t>
            </w:r>
            <w:r>
              <w:rPr>
                <w:rFonts w:ascii="Times New Roman" w:hAnsi="Times New Roman" w:eastAsia="Times New Roman" w:cs="Times New Roman"/>
                <w:color w:val="000000"/>
              </w:rPr>
              <w:t>. São Paulo: Fundação Perseu Abrano, 2003 (Coleção Brasil Urgente).</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SIGAUD</w:t>
            </w:r>
            <w:r>
              <w:rPr>
                <w:rFonts w:ascii="Times New Roman" w:hAnsi="Times New Roman" w:eastAsia="Times New Roman" w:cs="Times New Roman"/>
                <w:i/>
                <w:color w:val="000000"/>
              </w:rPr>
              <w:t xml:space="preserve">, </w:t>
            </w:r>
            <w:r>
              <w:rPr>
                <w:rFonts w:ascii="Times New Roman" w:hAnsi="Times New Roman" w:eastAsia="Times New Roman" w:cs="Times New Roman"/>
                <w:color w:val="000000"/>
              </w:rPr>
              <w:t xml:space="preserve">Lygia. </w:t>
            </w:r>
            <w:r>
              <w:rPr>
                <w:rFonts w:ascii="Times New Roman" w:hAnsi="Times New Roman" w:eastAsia="Times New Roman" w:cs="Times New Roman"/>
                <w:b/>
                <w:color w:val="000000"/>
              </w:rPr>
              <w:t>Os clandestinos e os direitos; estudo sobre trabalhadores da cana-</w:t>
            </w:r>
          </w:p>
          <w:p>
            <w:pPr>
              <w:widowControl w:val="0"/>
              <w:pBdr>
                <w:top w:val="none" w:color="auto" w:sz="0" w:space="0"/>
                <w:left w:val="none" w:color="auto" w:sz="0" w:space="0"/>
                <w:bottom w:val="none" w:color="auto" w:sz="0" w:space="0"/>
                <w:right w:val="none" w:color="auto" w:sz="0" w:space="0"/>
                <w:between w:val="none" w:color="auto" w:sz="0" w:space="0"/>
              </w:pBdr>
              <w:spacing w:before="136"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b/>
                <w:color w:val="000000"/>
              </w:rPr>
              <w:t>de-açúcar de Pernambuco</w:t>
            </w:r>
            <w:r>
              <w:rPr>
                <w:rFonts w:ascii="Times New Roman" w:hAnsi="Times New Roman" w:eastAsia="Times New Roman" w:cs="Times New Roman"/>
                <w:color w:val="000000"/>
              </w:rPr>
              <w:t>. São Paulo: Livraria Duas Cidades, 1979.</w:t>
            </w:r>
          </w:p>
        </w:tc>
      </w:tr>
    </w:tbl>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10" w:after="140" w:line="288" w:lineRule="auto"/>
        <w:ind w:left="0" w:hanging="2"/>
        <w:rPr>
          <w:rFonts w:ascii="Times New Roman" w:hAnsi="Times New Roman" w:eastAsia="Times New Roman" w:cs="Times New Roman"/>
          <w:color w:val="000000"/>
        </w:rPr>
      </w:pPr>
    </w:p>
    <w:tbl>
      <w:tblPr>
        <w:tblStyle w:val="525"/>
        <w:tblW w:w="9021" w:type="dxa"/>
        <w:tblInd w:w="2" w:type="dxa"/>
        <w:tblLayout w:type="fixed"/>
        <w:tblCellMar>
          <w:top w:w="0" w:type="dxa"/>
          <w:left w:w="22" w:type="dxa"/>
          <w:bottom w:w="0" w:type="dxa"/>
          <w:right w:w="5" w:type="dxa"/>
        </w:tblCellMar>
      </w:tblPr>
      <w:tblGrid>
        <w:gridCol w:w="2901"/>
        <w:gridCol w:w="3314"/>
        <w:gridCol w:w="2806"/>
      </w:tblGrid>
      <w:tr>
        <w:tblPrEx>
          <w:tblCellMar>
            <w:top w:w="0" w:type="dxa"/>
            <w:left w:w="22" w:type="dxa"/>
            <w:bottom w:w="0" w:type="dxa"/>
            <w:right w:w="5" w:type="dxa"/>
          </w:tblCellMar>
        </w:tblPrEx>
        <w:trPr>
          <w:trHeight w:val="2073" w:hRule="atLeast"/>
        </w:trPr>
        <w:tc>
          <w:tcPr>
            <w:tcW w:w="6215"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4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Seminário de Ciências Sociais III</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1013"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Seminar on Social Sciences III</w:t>
            </w:r>
          </w:p>
        </w:tc>
        <w:tc>
          <w:tcPr>
            <w:tcW w:w="2806"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HIS089</w:t>
            </w:r>
          </w:p>
        </w:tc>
      </w:tr>
      <w:tr>
        <w:tblPrEx>
          <w:tblCellMar>
            <w:top w:w="0" w:type="dxa"/>
            <w:left w:w="22" w:type="dxa"/>
            <w:bottom w:w="0" w:type="dxa"/>
            <w:right w:w="5" w:type="dxa"/>
          </w:tblCellMar>
        </w:tblPrEx>
        <w:trPr>
          <w:trHeight w:val="825" w:hRule="atLeast"/>
        </w:trPr>
        <w:tc>
          <w:tcPr>
            <w:tcW w:w="6215"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Departamento de História – DEHIS</w:t>
            </w:r>
          </w:p>
        </w:tc>
        <w:tc>
          <w:tcPr>
            <w:tcW w:w="280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5" w:type="dxa"/>
          </w:tblCellMar>
        </w:tblPrEx>
        <w:trPr>
          <w:trHeight w:val="1243" w:hRule="atLeast"/>
        </w:trPr>
        <w:tc>
          <w:tcPr>
            <w:tcW w:w="2901"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502"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717"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semestral 90 horas</w:t>
            </w:r>
          </w:p>
        </w:tc>
        <w:tc>
          <w:tcPr>
            <w:tcW w:w="3314"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280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02 horas/aula</w:t>
            </w:r>
          </w:p>
        </w:tc>
      </w:tr>
      <w:tr>
        <w:tblPrEx>
          <w:tblCellMar>
            <w:top w:w="0" w:type="dxa"/>
            <w:left w:w="22" w:type="dxa"/>
            <w:bottom w:w="0" w:type="dxa"/>
            <w:right w:w="5" w:type="dxa"/>
          </w:tblCellMar>
        </w:tblPrEx>
        <w:trPr>
          <w:trHeight w:val="2495" w:hRule="atLeast"/>
        </w:trPr>
        <w:tc>
          <w:tcPr>
            <w:tcW w:w="9021" w:type="dxa"/>
            <w:gridSpan w:val="3"/>
            <w:tcBorders>
              <w:top w:val="single" w:color="000000" w:sz="4"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Ementa:  Movimentos sociais:  abordagens  clássicas  e  contemporâneas; teorias sobre</w:t>
            </w:r>
          </w:p>
          <w:p>
            <w:pPr>
              <w:widowControl w:val="0"/>
              <w:pBdr>
                <w:top w:val="none" w:color="auto" w:sz="0" w:space="0"/>
                <w:left w:val="none" w:color="auto" w:sz="0" w:space="0"/>
                <w:bottom w:val="none" w:color="auto" w:sz="0" w:space="0"/>
                <w:right w:val="none" w:color="auto" w:sz="0" w:space="0"/>
                <w:between w:val="none" w:color="auto" w:sz="0" w:space="0"/>
              </w:pBdr>
              <w:spacing w:before="136"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ação   coletiva   e   movimentos   sociais; transformações   nos   repertórios   de ação;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7"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reflexividade; liderança, representação e mediação política; organização e institucionalização das mobilizações; opinião pública e movimentos sociais; construção de identidades nos movimentos sociais; luta por reconhecimento, sentimento de</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injustiça e moral; redes de movimentos sociais.</w:t>
            </w:r>
          </w:p>
        </w:tc>
      </w:tr>
      <w:tr>
        <w:tblPrEx>
          <w:tblCellMar>
            <w:top w:w="0" w:type="dxa"/>
            <w:left w:w="22" w:type="dxa"/>
            <w:bottom w:w="0" w:type="dxa"/>
            <w:right w:w="5" w:type="dxa"/>
          </w:tblCellMar>
        </w:tblPrEx>
        <w:trPr>
          <w:trHeight w:val="2068" w:hRule="atLeast"/>
        </w:trPr>
        <w:tc>
          <w:tcPr>
            <w:tcW w:w="9021" w:type="dxa"/>
            <w:gridSpan w:val="3"/>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rPr>
            </w:pPr>
            <w:r>
              <w:rPr>
                <w:rFonts w:ascii="Times New Roman" w:hAnsi="Times New Roman" w:eastAsia="Times New Roman" w:cs="Times New Roman"/>
                <w:color w:val="000000"/>
              </w:rPr>
              <w:t>Introdução</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I – Abordagens sobre Movimentos Sociais</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2012" w:hanging="2"/>
              <w:rPr>
                <w:rFonts w:ascii="Times New Roman" w:hAnsi="Times New Roman" w:eastAsia="Times New Roman" w:cs="Times New Roman"/>
                <w:color w:val="000000"/>
              </w:rPr>
            </w:pPr>
            <w:r>
              <w:rPr>
                <w:rFonts w:ascii="Times New Roman" w:hAnsi="Times New Roman" w:eastAsia="Times New Roman" w:cs="Times New Roman"/>
                <w:color w:val="000000"/>
              </w:rPr>
              <w:t>UNIDADE II – Mediações políticas, identidades e redes</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2012" w:hanging="2"/>
              <w:rPr>
                <w:rFonts w:ascii="Times New Roman" w:hAnsi="Times New Roman" w:eastAsia="Times New Roman" w:cs="Times New Roman"/>
                <w:color w:val="000000"/>
              </w:rPr>
            </w:pPr>
            <w:r>
              <w:rPr>
                <w:rFonts w:ascii="Times New Roman" w:hAnsi="Times New Roman" w:eastAsia="Times New Roman" w:cs="Times New Roman"/>
                <w:color w:val="000000"/>
              </w:rPr>
              <w:t>UNIDADE III – Opinião pública, Estado e movimentos sociais</w:t>
            </w:r>
          </w:p>
        </w:tc>
      </w:tr>
      <w:tr>
        <w:tblPrEx>
          <w:tblCellMar>
            <w:top w:w="0" w:type="dxa"/>
            <w:left w:w="22" w:type="dxa"/>
            <w:bottom w:w="0" w:type="dxa"/>
            <w:right w:w="5" w:type="dxa"/>
          </w:tblCellMar>
        </w:tblPrEx>
        <w:trPr>
          <w:trHeight w:val="2899" w:hRule="atLeast"/>
        </w:trPr>
        <w:tc>
          <w:tcPr>
            <w:tcW w:w="9021" w:type="dxa"/>
            <w:gridSpan w:val="3"/>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COHEN, J.; ARATO, </w:t>
            </w:r>
            <w:r>
              <w:rPr>
                <w:rFonts w:ascii="Times New Roman" w:hAnsi="Times New Roman" w:eastAsia="Times New Roman" w:cs="Times New Roman"/>
                <w:b/>
                <w:color w:val="000000"/>
              </w:rPr>
              <w:t>Sociedad civil y teoria política</w:t>
            </w:r>
            <w:r>
              <w:rPr>
                <w:rFonts w:ascii="Times New Roman" w:hAnsi="Times New Roman" w:eastAsia="Times New Roman" w:cs="Times New Roman"/>
                <w:color w:val="000000"/>
              </w:rPr>
              <w:t>. México: Fondo de La cultura, 2000.</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HONNETH, Axel. </w:t>
            </w:r>
            <w:r>
              <w:rPr>
                <w:rFonts w:ascii="Times New Roman" w:hAnsi="Times New Roman" w:eastAsia="Times New Roman" w:cs="Times New Roman"/>
                <w:b/>
                <w:color w:val="000000"/>
              </w:rPr>
              <w:t xml:space="preserve">Luta por reconhecimento: a gramática moral dos conflitos sociais. </w:t>
            </w:r>
            <w:r>
              <w:rPr>
                <w:rFonts w:ascii="Times New Roman" w:hAnsi="Times New Roman" w:eastAsia="Times New Roman" w:cs="Times New Roman"/>
                <w:color w:val="000000"/>
              </w:rPr>
              <w:t>São Paulo: Editora 34, 2003.</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JASPER, James M. </w:t>
            </w:r>
            <w:r>
              <w:rPr>
                <w:rFonts w:ascii="Times New Roman" w:hAnsi="Times New Roman" w:eastAsia="Times New Roman" w:cs="Times New Roman"/>
                <w:b/>
                <w:color w:val="000000"/>
              </w:rPr>
              <w:t>Protesto</w:t>
            </w:r>
            <w:r>
              <w:rPr>
                <w:rFonts w:ascii="Times New Roman" w:hAnsi="Times New Roman" w:eastAsia="Times New Roman" w:cs="Times New Roman"/>
                <w:i/>
                <w:color w:val="000000"/>
              </w:rPr>
              <w:t xml:space="preserve">: </w:t>
            </w:r>
            <w:r>
              <w:rPr>
                <w:rFonts w:ascii="Times New Roman" w:hAnsi="Times New Roman" w:eastAsia="Times New Roman" w:cs="Times New Roman"/>
                <w:color w:val="000000"/>
              </w:rPr>
              <w:t>uma introdução aos movimentos sociais. Tradução:</w:t>
            </w:r>
          </w:p>
          <w:p>
            <w:pPr>
              <w:widowControl w:val="0"/>
              <w:pBdr>
                <w:top w:val="none" w:color="auto" w:sz="0" w:space="0"/>
                <w:left w:val="none" w:color="auto" w:sz="0" w:space="0"/>
                <w:bottom w:val="none" w:color="auto" w:sz="0" w:space="0"/>
                <w:right w:val="none" w:color="auto" w:sz="0" w:space="0"/>
                <w:between w:val="none" w:color="auto" w:sz="0" w:space="0"/>
              </w:pBdr>
              <w:spacing w:before="138"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Carlos Alberto Medeiros. 1ª ed. Rio de Janeiro: Zahar, 2016.</w:t>
            </w:r>
          </w:p>
        </w:tc>
      </w:tr>
      <w:tr>
        <w:tblPrEx>
          <w:tblCellMar>
            <w:top w:w="0" w:type="dxa"/>
            <w:left w:w="22" w:type="dxa"/>
            <w:bottom w:w="0" w:type="dxa"/>
            <w:right w:w="5" w:type="dxa"/>
          </w:tblCellMar>
        </w:tblPrEx>
        <w:trPr>
          <w:trHeight w:val="5583" w:hRule="atLeast"/>
        </w:trPr>
        <w:tc>
          <w:tcPr>
            <w:tcW w:w="9021" w:type="dxa"/>
            <w:gridSpan w:val="3"/>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right="64"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WOLF, Eric. Parentesco, amizade e relações patrono-cliente em sociedades complexas. In: Bela Feldman-Bianco e Gustavo Lins Ribeiro (orgs). </w:t>
            </w:r>
            <w:r>
              <w:rPr>
                <w:rFonts w:ascii="Times New Roman" w:hAnsi="Times New Roman" w:eastAsia="Times New Roman" w:cs="Times New Roman"/>
                <w:b/>
                <w:color w:val="000000"/>
              </w:rPr>
              <w:t>Antropologia e Poder</w:t>
            </w:r>
            <w:r>
              <w:rPr>
                <w:rFonts w:ascii="Times New Roman" w:hAnsi="Times New Roman" w:eastAsia="Times New Roman" w:cs="Times New Roman"/>
                <w:color w:val="000000"/>
              </w:rPr>
              <w:t>. Brasília: Editora Universidade de Brasília; São Paulo: Imprensa Oficial do Estado de São Paulo; Campinas: Editora Unicamp, 2003.</w:t>
            </w:r>
          </w:p>
          <w:p>
            <w:pPr>
              <w:widowControl w:val="0"/>
              <w:pBdr>
                <w:top w:val="none" w:color="auto" w:sz="0" w:space="0"/>
                <w:left w:val="none" w:color="auto" w:sz="0" w:space="0"/>
                <w:bottom w:val="none" w:color="auto" w:sz="0" w:space="0"/>
                <w:right w:val="none" w:color="auto" w:sz="0" w:space="0"/>
                <w:between w:val="none" w:color="auto" w:sz="0" w:space="0"/>
              </w:pBdr>
              <w:spacing w:before="1" w:line="348" w:lineRule="auto"/>
              <w:ind w:left="0" w:right="62"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ALEXANDER, J. Ação coletiva, cultura e sociedade civil: secularização, atualização, inversão, revisão e deslocamento do modelo clássico dos movimentos sociais. </w:t>
            </w:r>
            <w:r>
              <w:rPr>
                <w:rFonts w:ascii="Times New Roman" w:hAnsi="Times New Roman" w:eastAsia="Times New Roman" w:cs="Times New Roman"/>
                <w:b/>
                <w:color w:val="000000"/>
              </w:rPr>
              <w:t>Revista Brasileira de Ciências Sociais</w:t>
            </w:r>
            <w:r>
              <w:rPr>
                <w:rFonts w:ascii="Times New Roman" w:hAnsi="Times New Roman" w:eastAsia="Times New Roman" w:cs="Times New Roman"/>
                <w:color w:val="000000"/>
              </w:rPr>
              <w:t>. São Paulo, v 13, no 37, 5-31, junho, 1998.</w:t>
            </w:r>
          </w:p>
          <w:p>
            <w:pPr>
              <w:widowControl w:val="0"/>
              <w:pBdr>
                <w:top w:val="none" w:color="auto" w:sz="0" w:space="0"/>
                <w:left w:val="none" w:color="auto" w:sz="0" w:space="0"/>
                <w:bottom w:val="none" w:color="auto" w:sz="0" w:space="0"/>
                <w:right w:val="none" w:color="auto" w:sz="0" w:space="0"/>
                <w:between w:val="none" w:color="auto" w:sz="0" w:space="0"/>
              </w:pBdr>
              <w:spacing w:before="2" w:line="360" w:lineRule="auto"/>
              <w:ind w:left="0" w:right="69"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NEVES, D. P. (Org.). </w:t>
            </w:r>
            <w:r>
              <w:rPr>
                <w:rFonts w:ascii="Times New Roman" w:hAnsi="Times New Roman" w:eastAsia="Times New Roman" w:cs="Times New Roman"/>
                <w:b/>
                <w:color w:val="000000"/>
              </w:rPr>
              <w:t>Desenvolvimento social e mediadores políticos</w:t>
            </w:r>
            <w:r>
              <w:rPr>
                <w:rFonts w:ascii="Times New Roman" w:hAnsi="Times New Roman" w:eastAsia="Times New Roman" w:cs="Times New Roman"/>
                <w:color w:val="000000"/>
              </w:rPr>
              <w:t>. Porto Alegre: Ed. UFRGS, 2008.</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NEVEU, Érik, </w:t>
            </w:r>
            <w:r>
              <w:rPr>
                <w:rFonts w:ascii="Times New Roman" w:hAnsi="Times New Roman" w:eastAsia="Times New Roman" w:cs="Times New Roman"/>
                <w:b/>
                <w:color w:val="000000"/>
              </w:rPr>
              <w:t>Sociologie des mouvements sociaux</w:t>
            </w:r>
            <w:r>
              <w:rPr>
                <w:rFonts w:ascii="Times New Roman" w:hAnsi="Times New Roman" w:eastAsia="Times New Roman" w:cs="Times New Roman"/>
                <w:color w:val="000000"/>
              </w:rPr>
              <w:t>. Paris: Le Découverte, 2005</w:t>
            </w:r>
          </w:p>
          <w:p>
            <w:pPr>
              <w:widowControl w:val="0"/>
              <w:pBdr>
                <w:top w:val="none" w:color="auto" w:sz="0" w:space="0"/>
                <w:left w:val="none" w:color="auto" w:sz="0" w:space="0"/>
                <w:bottom w:val="none" w:color="auto" w:sz="0" w:space="0"/>
                <w:right w:val="none" w:color="auto" w:sz="0" w:space="0"/>
                <w:between w:val="none" w:color="auto" w:sz="0" w:space="0"/>
              </w:pBdr>
              <w:spacing w:before="205" w:line="240" w:lineRule="auto"/>
              <w:ind w:left="0" w:right="24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CHAMPAGNE, Patrick. </w:t>
            </w:r>
            <w:r>
              <w:rPr>
                <w:rFonts w:ascii="Times New Roman" w:hAnsi="Times New Roman" w:eastAsia="Times New Roman" w:cs="Times New Roman"/>
                <w:b/>
                <w:color w:val="000000"/>
              </w:rPr>
              <w:t>Formar a opinião: o novo jogo político</w:t>
            </w:r>
            <w:r>
              <w:rPr>
                <w:rFonts w:ascii="Times New Roman" w:hAnsi="Times New Roman" w:eastAsia="Times New Roman" w:cs="Times New Roman"/>
                <w:color w:val="000000"/>
              </w:rPr>
              <w:t>. Petrópolis: Vozes, 1996.</w:t>
            </w:r>
          </w:p>
        </w:tc>
      </w:tr>
    </w:tbl>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10" w:after="140" w:line="288" w:lineRule="auto"/>
        <w:ind w:left="0" w:leftChars="0" w:firstLine="0" w:firstLineChars="0"/>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10" w:after="140" w:line="288" w:lineRule="auto"/>
        <w:ind w:left="0" w:hanging="2"/>
        <w:rPr>
          <w:rFonts w:ascii="Times New Roman" w:hAnsi="Times New Roman" w:eastAsia="Times New Roman" w:cs="Times New Roman"/>
          <w:color w:val="000000"/>
        </w:rPr>
      </w:pPr>
    </w:p>
    <w:tbl>
      <w:tblPr>
        <w:tblStyle w:val="526"/>
        <w:tblW w:w="9021" w:type="dxa"/>
        <w:tblInd w:w="2" w:type="dxa"/>
        <w:tblLayout w:type="fixed"/>
        <w:tblCellMar>
          <w:top w:w="0" w:type="dxa"/>
          <w:left w:w="22" w:type="dxa"/>
          <w:bottom w:w="0" w:type="dxa"/>
          <w:right w:w="22" w:type="dxa"/>
        </w:tblCellMar>
      </w:tblPr>
      <w:tblGrid>
        <w:gridCol w:w="2830"/>
        <w:gridCol w:w="3243"/>
        <w:gridCol w:w="2948"/>
      </w:tblGrid>
      <w:tr>
        <w:tblPrEx>
          <w:tblCellMar>
            <w:top w:w="0" w:type="dxa"/>
            <w:left w:w="22" w:type="dxa"/>
            <w:bottom w:w="0" w:type="dxa"/>
            <w:right w:w="22" w:type="dxa"/>
          </w:tblCellMar>
        </w:tblPrEx>
        <w:trPr>
          <w:trHeight w:val="2116" w:hRule="atLeast"/>
        </w:trPr>
        <w:tc>
          <w:tcPr>
            <w:tcW w:w="6073"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w:t>
            </w:r>
          </w:p>
          <w:p>
            <w:pPr>
              <w:widowControl w:val="0"/>
              <w:pBdr>
                <w:top w:val="none" w:color="auto" w:sz="0" w:space="0"/>
                <w:left w:val="none" w:color="auto" w:sz="0" w:space="0"/>
                <w:bottom w:val="none" w:color="auto" w:sz="0" w:space="0"/>
                <w:right w:val="none" w:color="auto" w:sz="0" w:space="0"/>
                <w:between w:val="none" w:color="auto" w:sz="0" w:space="0"/>
              </w:pBdr>
              <w:spacing w:before="14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Seminário em História da Arte IV</w:t>
            </w:r>
          </w:p>
          <w:p>
            <w:pPr>
              <w:widowControl w:val="0"/>
              <w:pBdr>
                <w:top w:val="none" w:color="auto" w:sz="0" w:space="0"/>
                <w:left w:val="none" w:color="auto" w:sz="0" w:space="0"/>
                <w:bottom w:val="none" w:color="auto" w:sz="0" w:space="0"/>
                <w:right w:val="none" w:color="auto" w:sz="0" w:space="0"/>
                <w:between w:val="none" w:color="auto" w:sz="0" w:space="0"/>
              </w:pBdr>
              <w:spacing w:before="5"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before="1" w:line="240" w:lineRule="auto"/>
              <w:ind w:left="0" w:right="885"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Seminar in History of Art IV</w:t>
            </w:r>
          </w:p>
        </w:tc>
        <w:tc>
          <w:tcPr>
            <w:tcW w:w="2948"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HIS090</w:t>
            </w:r>
          </w:p>
        </w:tc>
      </w:tr>
      <w:tr>
        <w:tblPrEx>
          <w:tblCellMar>
            <w:top w:w="0" w:type="dxa"/>
            <w:left w:w="22" w:type="dxa"/>
            <w:bottom w:w="0" w:type="dxa"/>
            <w:right w:w="22" w:type="dxa"/>
          </w:tblCellMar>
        </w:tblPrEx>
        <w:trPr>
          <w:trHeight w:val="825" w:hRule="atLeast"/>
        </w:trPr>
        <w:tc>
          <w:tcPr>
            <w:tcW w:w="6073"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DEHIS</w:t>
            </w:r>
          </w:p>
        </w:tc>
        <w:tc>
          <w:tcPr>
            <w:tcW w:w="2948"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ICHS</w:t>
            </w:r>
          </w:p>
        </w:tc>
      </w:tr>
      <w:tr>
        <w:tblPrEx>
          <w:tblCellMar>
            <w:top w:w="0" w:type="dxa"/>
            <w:left w:w="22" w:type="dxa"/>
            <w:bottom w:w="0" w:type="dxa"/>
            <w:right w:w="22" w:type="dxa"/>
          </w:tblCellMar>
        </w:tblPrEx>
        <w:trPr>
          <w:trHeight w:val="1242" w:hRule="atLeast"/>
        </w:trPr>
        <w:tc>
          <w:tcPr>
            <w:tcW w:w="2830"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3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45"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Semestral</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45"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3243"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2948"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02 horas/aula</w:t>
            </w:r>
          </w:p>
        </w:tc>
      </w:tr>
      <w:tr>
        <w:tblPrEx>
          <w:tblCellMar>
            <w:top w:w="0" w:type="dxa"/>
            <w:left w:w="22" w:type="dxa"/>
            <w:bottom w:w="0" w:type="dxa"/>
            <w:right w:w="22" w:type="dxa"/>
          </w:tblCellMar>
        </w:tblPrEx>
        <w:trPr>
          <w:trHeight w:val="830"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Ementa: Tópicos em História da Arte, voltados à análise teórico-metodológica de</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imagens.</w:t>
            </w:r>
          </w:p>
        </w:tc>
      </w:tr>
      <w:tr>
        <w:tblPrEx>
          <w:tblCellMar>
            <w:top w:w="0" w:type="dxa"/>
            <w:left w:w="22" w:type="dxa"/>
            <w:bottom w:w="0" w:type="dxa"/>
            <w:right w:w="22" w:type="dxa"/>
          </w:tblCellMar>
        </w:tblPrEx>
        <w:trPr>
          <w:trHeight w:val="1243"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numPr>
                <w:ilvl w:val="0"/>
                <w:numId w:val="34"/>
              </w:numPr>
              <w:pBdr>
                <w:top w:val="none" w:color="auto" w:sz="0" w:space="0"/>
                <w:left w:val="none" w:color="auto" w:sz="0" w:space="0"/>
                <w:bottom w:val="none" w:color="auto" w:sz="0" w:space="0"/>
                <w:right w:val="none" w:color="auto" w:sz="0" w:space="0"/>
                <w:between w:val="none" w:color="auto" w:sz="0" w:space="0"/>
              </w:pBdr>
              <w:tabs>
                <w:tab w:val="left" w:pos="0"/>
                <w:tab w:val="left" w:pos="357"/>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rPr>
              <w:t xml:space="preserve">- </w:t>
            </w:r>
            <w:r>
              <w:rPr>
                <w:rFonts w:ascii="Times New Roman" w:hAnsi="Times New Roman" w:eastAsia="Times New Roman" w:cs="Times New Roman"/>
                <w:color w:val="000000"/>
              </w:rPr>
              <w:t>Imagem e percepção</w:t>
            </w:r>
          </w:p>
          <w:p>
            <w:pPr>
              <w:widowControl w:val="0"/>
              <w:numPr>
                <w:ilvl w:val="0"/>
                <w:numId w:val="34"/>
              </w:numPr>
              <w:pBdr>
                <w:top w:val="none" w:color="auto" w:sz="0" w:space="0"/>
                <w:left w:val="none" w:color="auto" w:sz="0" w:space="0"/>
                <w:bottom w:val="none" w:color="auto" w:sz="0" w:space="0"/>
                <w:right w:val="none" w:color="auto" w:sz="0" w:space="0"/>
                <w:between w:val="none" w:color="auto" w:sz="0" w:space="0"/>
              </w:pBdr>
              <w:tabs>
                <w:tab w:val="left" w:pos="0"/>
                <w:tab w:val="left" w:pos="357"/>
              </w:tabs>
              <w:spacing w:before="136"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rPr>
              <w:t xml:space="preserve">- </w:t>
            </w:r>
            <w:r>
              <w:rPr>
                <w:rFonts w:ascii="Times New Roman" w:hAnsi="Times New Roman" w:eastAsia="Times New Roman" w:cs="Times New Roman"/>
                <w:color w:val="000000"/>
              </w:rPr>
              <w:t>Condições de produção, circulação e consumo de imagens</w:t>
            </w:r>
          </w:p>
        </w:tc>
      </w:tr>
      <w:tr>
        <w:tblPrEx>
          <w:tblCellMar>
            <w:top w:w="0" w:type="dxa"/>
            <w:left w:w="22" w:type="dxa"/>
            <w:bottom w:w="0" w:type="dxa"/>
            <w:right w:w="22" w:type="dxa"/>
          </w:tblCellMar>
        </w:tblPrEx>
        <w:trPr>
          <w:trHeight w:val="4968"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right="7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BAXANDALL, Michael. </w:t>
            </w:r>
            <w:r>
              <w:rPr>
                <w:rFonts w:ascii="Times New Roman" w:hAnsi="Times New Roman" w:eastAsia="Times New Roman" w:cs="Times New Roman"/>
                <w:b/>
                <w:color w:val="000000"/>
              </w:rPr>
              <w:t>Padrões de intenção</w:t>
            </w:r>
            <w:r>
              <w:rPr>
                <w:rFonts w:ascii="Times New Roman" w:hAnsi="Times New Roman" w:eastAsia="Times New Roman" w:cs="Times New Roman"/>
                <w:color w:val="000000"/>
              </w:rPr>
              <w:t>. Trad. São Paulo: Cia. das Letras, 2005. Biblioteca: 75.01 B355p (ICHS) [2006].</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9"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GOMBRICH, E. H. </w:t>
            </w:r>
            <w:r>
              <w:rPr>
                <w:rFonts w:ascii="Times New Roman" w:hAnsi="Times New Roman" w:eastAsia="Times New Roman" w:cs="Times New Roman"/>
                <w:b/>
                <w:color w:val="000000"/>
              </w:rPr>
              <w:t xml:space="preserve">Arte e ilusão, </w:t>
            </w:r>
            <w:r>
              <w:rPr>
                <w:rFonts w:ascii="Times New Roman" w:hAnsi="Times New Roman" w:eastAsia="Times New Roman" w:cs="Times New Roman"/>
                <w:color w:val="000000"/>
              </w:rPr>
              <w:t>trad., São Paulo: Martins Fontes, 2007.Biblioteca: 7.01:159.937 G632a2007.</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JOLY, Martine. </w:t>
            </w:r>
            <w:r>
              <w:rPr>
                <w:rFonts w:ascii="Times New Roman" w:hAnsi="Times New Roman" w:eastAsia="Times New Roman" w:cs="Times New Roman"/>
                <w:b/>
                <w:color w:val="000000"/>
              </w:rPr>
              <w:t xml:space="preserve">Introdução à análise da imagem, </w:t>
            </w:r>
            <w:r>
              <w:rPr>
                <w:rFonts w:ascii="Times New Roman" w:hAnsi="Times New Roman" w:eastAsia="Times New Roman" w:cs="Times New Roman"/>
                <w:color w:val="000000"/>
              </w:rPr>
              <w:t>trad., 10ª ed., São Paulo: Papirus, 1996. Biblioteca: 81'22 J758i 2009.</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7"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MENESES, Ulpiano Toledo. Fontes visuais, cultura visual, História visual. Balanço provisório, propostas cautelares, </w:t>
            </w:r>
            <w:r>
              <w:rPr>
                <w:rFonts w:ascii="Times New Roman" w:hAnsi="Times New Roman" w:eastAsia="Times New Roman" w:cs="Times New Roman"/>
                <w:b/>
                <w:color w:val="000000"/>
              </w:rPr>
              <w:t xml:space="preserve">Revista Brasileira de História, </w:t>
            </w:r>
            <w:r>
              <w:rPr>
                <w:rFonts w:ascii="Times New Roman" w:hAnsi="Times New Roman" w:eastAsia="Times New Roman" w:cs="Times New Roman"/>
                <w:color w:val="000000"/>
              </w:rPr>
              <w:t>São Paulo, n. 45, v. 23, 2003, p. 11-36. Online.</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PANOFSKY, Erwin. </w:t>
            </w:r>
            <w:r>
              <w:rPr>
                <w:rFonts w:ascii="Times New Roman" w:hAnsi="Times New Roman" w:eastAsia="Times New Roman" w:cs="Times New Roman"/>
                <w:b/>
                <w:color w:val="000000"/>
              </w:rPr>
              <w:t xml:space="preserve">Estudos de iconologia, </w:t>
            </w:r>
            <w:r>
              <w:rPr>
                <w:rFonts w:ascii="Times New Roman" w:hAnsi="Times New Roman" w:eastAsia="Times New Roman" w:cs="Times New Roman"/>
                <w:color w:val="000000"/>
              </w:rPr>
              <w:t>trad., 2ª ed., Lisboa: Estampa, 1995.</w:t>
            </w:r>
          </w:p>
          <w:p>
            <w:pPr>
              <w:widowControl w:val="0"/>
              <w:pBdr>
                <w:top w:val="none" w:color="auto" w:sz="0" w:space="0"/>
                <w:left w:val="none" w:color="auto" w:sz="0" w:space="0"/>
                <w:bottom w:val="none" w:color="auto" w:sz="0" w:space="0"/>
                <w:right w:val="none" w:color="auto" w:sz="0" w:space="0"/>
                <w:between w:val="none" w:color="auto" w:sz="0" w:space="0"/>
              </w:pBdr>
              <w:spacing w:before="129"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Biblioteca: 7.041 P195e (IFAC) 1995.</w:t>
            </w:r>
          </w:p>
        </w:tc>
      </w:tr>
      <w:tr>
        <w:tblPrEx>
          <w:tblCellMar>
            <w:top w:w="0" w:type="dxa"/>
            <w:left w:w="22" w:type="dxa"/>
            <w:bottom w:w="0" w:type="dxa"/>
            <w:right w:w="22" w:type="dxa"/>
          </w:tblCellMar>
        </w:tblPrEx>
        <w:trPr>
          <w:trHeight w:val="4595"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CAUQUELIN, Anne. </w:t>
            </w:r>
            <w:r>
              <w:rPr>
                <w:rFonts w:ascii="Times New Roman" w:hAnsi="Times New Roman" w:eastAsia="Times New Roman" w:cs="Times New Roman"/>
                <w:b/>
                <w:color w:val="000000"/>
              </w:rPr>
              <w:t>Teorias da arte</w:t>
            </w:r>
            <w:r>
              <w:rPr>
                <w:rFonts w:ascii="Times New Roman" w:hAnsi="Times New Roman" w:eastAsia="Times New Roman" w:cs="Times New Roman"/>
                <w:color w:val="000000"/>
              </w:rPr>
              <w:t>. Trad. São Paulo: Martins Fontes, 2005. Bibliografia: 7.01 C373t (DEMUS).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HANSEN, João Adolfo. </w:t>
            </w:r>
            <w:r>
              <w:rPr>
                <w:rFonts w:ascii="Times New Roman" w:hAnsi="Times New Roman" w:eastAsia="Times New Roman" w:cs="Times New Roman"/>
                <w:b/>
                <w:color w:val="000000"/>
              </w:rPr>
              <w:t xml:space="preserve">Alegoria, </w:t>
            </w:r>
            <w:r>
              <w:rPr>
                <w:rFonts w:ascii="Times New Roman" w:hAnsi="Times New Roman" w:eastAsia="Times New Roman" w:cs="Times New Roman"/>
                <w:color w:val="000000"/>
              </w:rPr>
              <w:t>São Paulo: Hedra, Campinas/SP: Ed. Unicamp, 2006. Bibliografia: 111.852 H198a (ICHS) 2006.</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FOUCAULT, Michel. </w:t>
            </w:r>
            <w:r>
              <w:rPr>
                <w:rFonts w:ascii="Times New Roman" w:hAnsi="Times New Roman" w:eastAsia="Times New Roman" w:cs="Times New Roman"/>
                <w:b/>
                <w:color w:val="000000"/>
              </w:rPr>
              <w:t xml:space="preserve">Isto não é um cachimbo. </w:t>
            </w:r>
            <w:r>
              <w:rPr>
                <w:rFonts w:ascii="Times New Roman" w:hAnsi="Times New Roman" w:eastAsia="Times New Roman" w:cs="Times New Roman"/>
                <w:color w:val="000000"/>
              </w:rPr>
              <w:t>Trad. 4ª ed. São Paulo: Paz e terra,</w:t>
            </w:r>
          </w:p>
          <w:p>
            <w:pPr>
              <w:widowControl w:val="0"/>
              <w:pBdr>
                <w:top w:val="none" w:color="auto" w:sz="0" w:space="0"/>
                <w:left w:val="none" w:color="auto" w:sz="0" w:space="0"/>
                <w:bottom w:val="none" w:color="auto" w:sz="0" w:space="0"/>
                <w:right w:val="none" w:color="auto" w:sz="0" w:space="0"/>
                <w:between w:val="none" w:color="auto" w:sz="0" w:space="0"/>
              </w:pBdr>
              <w:spacing w:before="134"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2007. Biblioteca: 1(44) F762i 2002.</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GINZBURG, Carlo. </w:t>
            </w:r>
            <w:r>
              <w:rPr>
                <w:rFonts w:ascii="Times New Roman" w:hAnsi="Times New Roman" w:eastAsia="Times New Roman" w:cs="Times New Roman"/>
                <w:b/>
                <w:color w:val="000000"/>
              </w:rPr>
              <w:t xml:space="preserve">Olhos de madeira, </w:t>
            </w:r>
            <w:r>
              <w:rPr>
                <w:rFonts w:ascii="Times New Roman" w:hAnsi="Times New Roman" w:eastAsia="Times New Roman" w:cs="Times New Roman"/>
                <w:color w:val="000000"/>
              </w:rPr>
              <w:t>trad., São Paulo: Cia. das Letras, 2001. Biblioteca: 130.2:7.01 G493o (ICHS) 2009.</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PRETTE, M. C. </w:t>
            </w:r>
            <w:r>
              <w:rPr>
                <w:rFonts w:ascii="Times New Roman" w:hAnsi="Times New Roman" w:eastAsia="Times New Roman" w:cs="Times New Roman"/>
                <w:b/>
                <w:color w:val="000000"/>
              </w:rPr>
              <w:t>Para entender a arte</w:t>
            </w:r>
            <w:r>
              <w:rPr>
                <w:rFonts w:ascii="Times New Roman" w:hAnsi="Times New Roman" w:eastAsia="Times New Roman" w:cs="Times New Roman"/>
                <w:color w:val="000000"/>
              </w:rPr>
              <w:t>, São Paulo: Globo, 2008.</w:t>
            </w:r>
          </w:p>
          <w:p>
            <w:pPr>
              <w:widowControl w:val="0"/>
              <w:pBdr>
                <w:top w:val="none" w:color="auto" w:sz="0" w:space="0"/>
                <w:left w:val="none" w:color="auto" w:sz="0" w:space="0"/>
                <w:bottom w:val="none" w:color="auto" w:sz="0" w:space="0"/>
                <w:right w:val="none" w:color="auto" w:sz="0" w:space="0"/>
                <w:between w:val="none" w:color="auto" w:sz="0" w:space="0"/>
              </w:pBdr>
              <w:spacing w:before="128"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SUDJIC, D. </w:t>
            </w:r>
            <w:r>
              <w:rPr>
                <w:rFonts w:ascii="Times New Roman" w:hAnsi="Times New Roman" w:eastAsia="Times New Roman" w:cs="Times New Roman"/>
                <w:i/>
                <w:color w:val="000000"/>
              </w:rPr>
              <w:t xml:space="preserve">A </w:t>
            </w:r>
            <w:r>
              <w:rPr>
                <w:rFonts w:ascii="Times New Roman" w:hAnsi="Times New Roman" w:eastAsia="Times New Roman" w:cs="Times New Roman"/>
                <w:b/>
                <w:color w:val="000000"/>
              </w:rPr>
              <w:t>linguagem das coisas</w:t>
            </w:r>
            <w:r>
              <w:rPr>
                <w:rFonts w:ascii="Times New Roman" w:hAnsi="Times New Roman" w:eastAsia="Times New Roman" w:cs="Times New Roman"/>
                <w:color w:val="000000"/>
              </w:rPr>
              <w:t>, trad., Rio de Janeiro: Intrínseca, 2010.</w:t>
            </w:r>
          </w:p>
        </w:tc>
      </w:tr>
    </w:tbl>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10" w:after="14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10" w:after="140" w:line="288" w:lineRule="auto"/>
        <w:ind w:left="0" w:hanging="2"/>
        <w:rPr>
          <w:rFonts w:ascii="Times New Roman" w:hAnsi="Times New Roman" w:eastAsia="Times New Roman" w:cs="Times New Roman"/>
          <w:color w:val="000000"/>
        </w:rPr>
      </w:pPr>
    </w:p>
    <w:tbl>
      <w:tblPr>
        <w:tblStyle w:val="527"/>
        <w:tblW w:w="9021" w:type="dxa"/>
        <w:tblInd w:w="2" w:type="dxa"/>
        <w:tblLayout w:type="fixed"/>
        <w:tblCellMar>
          <w:top w:w="0" w:type="dxa"/>
          <w:left w:w="22" w:type="dxa"/>
          <w:bottom w:w="0" w:type="dxa"/>
          <w:right w:w="5" w:type="dxa"/>
        </w:tblCellMar>
      </w:tblPr>
      <w:tblGrid>
        <w:gridCol w:w="2830"/>
        <w:gridCol w:w="3243"/>
        <w:gridCol w:w="2948"/>
      </w:tblGrid>
      <w:tr>
        <w:tblPrEx>
          <w:tblCellMar>
            <w:top w:w="0" w:type="dxa"/>
            <w:left w:w="22" w:type="dxa"/>
            <w:bottom w:w="0" w:type="dxa"/>
            <w:right w:w="5" w:type="dxa"/>
          </w:tblCellMar>
        </w:tblPrEx>
        <w:trPr>
          <w:trHeight w:val="2073" w:hRule="atLeast"/>
        </w:trPr>
        <w:tc>
          <w:tcPr>
            <w:tcW w:w="6073"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868"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Seminário em História da Arte V</w:t>
            </w:r>
          </w:p>
          <w:p>
            <w:pPr>
              <w:widowControl w:val="0"/>
              <w:pBdr>
                <w:top w:val="none" w:color="auto" w:sz="0" w:space="0"/>
                <w:left w:val="none" w:color="auto" w:sz="0" w:space="0"/>
                <w:bottom w:val="none" w:color="auto" w:sz="0" w:space="0"/>
                <w:right w:val="none" w:color="auto" w:sz="0" w:space="0"/>
                <w:between w:val="none" w:color="auto" w:sz="0" w:space="0"/>
              </w:pBdr>
              <w:spacing w:before="2"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885"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Seminar in History of Art V</w:t>
            </w:r>
          </w:p>
        </w:tc>
        <w:tc>
          <w:tcPr>
            <w:tcW w:w="2948"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HIS091</w:t>
            </w:r>
          </w:p>
        </w:tc>
      </w:tr>
      <w:tr>
        <w:tblPrEx>
          <w:tblCellMar>
            <w:top w:w="0" w:type="dxa"/>
            <w:left w:w="22" w:type="dxa"/>
            <w:bottom w:w="0" w:type="dxa"/>
            <w:right w:w="5" w:type="dxa"/>
          </w:tblCellMar>
        </w:tblPrEx>
        <w:trPr>
          <w:trHeight w:val="825" w:hRule="atLeast"/>
        </w:trPr>
        <w:tc>
          <w:tcPr>
            <w:tcW w:w="6073"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DEHIS</w:t>
            </w:r>
          </w:p>
        </w:tc>
        <w:tc>
          <w:tcPr>
            <w:tcW w:w="2948"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ICHS</w:t>
            </w:r>
          </w:p>
        </w:tc>
      </w:tr>
      <w:tr>
        <w:tblPrEx>
          <w:tblCellMar>
            <w:top w:w="0" w:type="dxa"/>
            <w:left w:w="22" w:type="dxa"/>
            <w:bottom w:w="0" w:type="dxa"/>
            <w:right w:w="5" w:type="dxa"/>
          </w:tblCellMar>
        </w:tblPrEx>
        <w:trPr>
          <w:trHeight w:val="1243" w:hRule="atLeast"/>
        </w:trPr>
        <w:tc>
          <w:tcPr>
            <w:tcW w:w="2830"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3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right="645"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semestral </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right="645"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3243"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2948"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02 horas/aula</w:t>
            </w:r>
          </w:p>
        </w:tc>
      </w:tr>
      <w:tr>
        <w:tblPrEx>
          <w:tblCellMar>
            <w:top w:w="0" w:type="dxa"/>
            <w:left w:w="22" w:type="dxa"/>
            <w:bottom w:w="0" w:type="dxa"/>
            <w:right w:w="5" w:type="dxa"/>
          </w:tblCellMar>
        </w:tblPrEx>
        <w:trPr>
          <w:trHeight w:val="830"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Ementa: Tópicos em História da Arte, voltados à análise de suas condições sociais e</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políticas.</w:t>
            </w:r>
          </w:p>
        </w:tc>
      </w:tr>
      <w:tr>
        <w:tblPrEx>
          <w:tblCellMar>
            <w:top w:w="0" w:type="dxa"/>
            <w:left w:w="22" w:type="dxa"/>
            <w:bottom w:w="0" w:type="dxa"/>
            <w:right w:w="5" w:type="dxa"/>
          </w:tblCellMar>
        </w:tblPrEx>
        <w:trPr>
          <w:trHeight w:val="1655"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numPr>
                <w:ilvl w:val="0"/>
                <w:numId w:val="35"/>
              </w:numPr>
              <w:pBdr>
                <w:top w:val="none" w:color="auto" w:sz="0" w:space="0"/>
                <w:left w:val="none" w:color="auto" w:sz="0" w:space="0"/>
                <w:bottom w:val="none" w:color="auto" w:sz="0" w:space="0"/>
                <w:right w:val="none" w:color="auto" w:sz="0" w:space="0"/>
                <w:between w:val="none" w:color="auto" w:sz="0" w:space="0"/>
              </w:pBdr>
              <w:tabs>
                <w:tab w:val="left" w:pos="0"/>
                <w:tab w:val="left" w:pos="357"/>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Arte e sociedade</w:t>
            </w:r>
          </w:p>
          <w:p>
            <w:pPr>
              <w:widowControl w:val="0"/>
              <w:numPr>
                <w:ilvl w:val="0"/>
                <w:numId w:val="35"/>
              </w:numPr>
              <w:pBdr>
                <w:top w:val="none" w:color="auto" w:sz="0" w:space="0"/>
                <w:left w:val="none" w:color="auto" w:sz="0" w:space="0"/>
                <w:bottom w:val="none" w:color="auto" w:sz="0" w:space="0"/>
                <w:right w:val="none" w:color="auto" w:sz="0" w:space="0"/>
                <w:between w:val="none" w:color="auto" w:sz="0" w:space="0"/>
              </w:pBdr>
              <w:tabs>
                <w:tab w:val="left" w:pos="0"/>
                <w:tab w:val="left" w:pos="357"/>
              </w:tabs>
              <w:spacing w:before="136"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Arte e política</w:t>
            </w:r>
          </w:p>
          <w:p>
            <w:pPr>
              <w:widowControl w:val="0"/>
              <w:numPr>
                <w:ilvl w:val="0"/>
                <w:numId w:val="35"/>
              </w:numPr>
              <w:pBdr>
                <w:top w:val="none" w:color="auto" w:sz="0" w:space="0"/>
                <w:left w:val="none" w:color="auto" w:sz="0" w:space="0"/>
                <w:bottom w:val="none" w:color="auto" w:sz="0" w:space="0"/>
                <w:right w:val="none" w:color="auto" w:sz="0" w:space="0"/>
                <w:between w:val="none" w:color="auto" w:sz="0" w:space="0"/>
              </w:pBdr>
              <w:tabs>
                <w:tab w:val="left" w:pos="0"/>
                <w:tab w:val="left" w:pos="357"/>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Arte e crítica</w:t>
            </w:r>
          </w:p>
        </w:tc>
      </w:tr>
      <w:tr>
        <w:tblPrEx>
          <w:tblCellMar>
            <w:top w:w="0" w:type="dxa"/>
            <w:left w:w="22" w:type="dxa"/>
            <w:bottom w:w="0" w:type="dxa"/>
            <w:right w:w="5" w:type="dxa"/>
          </w:tblCellMar>
        </w:tblPrEx>
        <w:trPr>
          <w:trHeight w:val="3413"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139"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BENJAMIN, W. </w:t>
            </w:r>
            <w:r>
              <w:rPr>
                <w:rFonts w:ascii="Times New Roman" w:hAnsi="Times New Roman" w:eastAsia="Times New Roman" w:cs="Times New Roman"/>
                <w:b/>
                <w:color w:val="000000"/>
              </w:rPr>
              <w:t xml:space="preserve">Obras Escolhidas. </w:t>
            </w:r>
            <w:r>
              <w:rPr>
                <w:rFonts w:ascii="Times New Roman" w:hAnsi="Times New Roman" w:eastAsia="Times New Roman" w:cs="Times New Roman"/>
                <w:color w:val="000000"/>
              </w:rPr>
              <w:t>Magia e Técnica, Arte e Política, trad., 4ª ed., São Paulo, Brasiliense, 1990. Biblioteca:</w:t>
            </w:r>
          </w:p>
          <w:p>
            <w:pPr>
              <w:widowControl w:val="0"/>
              <w:pBdr>
                <w:top w:val="none" w:color="auto" w:sz="0" w:space="0"/>
                <w:left w:val="none" w:color="auto" w:sz="0" w:space="0"/>
                <w:bottom w:val="none" w:color="auto" w:sz="0" w:space="0"/>
                <w:right w:val="none" w:color="auto" w:sz="0" w:space="0"/>
                <w:between w:val="none" w:color="auto" w:sz="0" w:space="0"/>
              </w:pBdr>
              <w:spacing w:before="8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1(430) B468m (ICHS) 1986 V.1.</w:t>
            </w:r>
          </w:p>
          <w:p>
            <w:pPr>
              <w:widowControl w:val="0"/>
              <w:pBdr>
                <w:top w:val="none" w:color="auto" w:sz="0" w:space="0"/>
                <w:left w:val="none" w:color="auto" w:sz="0" w:space="0"/>
                <w:bottom w:val="none" w:color="auto" w:sz="0" w:space="0"/>
                <w:right w:val="none" w:color="auto" w:sz="0" w:space="0"/>
                <w:between w:val="none" w:color="auto" w:sz="0" w:space="0"/>
              </w:pBdr>
              <w:spacing w:before="142" w:line="360" w:lineRule="auto"/>
              <w:ind w:left="0" w:right="16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NAVES, Rodrigo. </w:t>
            </w:r>
            <w:r>
              <w:rPr>
                <w:rFonts w:ascii="Times New Roman" w:hAnsi="Times New Roman" w:eastAsia="Times New Roman" w:cs="Times New Roman"/>
                <w:b/>
                <w:color w:val="000000"/>
              </w:rPr>
              <w:t xml:space="preserve">A forma difícil, </w:t>
            </w:r>
            <w:r>
              <w:rPr>
                <w:rFonts w:ascii="Times New Roman" w:hAnsi="Times New Roman" w:eastAsia="Times New Roman" w:cs="Times New Roman"/>
                <w:color w:val="000000"/>
              </w:rPr>
              <w:t>São Paulo: Ártica, 1996. Biblioteca: 7(81) N323f (ICSA) 2011.</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93"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SCHAMA, Simon. </w:t>
            </w:r>
            <w:r>
              <w:rPr>
                <w:rFonts w:ascii="Times New Roman" w:hAnsi="Times New Roman" w:eastAsia="Times New Roman" w:cs="Times New Roman"/>
                <w:b/>
                <w:color w:val="000000"/>
              </w:rPr>
              <w:t>O poder da arte</w:t>
            </w:r>
            <w:r>
              <w:rPr>
                <w:rFonts w:ascii="Times New Roman" w:hAnsi="Times New Roman" w:eastAsia="Times New Roman" w:cs="Times New Roman"/>
                <w:color w:val="000000"/>
              </w:rPr>
              <w:t xml:space="preserve">. Trad. São Paulo: Cia. das Letras, 2010. SONTAG, S. </w:t>
            </w:r>
            <w:r>
              <w:rPr>
                <w:rFonts w:ascii="Times New Roman" w:hAnsi="Times New Roman" w:eastAsia="Times New Roman" w:cs="Times New Roman"/>
                <w:b/>
                <w:color w:val="000000"/>
              </w:rPr>
              <w:t xml:space="preserve">Diante da dor dos outros, </w:t>
            </w:r>
            <w:r>
              <w:rPr>
                <w:rFonts w:ascii="Times New Roman" w:hAnsi="Times New Roman" w:eastAsia="Times New Roman" w:cs="Times New Roman"/>
                <w:color w:val="000000"/>
              </w:rPr>
              <w:t>trad., São Paulo: Cia. das Letras, 2003.</w:t>
            </w:r>
          </w:p>
          <w:p>
            <w:pPr>
              <w:widowControl w:val="0"/>
              <w:pBdr>
                <w:top w:val="none" w:color="auto" w:sz="0" w:space="0"/>
                <w:left w:val="none" w:color="auto" w:sz="0" w:space="0"/>
                <w:bottom w:val="none" w:color="auto" w:sz="0" w:space="0"/>
                <w:right w:val="none" w:color="auto" w:sz="0" w:space="0"/>
                <w:between w:val="none" w:color="auto" w:sz="0" w:space="0"/>
              </w:pBdr>
              <w:spacing w:before="2"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Biblioteca: 820(73) -4 S699d 2005.</w:t>
            </w:r>
          </w:p>
        </w:tc>
      </w:tr>
      <w:tr>
        <w:tblPrEx>
          <w:tblCellMar>
            <w:top w:w="0" w:type="dxa"/>
            <w:left w:w="22" w:type="dxa"/>
            <w:bottom w:w="0" w:type="dxa"/>
            <w:right w:w="5" w:type="dxa"/>
          </w:tblCellMar>
        </w:tblPrEx>
        <w:trPr>
          <w:trHeight w:val="1242"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before="2"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ARGAN, G. C. </w:t>
            </w:r>
            <w:r>
              <w:rPr>
                <w:rFonts w:ascii="Times New Roman" w:hAnsi="Times New Roman" w:eastAsia="Times New Roman" w:cs="Times New Roman"/>
                <w:b/>
                <w:color w:val="000000"/>
              </w:rPr>
              <w:t xml:space="preserve">História da Arte como história da cidade, </w:t>
            </w:r>
            <w:r>
              <w:rPr>
                <w:rFonts w:ascii="Times New Roman" w:hAnsi="Times New Roman" w:eastAsia="Times New Roman" w:cs="Times New Roman"/>
                <w:color w:val="000000"/>
              </w:rPr>
              <w:t>trad., São Paulo: Martins Fontes, 1986. Biblioteca: 7(091) A686h (ICHS) [1992].</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60" w:hanging="2"/>
              <w:rPr>
                <w:rFonts w:ascii="Times New Roman" w:hAnsi="Times New Roman" w:eastAsia="Times New Roman" w:cs="Times New Roman"/>
                <w:color w:val="000000"/>
              </w:rPr>
            </w:pPr>
            <w:r>
              <w:rPr>
                <w:rFonts w:ascii="Times New Roman" w:hAnsi="Times New Roman" w:eastAsia="Times New Roman" w:cs="Times New Roman"/>
                <w:b/>
                <w:color w:val="000000"/>
              </w:rPr>
              <w:t xml:space="preserve">Conceitos de arte moderna. </w:t>
            </w:r>
            <w:r>
              <w:rPr>
                <w:rFonts w:ascii="Times New Roman" w:hAnsi="Times New Roman" w:eastAsia="Times New Roman" w:cs="Times New Roman"/>
                <w:color w:val="000000"/>
              </w:rPr>
              <w:t>Trad. Riode Janeiro: Jorge Zahar Ed., 2000. Biblioteca: 7.036 C744 (ICHS)c1991.</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EAGLETON, T.</w:t>
            </w:r>
            <w:r>
              <w:rPr>
                <w:rFonts w:ascii="Times New Roman" w:hAnsi="Times New Roman" w:eastAsia="Times New Roman" w:cs="Times New Roman"/>
                <w:b/>
                <w:color w:val="000000"/>
              </w:rPr>
              <w:t xml:space="preserve">Teoria da literatura. </w:t>
            </w:r>
            <w:r>
              <w:rPr>
                <w:rFonts w:ascii="Times New Roman" w:hAnsi="Times New Roman" w:eastAsia="Times New Roman" w:cs="Times New Roman"/>
                <w:color w:val="000000"/>
              </w:rPr>
              <w:t>Uma introdução, trad., São Paulo: Martins Fontes, 2001. Biblioteca: 82.0 E118t 2001 (ICHS).</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FARTHING, Stephen (Ed</w:t>
            </w:r>
            <w:r>
              <w:rPr>
                <w:rFonts w:ascii="Times New Roman" w:hAnsi="Times New Roman" w:eastAsia="Times New Roman" w:cs="Times New Roman"/>
                <w:b/>
                <w:color w:val="000000"/>
              </w:rPr>
              <w:t xml:space="preserve">.). Tudo sobre arte. </w:t>
            </w:r>
            <w:r>
              <w:rPr>
                <w:rFonts w:ascii="Times New Roman" w:hAnsi="Times New Roman" w:eastAsia="Times New Roman" w:cs="Times New Roman"/>
                <w:color w:val="000000"/>
              </w:rPr>
              <w:t>Trad. Eixo de Janeiro: Sextante, 2011.</w:t>
            </w:r>
          </w:p>
          <w:p>
            <w:pPr>
              <w:widowControl w:val="0"/>
              <w:pBdr>
                <w:top w:val="none" w:color="auto" w:sz="0" w:space="0"/>
                <w:left w:val="none" w:color="auto" w:sz="0" w:space="0"/>
                <w:bottom w:val="none" w:color="auto" w:sz="0" w:space="0"/>
                <w:right w:val="none" w:color="auto" w:sz="0" w:space="0"/>
                <w:between w:val="none" w:color="auto" w:sz="0" w:space="0"/>
              </w:pBdr>
              <w:spacing w:before="2"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RANCIÈRE, Jacques. </w:t>
            </w:r>
            <w:r>
              <w:rPr>
                <w:rFonts w:ascii="Times New Roman" w:hAnsi="Times New Roman" w:eastAsia="Times New Roman" w:cs="Times New Roman"/>
                <w:b/>
                <w:color w:val="000000"/>
              </w:rPr>
              <w:t xml:space="preserve">A partilha do sensível. </w:t>
            </w:r>
            <w:r>
              <w:rPr>
                <w:rFonts w:ascii="Times New Roman" w:hAnsi="Times New Roman" w:eastAsia="Times New Roman" w:cs="Times New Roman"/>
                <w:color w:val="000000"/>
              </w:rPr>
              <w:t>Trad. 2ª ed. São Paulo: Editora 34, 2009. Biblioteca: 1(44) R185p 2005.</w:t>
            </w:r>
          </w:p>
        </w:tc>
      </w:tr>
    </w:tbl>
    <w:p>
      <w:pPr>
        <w:ind w:left="0" w:hanging="2"/>
        <w:rPr>
          <w:rFonts w:ascii="Times New Roman" w:hAnsi="Times New Roman" w:eastAsia="Times New Roman" w:cs="Times New Roman"/>
        </w:rPr>
      </w:pPr>
    </w:p>
    <w:p>
      <w:pPr>
        <w:pBdr>
          <w:top w:val="none" w:color="auto" w:sz="0" w:space="0"/>
          <w:left w:val="none" w:color="auto" w:sz="0" w:space="0"/>
          <w:bottom w:val="none" w:color="auto" w:sz="0" w:space="0"/>
          <w:right w:val="none" w:color="auto" w:sz="0" w:space="0"/>
          <w:between w:val="none" w:color="auto" w:sz="0" w:space="0"/>
        </w:pBdr>
        <w:spacing w:before="10" w:after="14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10" w:after="140" w:line="288" w:lineRule="auto"/>
        <w:ind w:left="0" w:hanging="2"/>
        <w:rPr>
          <w:rFonts w:ascii="Times New Roman" w:hAnsi="Times New Roman" w:eastAsia="Times New Roman" w:cs="Times New Roman"/>
          <w:color w:val="000000"/>
        </w:rPr>
      </w:pPr>
    </w:p>
    <w:tbl>
      <w:tblPr>
        <w:tblStyle w:val="528"/>
        <w:tblW w:w="9452" w:type="dxa"/>
        <w:tblInd w:w="2" w:type="dxa"/>
        <w:tblLayout w:type="fixed"/>
        <w:tblCellMar>
          <w:top w:w="0" w:type="dxa"/>
          <w:left w:w="22" w:type="dxa"/>
          <w:bottom w:w="0" w:type="dxa"/>
          <w:right w:w="5" w:type="dxa"/>
        </w:tblCellMar>
      </w:tblPr>
      <w:tblGrid>
        <w:gridCol w:w="3116"/>
        <w:gridCol w:w="3346"/>
        <w:gridCol w:w="2990"/>
      </w:tblGrid>
      <w:tr>
        <w:tblPrEx>
          <w:tblCellMar>
            <w:top w:w="0" w:type="dxa"/>
            <w:left w:w="22" w:type="dxa"/>
            <w:bottom w:w="0" w:type="dxa"/>
            <w:right w:w="5" w:type="dxa"/>
          </w:tblCellMar>
        </w:tblPrEx>
        <w:trPr>
          <w:trHeight w:val="2065" w:hRule="atLeast"/>
        </w:trPr>
        <w:tc>
          <w:tcPr>
            <w:tcW w:w="6462" w:type="dxa"/>
            <w:gridSpan w:val="2"/>
            <w:tcBorders>
              <w:top w:val="single" w:color="000000" w:sz="18" w:space="0"/>
              <w:left w:val="single" w:color="000000" w:sz="18" w:space="0"/>
              <w:bottom w:val="single" w:color="000000" w:sz="6"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Seminário em História do Brasil XIX</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801"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Nome do Componente Curricular em inglês: </w:t>
            </w:r>
            <w:r>
              <w:rPr>
                <w:rFonts w:ascii="Times New Roman" w:hAnsi="Times New Roman" w:eastAsia="Times New Roman" w:cs="Times New Roman"/>
                <w:color w:val="202020"/>
              </w:rPr>
              <w:t xml:space="preserve">Seminar in History of Brazil </w:t>
            </w:r>
            <w:r>
              <w:rPr>
                <w:rFonts w:ascii="Times New Roman" w:hAnsi="Times New Roman" w:eastAsia="Times New Roman" w:cs="Times New Roman"/>
                <w:color w:val="000000"/>
              </w:rPr>
              <w:t>XIX</w:t>
            </w:r>
          </w:p>
        </w:tc>
        <w:tc>
          <w:tcPr>
            <w:tcW w:w="2990" w:type="dxa"/>
            <w:tcBorders>
              <w:top w:val="single" w:color="000000" w:sz="18" w:space="0"/>
              <w:left w:val="single" w:color="000000" w:sz="4" w:space="0"/>
              <w:bottom w:val="single" w:color="000000" w:sz="6"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229"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HIS092</w:t>
            </w:r>
          </w:p>
        </w:tc>
      </w:tr>
      <w:tr>
        <w:tblPrEx>
          <w:tblCellMar>
            <w:top w:w="0" w:type="dxa"/>
            <w:left w:w="22" w:type="dxa"/>
            <w:bottom w:w="0" w:type="dxa"/>
            <w:right w:w="5" w:type="dxa"/>
          </w:tblCellMar>
        </w:tblPrEx>
        <w:trPr>
          <w:trHeight w:val="827" w:hRule="atLeast"/>
        </w:trPr>
        <w:tc>
          <w:tcPr>
            <w:tcW w:w="6462" w:type="dxa"/>
            <w:gridSpan w:val="2"/>
            <w:tcBorders>
              <w:top w:val="single" w:color="000000" w:sz="6"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w:t>
            </w:r>
          </w:p>
          <w:p>
            <w:pPr>
              <w:widowControl w:val="0"/>
              <w:pBdr>
                <w:top w:val="none" w:color="auto" w:sz="0" w:space="0"/>
                <w:left w:val="none" w:color="auto" w:sz="0" w:space="0"/>
                <w:bottom w:val="none" w:color="auto" w:sz="0" w:space="0"/>
                <w:right w:val="none" w:color="auto" w:sz="0" w:space="0"/>
                <w:between w:val="none" w:color="auto" w:sz="0" w:space="0"/>
              </w:pBdr>
              <w:spacing w:before="14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Departamento de História – DEHIS</w:t>
            </w:r>
          </w:p>
        </w:tc>
        <w:tc>
          <w:tcPr>
            <w:tcW w:w="2990" w:type="dxa"/>
            <w:tcBorders>
              <w:top w:val="single" w:color="000000" w:sz="6"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w:t>
            </w:r>
          </w:p>
          <w:p>
            <w:pPr>
              <w:widowControl w:val="0"/>
              <w:pBdr>
                <w:top w:val="none" w:color="auto" w:sz="0" w:space="0"/>
                <w:left w:val="none" w:color="auto" w:sz="0" w:space="0"/>
                <w:bottom w:val="none" w:color="auto" w:sz="0" w:space="0"/>
                <w:right w:val="none" w:color="auto" w:sz="0" w:space="0"/>
                <w:between w:val="none" w:color="auto" w:sz="0" w:space="0"/>
              </w:pBdr>
              <w:spacing w:before="14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ICHS</w:t>
            </w:r>
          </w:p>
        </w:tc>
      </w:tr>
      <w:tr>
        <w:tblPrEx>
          <w:tblCellMar>
            <w:top w:w="0" w:type="dxa"/>
            <w:left w:w="22" w:type="dxa"/>
            <w:bottom w:w="0" w:type="dxa"/>
            <w:right w:w="5" w:type="dxa"/>
          </w:tblCellMar>
        </w:tblPrEx>
        <w:trPr>
          <w:trHeight w:val="1243" w:hRule="atLeast"/>
        </w:trPr>
        <w:tc>
          <w:tcPr>
            <w:tcW w:w="3116"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395"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397"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3346"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04 horas/aula</w:t>
            </w:r>
          </w:p>
        </w:tc>
        <w:tc>
          <w:tcPr>
            <w:tcW w:w="2990"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Carga horária semanal prática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02 horas/aula</w:t>
            </w:r>
          </w:p>
        </w:tc>
      </w:tr>
      <w:tr>
        <w:tblPrEx>
          <w:tblCellMar>
            <w:top w:w="0" w:type="dxa"/>
            <w:left w:w="22" w:type="dxa"/>
            <w:bottom w:w="0" w:type="dxa"/>
            <w:right w:w="5" w:type="dxa"/>
          </w:tblCellMar>
        </w:tblPrEx>
        <w:trPr>
          <w:trHeight w:val="825" w:hRule="atLeast"/>
        </w:trPr>
        <w:tc>
          <w:tcPr>
            <w:tcW w:w="9452"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Ementa: Tópicos sobre Brasil Império: Imprensa, intelectuais e instituições políticas.</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 construção dos espaços públicos.</w:t>
            </w:r>
          </w:p>
        </w:tc>
      </w:tr>
      <w:tr>
        <w:tblPrEx>
          <w:tblCellMar>
            <w:top w:w="0" w:type="dxa"/>
            <w:left w:w="22" w:type="dxa"/>
            <w:bottom w:w="0" w:type="dxa"/>
            <w:right w:w="5" w:type="dxa"/>
          </w:tblCellMar>
        </w:tblPrEx>
        <w:trPr>
          <w:trHeight w:val="2151" w:hRule="atLeast"/>
        </w:trPr>
        <w:tc>
          <w:tcPr>
            <w:tcW w:w="9452"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before="142" w:line="240" w:lineRule="auto"/>
              <w:ind w:left="0" w:right="3687" w:hanging="2"/>
              <w:rPr>
                <w:rFonts w:ascii="Times New Roman" w:hAnsi="Times New Roman" w:eastAsia="Times New Roman" w:cs="Times New Roman"/>
                <w:color w:val="000000"/>
              </w:rPr>
            </w:pPr>
            <w:r>
              <w:rPr>
                <w:rFonts w:ascii="Times New Roman" w:hAnsi="Times New Roman" w:eastAsia="Times New Roman" w:cs="Times New Roman"/>
                <w:color w:val="000000"/>
              </w:rPr>
              <w:t>1- Abordagem historiográfica sobre o tema</w:t>
            </w:r>
          </w:p>
          <w:p>
            <w:pPr>
              <w:widowControl w:val="0"/>
              <w:pBdr>
                <w:top w:val="none" w:color="auto" w:sz="0" w:space="0"/>
                <w:left w:val="none" w:color="auto" w:sz="0" w:space="0"/>
                <w:bottom w:val="none" w:color="auto" w:sz="0" w:space="0"/>
                <w:right w:val="none" w:color="auto" w:sz="0" w:space="0"/>
                <w:between w:val="none" w:color="auto" w:sz="0" w:space="0"/>
              </w:pBdr>
              <w:spacing w:before="142" w:line="240" w:lineRule="auto"/>
              <w:ind w:left="0" w:right="3687" w:hanging="2"/>
              <w:rPr>
                <w:rFonts w:ascii="Times New Roman" w:hAnsi="Times New Roman" w:eastAsia="Times New Roman" w:cs="Times New Roman"/>
                <w:color w:val="000000"/>
              </w:rPr>
            </w:pPr>
            <w:r>
              <w:rPr>
                <w:rFonts w:ascii="Times New Roman" w:hAnsi="Times New Roman" w:eastAsia="Times New Roman" w:cs="Times New Roman"/>
                <w:color w:val="000000"/>
              </w:rPr>
              <w:t>2- Imprensa brasileira no século XIX</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1413" w:hanging="2"/>
              <w:rPr>
                <w:rFonts w:ascii="Times New Roman" w:hAnsi="Times New Roman" w:eastAsia="Times New Roman" w:cs="Times New Roman"/>
                <w:color w:val="000000"/>
              </w:rPr>
            </w:pPr>
            <w:r>
              <w:rPr>
                <w:rFonts w:ascii="Times New Roman" w:hAnsi="Times New Roman" w:eastAsia="Times New Roman" w:cs="Times New Roman"/>
                <w:color w:val="000000"/>
              </w:rPr>
              <w:t>3- A construção do Espaço público no Brasil: perspectivas teóricas 4- Cultura escrita e circulação de impressos</w:t>
            </w:r>
          </w:p>
        </w:tc>
      </w:tr>
      <w:tr>
        <w:tblPrEx>
          <w:tblCellMar>
            <w:top w:w="0" w:type="dxa"/>
            <w:left w:w="22" w:type="dxa"/>
            <w:bottom w:w="0" w:type="dxa"/>
            <w:right w:w="5" w:type="dxa"/>
          </w:tblCellMar>
        </w:tblPrEx>
        <w:trPr>
          <w:trHeight w:val="2481" w:hRule="atLeast"/>
        </w:trPr>
        <w:tc>
          <w:tcPr>
            <w:tcW w:w="9452"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9" w:line="276"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5"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BASILE, Marcello. </w:t>
            </w:r>
            <w:r>
              <w:rPr>
                <w:rFonts w:ascii="Times New Roman" w:hAnsi="Times New Roman" w:eastAsia="Times New Roman" w:cs="Times New Roman"/>
                <w:b/>
                <w:color w:val="000000"/>
              </w:rPr>
              <w:t xml:space="preserve">Luzes a quem está nas trevas: a linguagem política radical nos primórdios do Império. </w:t>
            </w:r>
            <w:r>
              <w:rPr>
                <w:rFonts w:ascii="Times New Roman" w:hAnsi="Times New Roman" w:eastAsia="Times New Roman" w:cs="Times New Roman"/>
                <w:i/>
                <w:color w:val="000000"/>
              </w:rPr>
              <w:t>Topoi</w:t>
            </w:r>
            <w:r>
              <w:rPr>
                <w:rFonts w:ascii="Times New Roman" w:hAnsi="Times New Roman" w:eastAsia="Times New Roman" w:cs="Times New Roman"/>
                <w:color w:val="000000"/>
              </w:rPr>
              <w:t xml:space="preserve"> (Rio de Janeiro), Rio de Janeiro, v. 3, p. 91-130, 2001.</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5" w:hanging="2"/>
              <w:rPr>
                <w:rFonts w:ascii="Times New Roman" w:hAnsi="Times New Roman" w:eastAsia="Times New Roman" w:cs="Times New Roman"/>
                <w:color w:val="000000"/>
              </w:rPr>
            </w:pPr>
            <w:r>
              <w:rPr>
                <w:rFonts w:ascii="Times New Roman" w:hAnsi="Times New Roman" w:eastAsia="Times New Roman" w:cs="Times New Roman"/>
                <w:color w:val="000000"/>
              </w:rPr>
              <w:t>http://www.scielo.br/pdf/topoi/v2n3/2237-101X-topoi-2-03-00091.pdf</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5" w:hanging="2"/>
              <w:rPr>
                <w:rFonts w:ascii="Times New Roman" w:hAnsi="Times New Roman" w:eastAsia="Times New Roman" w:cs="Times New Roman"/>
                <w:color w:val="000000"/>
              </w:rPr>
            </w:pPr>
            <w:r>
              <w:rPr>
                <w:rFonts w:ascii="Times New Roman" w:hAnsi="Times New Roman" w:eastAsia="Times New Roman" w:cs="Times New Roman"/>
                <w:color w:val="000000"/>
              </w:rPr>
              <w:t>FERREIRA, Tânia Maria Tavares Bessone da Cruz</w:t>
            </w:r>
            <w:r>
              <w:rPr>
                <w:rFonts w:ascii="Times New Roman" w:hAnsi="Times New Roman" w:eastAsia="Times New Roman" w:cs="Times New Roman"/>
                <w:b/>
                <w:color w:val="000000"/>
              </w:rPr>
              <w:t>. Comércio de livros: livreiros, livrarias e impressos</w:t>
            </w:r>
            <w:r>
              <w:rPr>
                <w:rFonts w:ascii="Times New Roman" w:hAnsi="Times New Roman" w:eastAsia="Times New Roman" w:cs="Times New Roman"/>
                <w:i/>
                <w:color w:val="000000"/>
              </w:rPr>
              <w:t xml:space="preserve">. </w:t>
            </w:r>
            <w:r>
              <w:rPr>
                <w:rFonts w:ascii="Times New Roman" w:hAnsi="Times New Roman" w:eastAsia="Times New Roman" w:cs="Times New Roman"/>
                <w:color w:val="000000"/>
              </w:rPr>
              <w:t>Escritos (Fundação Casa de Rui Barbosa), v. 5, p. 41-52, 2011.</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5" w:hanging="2"/>
              <w:rPr>
                <w:rFonts w:ascii="Times New Roman" w:hAnsi="Times New Roman" w:eastAsia="Times New Roman" w:cs="Times New Roman"/>
                <w:color w:val="000000"/>
              </w:rPr>
            </w:pPr>
            <w:r>
              <w:rPr>
                <w:rFonts w:ascii="Times New Roman" w:hAnsi="Times New Roman" w:eastAsia="Times New Roman" w:cs="Times New Roman"/>
                <w:color w:val="000000"/>
              </w:rPr>
              <w:t>http://www.casaruibarbosa.gov.br/escritos/numero05/FCRB_Escritos_5_3_Tania_Bessone.pdf</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2"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MOREL, Marco. </w:t>
            </w:r>
            <w:r>
              <w:rPr>
                <w:rFonts w:ascii="Times New Roman" w:hAnsi="Times New Roman" w:eastAsia="Times New Roman" w:cs="Times New Roman"/>
                <w:b/>
                <w:color w:val="000000"/>
              </w:rPr>
              <w:t xml:space="preserve">As transformações dos espaços públicos: imprensa, atores políticos e sociabilidades na cidade imperial (1820-1840). </w:t>
            </w:r>
            <w:r>
              <w:rPr>
                <w:rFonts w:ascii="Times New Roman" w:hAnsi="Times New Roman" w:eastAsia="Times New Roman" w:cs="Times New Roman"/>
                <w:color w:val="000000"/>
              </w:rPr>
              <w:t>São Paulo: Hucitec, 2005.</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1"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OLIVEIRA, Carlos Eduardo França de. </w:t>
            </w:r>
            <w:r>
              <w:rPr>
                <w:rFonts w:ascii="Times New Roman" w:hAnsi="Times New Roman" w:eastAsia="Times New Roman" w:cs="Times New Roman"/>
                <w:b/>
                <w:color w:val="000000"/>
              </w:rPr>
              <w:t xml:space="preserve">Tipógrafos, redatores e leitores: aspectos da imprensa periódica no Primeiro Reinado. </w:t>
            </w:r>
            <w:r>
              <w:rPr>
                <w:rFonts w:ascii="Times New Roman" w:hAnsi="Times New Roman" w:eastAsia="Times New Roman" w:cs="Times New Roman"/>
                <w:color w:val="000000"/>
              </w:rPr>
              <w:t>Revista Brasileira de História, v. 2, n. 3, julho de 2010. https://www.rbhcs.com/rbhcs/article/view/51/50</w:t>
            </w:r>
          </w:p>
        </w:tc>
      </w:tr>
      <w:tr>
        <w:tblPrEx>
          <w:tblCellMar>
            <w:top w:w="0" w:type="dxa"/>
            <w:left w:w="22" w:type="dxa"/>
            <w:bottom w:w="0" w:type="dxa"/>
            <w:right w:w="5" w:type="dxa"/>
          </w:tblCellMar>
        </w:tblPrEx>
        <w:trPr>
          <w:trHeight w:val="2533" w:hRule="atLeast"/>
        </w:trPr>
        <w:tc>
          <w:tcPr>
            <w:tcW w:w="9452" w:type="dxa"/>
            <w:gridSpan w:val="3"/>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9"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FERREIRA, Tania Maria Bessone da Cruz. </w:t>
            </w:r>
            <w:r>
              <w:rPr>
                <w:rFonts w:ascii="Times New Roman" w:hAnsi="Times New Roman" w:eastAsia="Times New Roman" w:cs="Times New Roman"/>
                <w:b/>
                <w:color w:val="000000"/>
              </w:rPr>
              <w:t xml:space="preserve">Palácios de destinos cruzados: bibliotecas, homens e livros no Rio de Janeiro: 1870-1920. </w:t>
            </w:r>
            <w:r>
              <w:rPr>
                <w:rFonts w:ascii="Times New Roman" w:hAnsi="Times New Roman" w:eastAsia="Times New Roman" w:cs="Times New Roman"/>
                <w:color w:val="000000"/>
              </w:rPr>
              <w:t>Rio de Janeiro: Arquivo Nacional, 1999.</w:t>
            </w:r>
          </w:p>
          <w:p>
            <w:pPr>
              <w:widowControl w:val="0"/>
              <w:pBdr>
                <w:top w:val="none" w:color="auto" w:sz="0" w:space="0"/>
                <w:left w:val="none" w:color="auto" w:sz="0" w:space="0"/>
                <w:bottom w:val="none" w:color="auto" w:sz="0" w:space="0"/>
                <w:right w:val="none" w:color="auto" w:sz="0" w:space="0"/>
                <w:between w:val="none" w:color="auto" w:sz="0" w:space="0"/>
              </w:pBdr>
              <w:spacing w:before="2"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027(815.3) F383p (ICHS) 1999.</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6"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GALVES, Marcelo Cheche. </w:t>
            </w:r>
            <w:r>
              <w:rPr>
                <w:rFonts w:ascii="Times New Roman" w:hAnsi="Times New Roman" w:eastAsia="Times New Roman" w:cs="Times New Roman"/>
                <w:b/>
                <w:color w:val="000000"/>
              </w:rPr>
              <w:t>Saberes impressos, correspondências e expedições científicas: a capitania do Maranhão e o Reformismo Ilustrado na virada para o Oitocentos</w:t>
            </w:r>
            <w:r>
              <w:rPr>
                <w:rFonts w:ascii="Times New Roman" w:hAnsi="Times New Roman" w:eastAsia="Times New Roman" w:cs="Times New Roman"/>
                <w:i/>
                <w:color w:val="000000"/>
              </w:rPr>
              <w:t xml:space="preserve">. </w:t>
            </w:r>
            <w:r>
              <w:rPr>
                <w:rFonts w:ascii="Times New Roman" w:hAnsi="Times New Roman" w:eastAsia="Times New Roman" w:cs="Times New Roman"/>
                <w:color w:val="000000"/>
              </w:rPr>
              <w:t>Outros Tempos, v. 11, p. 119-136,2014. http://www.outrostempos.uema.br/OJS/index.php/outros_tempos_uema/article/view/417/375</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5"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GUIMARÃES, Maria Lucia Paschoal; PRADO, Maria Emilial; PEIXOTO, Antonio  Carlos. </w:t>
            </w:r>
            <w:r>
              <w:rPr>
                <w:rFonts w:ascii="Times New Roman" w:hAnsi="Times New Roman" w:eastAsia="Times New Roman" w:cs="Times New Roman"/>
                <w:b/>
                <w:color w:val="000000"/>
              </w:rPr>
              <w:t xml:space="preserve">O liberalismo no Brasil e no Brasil imperial: origens, conceitos e prática. </w:t>
            </w:r>
            <w:r>
              <w:rPr>
                <w:rFonts w:ascii="Times New Roman" w:hAnsi="Times New Roman" w:eastAsia="Times New Roman" w:cs="Times New Roman"/>
                <w:color w:val="000000"/>
              </w:rPr>
              <w:t>Rio de Janeiro: Revan, 2001. 326 L695 (ICHS) 2001.</w:t>
            </w:r>
          </w:p>
          <w:p>
            <w:pPr>
              <w:spacing w:line="360" w:lineRule="auto"/>
              <w:ind w:left="0" w:right="18" w:hanging="2"/>
              <w:jc w:val="both"/>
              <w:rPr>
                <w:rFonts w:ascii="Times New Roman" w:hAnsi="Times New Roman" w:cs="Times New Roman"/>
              </w:rPr>
            </w:pPr>
            <w:r>
              <w:rPr>
                <w:rFonts w:ascii="Times New Roman" w:hAnsi="Times New Roman" w:eastAsia="Times New Roman" w:cs="Times New Roman"/>
              </w:rPr>
              <w:t xml:space="preserve"> NEVES, Lúcia Maria B. P. das. </w:t>
            </w:r>
            <w:r>
              <w:rPr>
                <w:rFonts w:ascii="Times New Roman" w:hAnsi="Times New Roman" w:eastAsia="Times New Roman" w:cs="Times New Roman"/>
                <w:b/>
              </w:rPr>
              <w:t xml:space="preserve">Corcundas e constitucionais: a cultura política da independência (1820-1823). </w:t>
            </w:r>
            <w:r>
              <w:rPr>
                <w:rFonts w:ascii="Times New Roman" w:hAnsi="Times New Roman" w:eastAsia="Times New Roman" w:cs="Times New Roman"/>
              </w:rPr>
              <w:t>Rio de Janeiro: Revan; FAPERJ, 2003. 94(81) N425c (ICHS) 2003.</w:t>
            </w:r>
          </w:p>
          <w:p>
            <w:pPr>
              <w:spacing w:line="360" w:lineRule="auto"/>
              <w:ind w:left="0" w:right="18" w:hanging="2"/>
              <w:jc w:val="both"/>
              <w:rPr>
                <w:rFonts w:ascii="Times New Roman" w:hAnsi="Times New Roman" w:cs="Times New Roman"/>
              </w:rPr>
            </w:pPr>
            <w:r>
              <w:rPr>
                <w:rFonts w:ascii="Times New Roman" w:hAnsi="Times New Roman" w:eastAsia="Times New Roman" w:cs="Times New Roman"/>
              </w:rPr>
              <w:t xml:space="preserve">VILLALTA, Luiz Carlos. </w:t>
            </w:r>
            <w:r>
              <w:rPr>
                <w:rFonts w:ascii="Times New Roman" w:hAnsi="Times New Roman" w:eastAsia="Times New Roman" w:cs="Times New Roman"/>
                <w:b/>
              </w:rPr>
              <w:t xml:space="preserve">Malditos, perigosos e proibidos. O livro e a leitura no Brasil e em Portugal antes da chegada de D. João (entrevista). </w:t>
            </w:r>
            <w:r>
              <w:rPr>
                <w:rFonts w:ascii="Times New Roman" w:hAnsi="Times New Roman" w:eastAsia="Times New Roman" w:cs="Times New Roman"/>
              </w:rPr>
              <w:t>Revista do Livro, v. 50, p. 65-72,2008.</w:t>
            </w:r>
          </w:p>
          <w:p>
            <w:pPr>
              <w:tabs>
                <w:tab w:val="left" w:pos="719"/>
              </w:tabs>
              <w:ind w:left="0" w:hanging="2"/>
              <w:rPr>
                <w:rFonts w:ascii="Times New Roman" w:hAnsi="Times New Roman" w:cs="Times New Roman"/>
              </w:rPr>
            </w:pPr>
            <w:r>
              <w:rPr>
                <w:rFonts w:ascii="Times New Roman" w:hAnsi="Times New Roman" w:eastAsia="Times New Roman" w:cs="Times New Roman"/>
                <w:u w:val="single"/>
              </w:rPr>
              <w:tab/>
            </w:r>
            <w:r>
              <w:rPr>
                <w:rFonts w:ascii="Times New Roman" w:hAnsi="Times New Roman" w:eastAsia="Times New Roman" w:cs="Times New Roman"/>
              </w:rPr>
              <w:t xml:space="preserve">. </w:t>
            </w:r>
            <w:r>
              <w:rPr>
                <w:rFonts w:ascii="Times New Roman" w:hAnsi="Times New Roman" w:eastAsia="Times New Roman" w:cs="Times New Roman"/>
                <w:b/>
              </w:rPr>
              <w:t>Posse e usos dos livros</w:t>
            </w:r>
            <w:r>
              <w:rPr>
                <w:rFonts w:ascii="Times New Roman" w:hAnsi="Times New Roman" w:eastAsia="Times New Roman" w:cs="Times New Roman"/>
                <w:i/>
              </w:rPr>
              <w:t xml:space="preserve">. </w:t>
            </w:r>
            <w:r>
              <w:rPr>
                <w:rFonts w:ascii="Times New Roman" w:hAnsi="Times New Roman" w:eastAsia="Times New Roman" w:cs="Times New Roman"/>
              </w:rPr>
              <w:t>Oceanos, Lisboa, v. 42, p. 132-144,2000.</w:t>
            </w:r>
          </w:p>
          <w:p>
            <w:pPr>
              <w:tabs>
                <w:tab w:val="left" w:pos="719"/>
              </w:tabs>
              <w:ind w:left="0" w:hanging="2"/>
              <w:rPr>
                <w:rFonts w:ascii="Times New Roman" w:hAnsi="Times New Roman" w:cs="Times New Roman"/>
              </w:rPr>
            </w:pPr>
            <w:r>
              <w:rPr>
                <w:rFonts w:ascii="Times New Roman" w:hAnsi="Times New Roman" w:eastAsia="Times New Roman" w:cs="Times New Roman"/>
                <w:u w:val="single"/>
              </w:rPr>
              <w:tab/>
            </w:r>
            <w:r>
              <w:rPr>
                <w:rFonts w:ascii="Times New Roman" w:hAnsi="Times New Roman" w:eastAsia="Times New Roman" w:cs="Times New Roman"/>
              </w:rPr>
              <w:t xml:space="preserve">. </w:t>
            </w:r>
            <w:r>
              <w:rPr>
                <w:rFonts w:ascii="Times New Roman" w:hAnsi="Times New Roman" w:eastAsia="Times New Roman" w:cs="Times New Roman"/>
                <w:b/>
              </w:rPr>
              <w:t>Usos do livro no mundo luso-brasileiro sob as luzes: reformas, censurae</w:t>
            </w:r>
          </w:p>
          <w:p>
            <w:pPr>
              <w:spacing w:before="137"/>
              <w:ind w:left="0" w:hanging="2"/>
              <w:rPr>
                <w:rFonts w:ascii="Times New Roman" w:hAnsi="Times New Roman" w:cs="Times New Roman"/>
              </w:rPr>
            </w:pPr>
            <w:r>
              <w:rPr>
                <w:rFonts w:ascii="Times New Roman" w:hAnsi="Times New Roman" w:eastAsia="Times New Roman" w:cs="Times New Roman"/>
                <w:b/>
              </w:rPr>
              <w:t xml:space="preserve">contestações. </w:t>
            </w:r>
            <w:r>
              <w:rPr>
                <w:rFonts w:ascii="Times New Roman" w:hAnsi="Times New Roman" w:eastAsia="Times New Roman" w:cs="Times New Roman"/>
              </w:rPr>
              <w:t>2. Ed. Belo Horizonte: Fino Traço, 2016. 002 V714u [2015].</w:t>
            </w:r>
          </w:p>
        </w:tc>
      </w:tr>
    </w:tbl>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5" w:after="140" w:line="288" w:lineRule="auto"/>
        <w:ind w:left="0" w:hanging="2"/>
        <w:rPr>
          <w:rFonts w:ascii="Times New Roman" w:hAnsi="Times New Roman" w:eastAsia="Times New Roman" w:cs="Times New Roman"/>
          <w:color w:val="000000"/>
        </w:rPr>
      </w:pPr>
    </w:p>
    <w:tbl>
      <w:tblPr>
        <w:tblStyle w:val="529"/>
        <w:tblW w:w="9021" w:type="dxa"/>
        <w:tblInd w:w="2" w:type="dxa"/>
        <w:tblLayout w:type="fixed"/>
        <w:tblCellMar>
          <w:top w:w="0" w:type="dxa"/>
          <w:left w:w="22" w:type="dxa"/>
          <w:bottom w:w="0" w:type="dxa"/>
          <w:right w:w="5" w:type="dxa"/>
        </w:tblCellMar>
      </w:tblPr>
      <w:tblGrid>
        <w:gridCol w:w="2796"/>
        <w:gridCol w:w="3119"/>
        <w:gridCol w:w="3106"/>
      </w:tblGrid>
      <w:tr>
        <w:tblPrEx>
          <w:tblCellMar>
            <w:top w:w="0" w:type="dxa"/>
            <w:left w:w="22" w:type="dxa"/>
            <w:bottom w:w="0" w:type="dxa"/>
            <w:right w:w="5" w:type="dxa"/>
          </w:tblCellMar>
        </w:tblPrEx>
        <w:trPr>
          <w:trHeight w:val="2072" w:hRule="atLeast"/>
        </w:trPr>
        <w:tc>
          <w:tcPr>
            <w:tcW w:w="5915"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801"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Seminário em História do Brasil XX</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801"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Nome do Componente Curricular em inglês: </w:t>
            </w:r>
            <w:r>
              <w:rPr>
                <w:rFonts w:ascii="Times New Roman" w:hAnsi="Times New Roman" w:eastAsia="Times New Roman" w:cs="Times New Roman"/>
                <w:color w:val="202020"/>
              </w:rPr>
              <w:t xml:space="preserve">Seminar in History of Brazil </w:t>
            </w:r>
            <w:r>
              <w:rPr>
                <w:rFonts w:ascii="Times New Roman" w:hAnsi="Times New Roman" w:eastAsia="Times New Roman" w:cs="Times New Roman"/>
                <w:color w:val="000000"/>
              </w:rPr>
              <w:t>XX</w:t>
            </w:r>
          </w:p>
        </w:tc>
        <w:tc>
          <w:tcPr>
            <w:tcW w:w="3106"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HIS093</w:t>
            </w:r>
          </w:p>
        </w:tc>
      </w:tr>
      <w:tr>
        <w:tblPrEx>
          <w:tblCellMar>
            <w:top w:w="0" w:type="dxa"/>
            <w:left w:w="22" w:type="dxa"/>
            <w:bottom w:w="0" w:type="dxa"/>
            <w:right w:w="5" w:type="dxa"/>
          </w:tblCellMar>
        </w:tblPrEx>
        <w:trPr>
          <w:trHeight w:val="825" w:hRule="atLeast"/>
        </w:trPr>
        <w:tc>
          <w:tcPr>
            <w:tcW w:w="5915"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DEHIS</w:t>
            </w:r>
          </w:p>
        </w:tc>
        <w:tc>
          <w:tcPr>
            <w:tcW w:w="310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5" w:type="dxa"/>
          </w:tblCellMar>
        </w:tblPrEx>
        <w:trPr>
          <w:trHeight w:val="1243" w:hRule="atLeast"/>
        </w:trPr>
        <w:tc>
          <w:tcPr>
            <w:tcW w:w="2796"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397"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17"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semestral 90 horas</w:t>
            </w:r>
          </w:p>
        </w:tc>
        <w:tc>
          <w:tcPr>
            <w:tcW w:w="3119"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310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 02 horas/aula</w:t>
            </w:r>
          </w:p>
        </w:tc>
      </w:tr>
      <w:tr>
        <w:tblPrEx>
          <w:tblCellMar>
            <w:top w:w="0" w:type="dxa"/>
            <w:left w:w="22" w:type="dxa"/>
            <w:bottom w:w="0" w:type="dxa"/>
            <w:right w:w="5" w:type="dxa"/>
          </w:tblCellMar>
        </w:tblPrEx>
        <w:trPr>
          <w:trHeight w:val="417"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Ementa: Estudos aprofundados em temáticas sobre História das Ciências no Brasil.</w:t>
            </w:r>
          </w:p>
        </w:tc>
      </w:tr>
      <w:tr>
        <w:tblPrEx>
          <w:tblCellMar>
            <w:top w:w="0" w:type="dxa"/>
            <w:left w:w="22" w:type="dxa"/>
            <w:bottom w:w="0" w:type="dxa"/>
            <w:right w:w="5" w:type="dxa"/>
          </w:tblCellMar>
        </w:tblPrEx>
        <w:trPr>
          <w:trHeight w:val="623"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História da Ciência em perspectiva.</w:t>
            </w:r>
          </w:p>
        </w:tc>
      </w:tr>
      <w:tr>
        <w:tblPrEx>
          <w:tblCellMar>
            <w:top w:w="0" w:type="dxa"/>
            <w:left w:w="22" w:type="dxa"/>
            <w:bottom w:w="0" w:type="dxa"/>
            <w:right w:w="5" w:type="dxa"/>
          </w:tblCellMar>
        </w:tblPrEx>
        <w:trPr>
          <w:trHeight w:val="622"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DANTES, Maria Amélia. (org.). </w:t>
            </w:r>
            <w:r>
              <w:rPr>
                <w:rFonts w:ascii="Times New Roman" w:hAnsi="Times New Roman" w:eastAsia="Times New Roman" w:cs="Times New Roman"/>
                <w:b/>
                <w:color w:val="000000"/>
              </w:rPr>
              <w:t>Espaços da ciência no Brasil. 1800-1930</w:t>
            </w:r>
            <w:r>
              <w:rPr>
                <w:rFonts w:ascii="Times New Roman" w:hAnsi="Times New Roman" w:eastAsia="Times New Roman" w:cs="Times New Roman"/>
                <w:color w:val="000000"/>
              </w:rPr>
              <w:t>. Rio de Janeiro: Editora Fiocruz, 2001.</w:t>
            </w:r>
          </w:p>
          <w:p>
            <w:pPr>
              <w:widowControl w:val="0"/>
              <w:pBdr>
                <w:top w:val="none" w:color="auto" w:sz="0" w:space="0"/>
                <w:left w:val="none" w:color="auto" w:sz="0" w:space="0"/>
                <w:bottom w:val="none" w:color="auto" w:sz="0" w:space="0"/>
                <w:right w:val="none" w:color="auto" w:sz="0" w:space="0"/>
                <w:between w:val="none" w:color="auto" w:sz="0" w:space="0"/>
              </w:pBdr>
              <w:spacing w:before="232" w:line="360" w:lineRule="auto"/>
              <w:ind w:left="0" w:right="55"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SCHWARCZ, Lilia Moritz. </w:t>
            </w:r>
            <w:r>
              <w:rPr>
                <w:rFonts w:ascii="Times New Roman" w:hAnsi="Times New Roman" w:eastAsia="Times New Roman" w:cs="Times New Roman"/>
                <w:b/>
                <w:color w:val="000000"/>
              </w:rPr>
              <w:t xml:space="preserve">O espetáculo das raças: </w:t>
            </w:r>
            <w:r>
              <w:rPr>
                <w:rFonts w:ascii="Times New Roman" w:hAnsi="Times New Roman" w:eastAsia="Times New Roman" w:cs="Times New Roman"/>
                <w:color w:val="000000"/>
              </w:rPr>
              <w:t>cientistas, instituições e questão racial no Brasil, 1870-1930 . São Paulo: Companhia das Letras 2010. 287 p. ISBN 8571643296(broch.).Call number: 316.7 S399e (ICEB)2010.</w:t>
            </w: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right="62" w:hanging="2"/>
              <w:rPr>
                <w:rFonts w:ascii="Times New Roman" w:hAnsi="Times New Roman" w:eastAsia="Times New Roman" w:cs="Times New Roman"/>
                <w:color w:val="000000"/>
              </w:rPr>
            </w:pPr>
            <w:r>
              <w:rPr>
                <w:rFonts w:ascii="Times New Roman" w:hAnsi="Times New Roman" w:eastAsia="Times New Roman" w:cs="Times New Roman"/>
                <w:color w:val="000000"/>
              </w:rPr>
              <w:t>FIGUEIRÔA, Silvia Fernanda de Mendonça</w:t>
            </w:r>
            <w:r>
              <w:rPr>
                <w:rFonts w:ascii="Times New Roman" w:hAnsi="Times New Roman" w:eastAsia="Times New Roman" w:cs="Times New Roman"/>
                <w:b/>
                <w:color w:val="000000"/>
              </w:rPr>
              <w:t xml:space="preserve">. Modernos bandeirantes: </w:t>
            </w:r>
            <w:r>
              <w:rPr>
                <w:rFonts w:ascii="Times New Roman" w:hAnsi="Times New Roman" w:eastAsia="Times New Roman" w:cs="Times New Roman"/>
                <w:color w:val="000000"/>
              </w:rPr>
              <w:t>a Comissão Geográfica e Geológica de São Paulo e a exploração científica do território paulista (1886-1931) . [S.l.] 1987. s.n. 19--] 162 p. Dissertação (Mestrado) - Universidade de São Paulo. Faculdade de Filosofia, Letras e Ciências Humanas. Departamento de História Call number: 981.07(043.2) F475m (IFAC) 1987 Tese.</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3"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CARVALHO, José Murilo de. </w:t>
            </w:r>
            <w:r>
              <w:rPr>
                <w:rFonts w:ascii="Times New Roman" w:hAnsi="Times New Roman" w:eastAsia="Times New Roman" w:cs="Times New Roman"/>
                <w:b/>
                <w:color w:val="000000"/>
              </w:rPr>
              <w:t xml:space="preserve">A Escola de Minas de Ouro Preto: </w:t>
            </w:r>
            <w:r>
              <w:rPr>
                <w:rFonts w:ascii="Times New Roman" w:hAnsi="Times New Roman" w:eastAsia="Times New Roman" w:cs="Times New Roman"/>
                <w:color w:val="000000"/>
              </w:rPr>
              <w:t>o peso da glória. São Paulo: Companhia Editora Nacional 1978. Call number: 378.096(815.1) C331e (EFAR) 1978. 378.4(815.1)(091) C331e (EM) 1978 981(815.1) (DEGEO), 378.4(815.1) C331e JMV - 378.4(815.1) C331e 2002 DEMUS / DEART -</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378.4(815.1) C331e 2002 ICHS.</w:t>
            </w:r>
          </w:p>
        </w:tc>
      </w:tr>
      <w:tr>
        <w:tblPrEx>
          <w:tblCellMar>
            <w:top w:w="0" w:type="dxa"/>
            <w:left w:w="22" w:type="dxa"/>
            <w:bottom w:w="0" w:type="dxa"/>
            <w:right w:w="5" w:type="dxa"/>
          </w:tblCellMar>
        </w:tblPrEx>
        <w:trPr>
          <w:trHeight w:val="4908" w:hRule="atLeast"/>
        </w:trPr>
        <w:tc>
          <w:tcPr>
            <w:tcW w:w="9021" w:type="dxa"/>
            <w:gridSpan w:val="3"/>
            <w:tcBorders>
              <w:top w:val="single" w:color="000000" w:sz="18"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right="64"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EDLER, Flavio Coelho. </w:t>
            </w:r>
            <w:r>
              <w:rPr>
                <w:rFonts w:ascii="Times New Roman" w:hAnsi="Times New Roman" w:eastAsia="Times New Roman" w:cs="Times New Roman"/>
                <w:b/>
                <w:color w:val="000000"/>
              </w:rPr>
              <w:t xml:space="preserve">A medicina no Brasil Imperial: </w:t>
            </w:r>
            <w:r>
              <w:rPr>
                <w:rFonts w:ascii="Times New Roman" w:hAnsi="Times New Roman" w:eastAsia="Times New Roman" w:cs="Times New Roman"/>
                <w:color w:val="000000"/>
              </w:rPr>
              <w:t>clima, parasitas e patologia tropical. Rio de Janeiro Fiocruz,2011.</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1" w:hanging="2"/>
              <w:rPr>
                <w:rFonts w:ascii="Times New Roman" w:hAnsi="Times New Roman" w:eastAsia="Times New Roman" w:cs="Times New Roman"/>
                <w:color w:val="000000"/>
              </w:rPr>
            </w:pPr>
            <w:r>
              <w:rPr>
                <w:rFonts w:ascii="Times New Roman" w:hAnsi="Times New Roman" w:eastAsia="Times New Roman" w:cs="Times New Roman"/>
                <w:color w:val="000000"/>
              </w:rPr>
              <w:t>MARTINS, Luciana</w:t>
            </w:r>
            <w:r>
              <w:rPr>
                <w:rFonts w:ascii="Times New Roman" w:hAnsi="Times New Roman" w:eastAsia="Times New Roman" w:cs="Times New Roman"/>
                <w:b/>
                <w:color w:val="000000"/>
              </w:rPr>
              <w:t xml:space="preserve">. Da Inexistência a autonomia: </w:t>
            </w:r>
            <w:r>
              <w:rPr>
                <w:rFonts w:ascii="Times New Roman" w:hAnsi="Times New Roman" w:eastAsia="Times New Roman" w:cs="Times New Roman"/>
                <w:color w:val="000000"/>
              </w:rPr>
              <w:t>a construção do Imperial Observatório do Rio de Janeiro entre os anos de 1827 e 1870. Rio de Janeiro: Observatório Nacional 1997. Call Number: 520.1(09) M386i (EM) 1997.</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ARCHIVOS DO MUSEU NACIONAL DO RIO DE JANEIRO. Rio de Janeiro, RJ:</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Museu Nacional, UFRJ,1876-. </w:t>
            </w:r>
            <w:r>
              <w:rPr>
                <w:rFonts w:ascii="Times New Roman" w:hAnsi="Times New Roman" w:eastAsia="Times New Roman" w:cs="Times New Roman"/>
                <w:b/>
                <w:color w:val="000000"/>
              </w:rPr>
              <w:t xml:space="preserve">Anual. </w:t>
            </w:r>
            <w:r>
              <w:rPr>
                <w:rFonts w:ascii="Times New Roman" w:hAnsi="Times New Roman" w:eastAsia="Times New Roman" w:cs="Times New Roman"/>
                <w:color w:val="000000"/>
              </w:rPr>
              <w:t>ISSN 0365-4508.</w:t>
            </w:r>
          </w:p>
          <w:p>
            <w:pPr>
              <w:widowControl w:val="0"/>
              <w:pBdr>
                <w:top w:val="none" w:color="auto" w:sz="0" w:space="0"/>
                <w:left w:val="none" w:color="auto" w:sz="0" w:space="0"/>
                <w:bottom w:val="none" w:color="auto" w:sz="0" w:space="0"/>
                <w:right w:val="none" w:color="auto" w:sz="0" w:space="0"/>
                <w:between w:val="none" w:color="auto" w:sz="0" w:space="0"/>
              </w:pBdr>
              <w:spacing w:before="1" w:line="240" w:lineRule="auto"/>
              <w:ind w:left="0" w:right="64"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Coelho, Edmundo Campos. </w:t>
            </w:r>
            <w:r>
              <w:rPr>
                <w:rFonts w:ascii="Times New Roman" w:hAnsi="Times New Roman" w:eastAsia="Times New Roman" w:cs="Times New Roman"/>
                <w:b/>
                <w:color w:val="000000"/>
              </w:rPr>
              <w:t xml:space="preserve">As profissões Imperiais: </w:t>
            </w:r>
            <w:r>
              <w:rPr>
                <w:rFonts w:ascii="Times New Roman" w:hAnsi="Times New Roman" w:eastAsia="Times New Roman" w:cs="Times New Roman"/>
                <w:color w:val="000000"/>
              </w:rPr>
              <w:t>Medicina, Engenharia e Advocacia no Rio de Janeiro- 1822-1930. Rio de Janeiro; São Paulo: Record, 1999. Call Number:331.5(091) C672p (ICHS) 1999.</w:t>
            </w:r>
          </w:p>
        </w:tc>
      </w:tr>
    </w:tbl>
    <w:p>
      <w:pPr>
        <w:pBdr>
          <w:top w:val="none" w:color="auto" w:sz="0" w:space="0"/>
          <w:left w:val="none" w:color="auto" w:sz="0" w:space="0"/>
          <w:bottom w:val="none" w:color="auto" w:sz="0" w:space="0"/>
          <w:right w:val="none" w:color="auto" w:sz="0" w:space="0"/>
          <w:between w:val="none" w:color="auto" w:sz="0" w:space="0"/>
        </w:pBdr>
        <w:spacing w:before="4" w:after="14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4" w:after="14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4" w:after="14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4" w:after="140" w:line="288" w:lineRule="auto"/>
        <w:ind w:left="0" w:hanging="2"/>
        <w:rPr>
          <w:rFonts w:ascii="Times New Roman" w:hAnsi="Times New Roman" w:eastAsia="Times New Roman" w:cs="Times New Roman"/>
          <w:color w:val="000000"/>
        </w:rPr>
      </w:pPr>
    </w:p>
    <w:tbl>
      <w:tblPr>
        <w:tblStyle w:val="530"/>
        <w:tblW w:w="9021" w:type="dxa"/>
        <w:tblInd w:w="2" w:type="dxa"/>
        <w:tblLayout w:type="fixed"/>
        <w:tblCellMar>
          <w:top w:w="0" w:type="dxa"/>
          <w:left w:w="22" w:type="dxa"/>
          <w:bottom w:w="0" w:type="dxa"/>
          <w:right w:w="5" w:type="dxa"/>
        </w:tblCellMar>
      </w:tblPr>
      <w:tblGrid>
        <w:gridCol w:w="2723"/>
        <w:gridCol w:w="3066"/>
        <w:gridCol w:w="3232"/>
      </w:tblGrid>
      <w:tr>
        <w:tblPrEx>
          <w:tblCellMar>
            <w:top w:w="0" w:type="dxa"/>
            <w:left w:w="22" w:type="dxa"/>
            <w:bottom w:w="0" w:type="dxa"/>
            <w:right w:w="5" w:type="dxa"/>
          </w:tblCellMar>
        </w:tblPrEx>
        <w:trPr>
          <w:trHeight w:val="2116" w:hRule="atLeast"/>
        </w:trPr>
        <w:tc>
          <w:tcPr>
            <w:tcW w:w="5789" w:type="dxa"/>
            <w:gridSpan w:val="2"/>
            <w:tcBorders>
              <w:top w:val="single" w:color="000000" w:sz="18" w:space="0"/>
              <w:lef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Seminário em História do Brasil XXI</w:t>
            </w:r>
          </w:p>
          <w:p>
            <w:pPr>
              <w:widowControl w:val="0"/>
              <w:pBdr>
                <w:top w:val="none" w:color="auto" w:sz="0" w:space="0"/>
                <w:left w:val="none" w:color="auto" w:sz="0" w:space="0"/>
                <w:bottom w:val="none" w:color="auto" w:sz="0" w:space="0"/>
                <w:right w:val="none" w:color="auto" w:sz="0" w:space="0"/>
                <w:between w:val="none" w:color="auto" w:sz="0" w:space="0"/>
              </w:pBdr>
              <w:spacing w:before="5"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before="1" w:line="240" w:lineRule="auto"/>
              <w:ind w:left="0" w:right="384"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Nome do Componente Curricular em inglês: </w:t>
            </w:r>
            <w:r>
              <w:rPr>
                <w:rFonts w:ascii="Times New Roman" w:hAnsi="Times New Roman" w:eastAsia="Times New Roman" w:cs="Times New Roman"/>
                <w:color w:val="202020"/>
              </w:rPr>
              <w:t xml:space="preserve">Seminar in History of Brazil </w:t>
            </w:r>
            <w:r>
              <w:rPr>
                <w:rFonts w:ascii="Times New Roman" w:hAnsi="Times New Roman" w:eastAsia="Times New Roman" w:cs="Times New Roman"/>
                <w:color w:val="000000"/>
              </w:rPr>
              <w:t>XXI</w:t>
            </w:r>
          </w:p>
        </w:tc>
        <w:tc>
          <w:tcPr>
            <w:tcW w:w="3232" w:type="dxa"/>
            <w:tcBorders>
              <w:top w:val="single" w:color="000000" w:sz="18" w:space="0"/>
              <w:left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HIS094</w:t>
            </w:r>
          </w:p>
        </w:tc>
      </w:tr>
      <w:tr>
        <w:tblPrEx>
          <w:tblCellMar>
            <w:top w:w="0" w:type="dxa"/>
            <w:left w:w="22" w:type="dxa"/>
            <w:bottom w:w="0" w:type="dxa"/>
            <w:right w:w="5" w:type="dxa"/>
          </w:tblCellMar>
        </w:tblPrEx>
        <w:trPr>
          <w:trHeight w:val="825" w:hRule="atLeast"/>
        </w:trPr>
        <w:tc>
          <w:tcPr>
            <w:tcW w:w="5789"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DEHIS</w:t>
            </w:r>
          </w:p>
        </w:tc>
        <w:tc>
          <w:tcPr>
            <w:tcW w:w="3232"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ICHS</w:t>
            </w:r>
          </w:p>
        </w:tc>
      </w:tr>
      <w:tr>
        <w:tblPrEx>
          <w:tblCellMar>
            <w:top w:w="0" w:type="dxa"/>
            <w:left w:w="22" w:type="dxa"/>
            <w:bottom w:w="0" w:type="dxa"/>
            <w:right w:w="5" w:type="dxa"/>
          </w:tblCellMar>
        </w:tblPrEx>
        <w:trPr>
          <w:trHeight w:val="1242" w:hRule="atLeast"/>
        </w:trPr>
        <w:tc>
          <w:tcPr>
            <w:tcW w:w="2723"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325"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54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semestral </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54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3066"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3232"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 02 horas/aula</w:t>
            </w:r>
          </w:p>
        </w:tc>
      </w:tr>
      <w:tr>
        <w:tblPrEx>
          <w:tblCellMar>
            <w:top w:w="0" w:type="dxa"/>
            <w:left w:w="22" w:type="dxa"/>
            <w:bottom w:w="0" w:type="dxa"/>
            <w:right w:w="5" w:type="dxa"/>
          </w:tblCellMar>
        </w:tblPrEx>
        <w:trPr>
          <w:trHeight w:val="830"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Ementa: Estudos aprofundados em temáticas sobre patrimônios (material e</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imaterial) museus e acervos documentais diversos no Brasil Imperial.</w:t>
            </w:r>
          </w:p>
        </w:tc>
      </w:tr>
      <w:tr>
        <w:tblPrEx>
          <w:tblCellMar>
            <w:top w:w="0" w:type="dxa"/>
            <w:left w:w="22" w:type="dxa"/>
            <w:bottom w:w="0" w:type="dxa"/>
            <w:right w:w="5" w:type="dxa"/>
          </w:tblCellMar>
        </w:tblPrEx>
        <w:trPr>
          <w:trHeight w:val="2481"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numPr>
                <w:ilvl w:val="0"/>
                <w:numId w:val="36"/>
              </w:numPr>
              <w:pBdr>
                <w:top w:val="none" w:color="auto" w:sz="0" w:space="0"/>
                <w:left w:val="none" w:color="auto" w:sz="0" w:space="0"/>
                <w:bottom w:val="none" w:color="auto" w:sz="0" w:space="0"/>
                <w:right w:val="none" w:color="auto" w:sz="0" w:space="0"/>
                <w:between w:val="none" w:color="auto" w:sz="0" w:space="0"/>
              </w:pBdr>
              <w:spacing w:before="137" w:line="360" w:lineRule="auto"/>
              <w:ind w:left="0" w:right="4293"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 Conceito de Patrimônio Cultural </w:t>
            </w:r>
          </w:p>
          <w:p>
            <w:pPr>
              <w:widowControl w:val="0"/>
              <w:numPr>
                <w:ilvl w:val="0"/>
                <w:numId w:val="36"/>
              </w:numPr>
              <w:pBdr>
                <w:top w:val="none" w:color="auto" w:sz="0" w:space="0"/>
                <w:left w:val="none" w:color="auto" w:sz="0" w:space="0"/>
                <w:bottom w:val="none" w:color="auto" w:sz="0" w:space="0"/>
                <w:right w:val="none" w:color="auto" w:sz="0" w:space="0"/>
                <w:between w:val="none" w:color="auto" w:sz="0" w:space="0"/>
              </w:pBdr>
              <w:spacing w:line="360" w:lineRule="auto"/>
              <w:ind w:left="0" w:right="4293"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 Patrimônio e identidade</w:t>
            </w:r>
          </w:p>
          <w:p>
            <w:pPr>
              <w:widowControl w:val="0"/>
              <w:numPr>
                <w:ilvl w:val="0"/>
                <w:numId w:val="36"/>
              </w:numPr>
              <w:pBdr>
                <w:top w:val="none" w:color="auto" w:sz="0" w:space="0"/>
                <w:left w:val="none" w:color="auto" w:sz="0" w:space="0"/>
                <w:bottom w:val="none" w:color="auto" w:sz="0" w:space="0"/>
                <w:right w:val="none" w:color="auto" w:sz="0" w:space="0"/>
                <w:between w:val="none" w:color="auto" w:sz="0" w:space="0"/>
              </w:pBdr>
              <w:spacing w:line="360" w:lineRule="auto"/>
              <w:ind w:left="0" w:right="4612"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 Objetos/Lugares de Memória </w:t>
            </w:r>
          </w:p>
          <w:p>
            <w:pPr>
              <w:widowControl w:val="0"/>
              <w:numPr>
                <w:ilvl w:val="0"/>
                <w:numId w:val="36"/>
              </w:numPr>
              <w:pBdr>
                <w:top w:val="none" w:color="auto" w:sz="0" w:space="0"/>
                <w:left w:val="none" w:color="auto" w:sz="0" w:space="0"/>
                <w:bottom w:val="none" w:color="auto" w:sz="0" w:space="0"/>
                <w:right w:val="none" w:color="auto" w:sz="0" w:space="0"/>
                <w:between w:val="none" w:color="auto" w:sz="0" w:space="0"/>
              </w:pBdr>
              <w:spacing w:line="360" w:lineRule="auto"/>
              <w:ind w:left="0" w:right="4612" w:hanging="2"/>
              <w:rPr>
                <w:rFonts w:ascii="Times New Roman" w:hAnsi="Times New Roman" w:eastAsia="Times New Roman" w:cs="Times New Roman"/>
                <w:color w:val="000000"/>
              </w:rPr>
            </w:pPr>
            <w:r>
              <w:rPr>
                <w:rFonts w:ascii="Times New Roman" w:hAnsi="Times New Roman" w:eastAsia="Times New Roman" w:cs="Times New Roman"/>
                <w:color w:val="000000"/>
              </w:rPr>
              <w:t>Documento/monumento</w:t>
            </w:r>
          </w:p>
          <w:p>
            <w:pPr>
              <w:widowControl w:val="0"/>
              <w:numPr>
                <w:ilvl w:val="0"/>
                <w:numId w:val="36"/>
              </w:num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 Pesquisa, práticas e produção de conhecimento no campo do patrimônio</w:t>
            </w:r>
          </w:p>
        </w:tc>
      </w:tr>
      <w:tr>
        <w:tblPrEx>
          <w:tblCellMar>
            <w:top w:w="0" w:type="dxa"/>
            <w:left w:w="22" w:type="dxa"/>
            <w:bottom w:w="0" w:type="dxa"/>
            <w:right w:w="5" w:type="dxa"/>
          </w:tblCellMar>
        </w:tblPrEx>
        <w:trPr>
          <w:trHeight w:val="1257"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2"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1"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ABREU, Regina; CHAGAS, Mário de Souza. </w:t>
            </w:r>
            <w:r>
              <w:rPr>
                <w:rFonts w:ascii="Times New Roman" w:hAnsi="Times New Roman" w:eastAsia="Times New Roman" w:cs="Times New Roman"/>
                <w:b/>
                <w:color w:val="000000"/>
              </w:rPr>
              <w:t>Memória e patrimônio: ensaios contemporâneos.</w:t>
            </w:r>
            <w:r>
              <w:rPr>
                <w:rFonts w:ascii="Times New Roman" w:hAnsi="Times New Roman" w:eastAsia="Times New Roman" w:cs="Times New Roman"/>
                <w:color w:val="000000"/>
              </w:rPr>
              <w:t>2ª.ed. Rio de Janeiro: Lamparina 2009. Call number: 338.483.12 M533 (EM) 2009 2ª.ed. 338.483.12:719 M533 (ICHS) [2009].</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5"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GONÇALVES, José Reginaldo Santos. </w:t>
            </w:r>
            <w:r>
              <w:rPr>
                <w:rFonts w:ascii="Times New Roman" w:hAnsi="Times New Roman" w:eastAsia="Times New Roman" w:cs="Times New Roman"/>
                <w:b/>
                <w:color w:val="000000"/>
              </w:rPr>
              <w:t>Antropologia dos objetos: museus e patrimônios</w:t>
            </w:r>
            <w:r>
              <w:rPr>
                <w:rFonts w:ascii="Times New Roman" w:hAnsi="Times New Roman" w:eastAsia="Times New Roman" w:cs="Times New Roman"/>
                <w:i/>
                <w:color w:val="000000"/>
              </w:rPr>
              <w:t xml:space="preserve">. </w:t>
            </w:r>
            <w:r>
              <w:rPr>
                <w:rFonts w:ascii="Times New Roman" w:hAnsi="Times New Roman" w:eastAsia="Times New Roman" w:cs="Times New Roman"/>
                <w:color w:val="000000"/>
              </w:rPr>
              <w:t>Rio de Janeiro: [MinC, IPHAN, DEMU] 2006. Call number: 069.1(082.1) M986 2007.</w:t>
            </w: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right="57"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PRIORI, Angelo. </w:t>
            </w:r>
            <w:r>
              <w:rPr>
                <w:rFonts w:ascii="Times New Roman" w:hAnsi="Times New Roman" w:eastAsia="Times New Roman" w:cs="Times New Roman"/>
                <w:b/>
                <w:color w:val="000000"/>
              </w:rPr>
              <w:t xml:space="preserve">História, memória e patrimônio. </w:t>
            </w:r>
            <w:r>
              <w:rPr>
                <w:rFonts w:ascii="Times New Roman" w:hAnsi="Times New Roman" w:eastAsia="Times New Roman" w:cs="Times New Roman"/>
                <w:color w:val="000000"/>
              </w:rPr>
              <w:t>Maringá: EDUEM 2009. Call number: 930.1 H673 2009.</w:t>
            </w: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right="58"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POULOT, Dominique; TEIXEIRA, Guilherme João de Freitas. </w:t>
            </w:r>
            <w:r>
              <w:rPr>
                <w:rFonts w:ascii="Times New Roman" w:hAnsi="Times New Roman" w:eastAsia="Times New Roman" w:cs="Times New Roman"/>
                <w:b/>
                <w:color w:val="000000"/>
              </w:rPr>
              <w:t>Uma história do patrimônio no Ocidente, séculos XVIII-XXI: do monumento aos valores</w:t>
            </w:r>
            <w:r>
              <w:rPr>
                <w:rFonts w:ascii="Times New Roman" w:hAnsi="Times New Roman" w:eastAsia="Times New Roman" w:cs="Times New Roman"/>
                <w:color w:val="000000"/>
              </w:rPr>
              <w:t>. São</w:t>
            </w:r>
          </w:p>
          <w:p>
            <w:pPr>
              <w:widowControl w:val="0"/>
              <w:pBdr>
                <w:top w:val="none" w:color="auto" w:sz="0" w:space="0"/>
                <w:left w:val="none" w:color="auto" w:sz="0" w:space="0"/>
                <w:bottom w:val="none" w:color="auto" w:sz="0" w:space="0"/>
                <w:right w:val="none" w:color="auto" w:sz="0" w:space="0"/>
                <w:between w:val="none" w:color="auto" w:sz="0" w:space="0"/>
              </w:pBdr>
              <w:spacing w:before="3"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Paulo: Estação Liberdade, 2009. Call number: 719:316.7 P874h 2009 (IFAC).</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4"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NORA, Pierre. </w:t>
            </w:r>
            <w:r>
              <w:rPr>
                <w:rFonts w:ascii="Times New Roman" w:hAnsi="Times New Roman" w:eastAsia="Times New Roman" w:cs="Times New Roman"/>
                <w:b/>
                <w:color w:val="000000"/>
              </w:rPr>
              <w:t>Les lieux de memoire.</w:t>
            </w:r>
            <w:r>
              <w:rPr>
                <w:rFonts w:ascii="Times New Roman" w:hAnsi="Times New Roman" w:eastAsia="Times New Roman" w:cs="Times New Roman"/>
                <w:color w:val="000000"/>
              </w:rPr>
              <w:t>[Paris]: Gallimard, 1986. Call number: 94(44) L721n (ICHS) c1986 V.2.</w:t>
            </w:r>
          </w:p>
        </w:tc>
      </w:tr>
      <w:tr>
        <w:tblPrEx>
          <w:tblCellMar>
            <w:top w:w="0" w:type="dxa"/>
            <w:left w:w="22" w:type="dxa"/>
            <w:bottom w:w="0" w:type="dxa"/>
            <w:right w:w="5" w:type="dxa"/>
          </w:tblCellMar>
        </w:tblPrEx>
        <w:trPr>
          <w:trHeight w:val="974"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9"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71" w:hanging="2"/>
              <w:jc w:val="both"/>
              <w:rPr>
                <w:rFonts w:ascii="Times New Roman" w:hAnsi="Times New Roman" w:eastAsia="Times New Roman" w:cs="Times New Roman"/>
                <w:color w:val="000000"/>
              </w:rPr>
            </w:pPr>
            <w:r>
              <w:rPr>
                <w:rFonts w:ascii="Times New Roman" w:hAnsi="Times New Roman" w:eastAsia="Times New Roman" w:cs="Times New Roman"/>
                <w:b/>
                <w:color w:val="000000"/>
              </w:rPr>
              <w:t>ANAIS DO MUSEU HISTÓRICO NACIONAL</w:t>
            </w:r>
            <w:r>
              <w:rPr>
                <w:rFonts w:ascii="Times New Roman" w:hAnsi="Times New Roman" w:eastAsia="Times New Roman" w:cs="Times New Roman"/>
                <w:i/>
                <w:color w:val="000000"/>
              </w:rPr>
              <w:t xml:space="preserve">. </w:t>
            </w:r>
            <w:r>
              <w:rPr>
                <w:rFonts w:ascii="Times New Roman" w:hAnsi="Times New Roman" w:eastAsia="Times New Roman" w:cs="Times New Roman"/>
                <w:color w:val="000000"/>
              </w:rPr>
              <w:t>Rio de Janeiro, RJ: Ministério da Educação e Cultura. Call number: Periódico.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7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ABREU, Regina; CHAGAS, Mário de Souza; SANTOS, Myrian Sepúlveda dos; </w:t>
            </w:r>
            <w:r>
              <w:rPr>
                <w:rFonts w:ascii="Times New Roman" w:hAnsi="Times New Roman" w:eastAsia="Times New Roman" w:cs="Times New Roman"/>
                <w:b/>
                <w:color w:val="000000"/>
              </w:rPr>
              <w:t>Ministério da Cultura-</w:t>
            </w:r>
            <w:r>
              <w:rPr>
                <w:rFonts w:ascii="Times New Roman" w:hAnsi="Times New Roman" w:eastAsia="Times New Roman" w:cs="Times New Roman"/>
                <w:color w:val="000000"/>
              </w:rPr>
              <w:t>Instituto do Patrimônio Histórico e Artístitico Nacional; Departamento de Museus e Centros Culturais. Museus, coleções e patrimônios: narrativa polifônicas. Rio de Janeiro: Garamond MinC, IPHAN, DEMU 2007. Call number: 069.1(082.1) M9862007</w:t>
            </w: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right="63"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AZEVEDO, Flávia Lemos Mota de, PIRES, João Ricardo Ferreira, CATÃO, Leandro Pena Catão. </w:t>
            </w:r>
            <w:r>
              <w:rPr>
                <w:rFonts w:ascii="Times New Roman" w:hAnsi="Times New Roman" w:eastAsia="Times New Roman" w:cs="Times New Roman"/>
                <w:b/>
                <w:color w:val="000000"/>
              </w:rPr>
              <w:t>CIDADANIA, memória e patrimônio: as dimensões do museu no cenário atual</w:t>
            </w:r>
            <w:r>
              <w:rPr>
                <w:rFonts w:ascii="Times New Roman" w:hAnsi="Times New Roman" w:eastAsia="Times New Roman" w:cs="Times New Roman"/>
                <w:i/>
                <w:color w:val="000000"/>
              </w:rPr>
              <w:t xml:space="preserve">. </w:t>
            </w:r>
            <w:r>
              <w:rPr>
                <w:rFonts w:ascii="Times New Roman" w:hAnsi="Times New Roman" w:eastAsia="Times New Roman" w:cs="Times New Roman"/>
                <w:color w:val="000000"/>
              </w:rPr>
              <w:t>Belo Horizonte: Crisálida 2009. Call number: 069.63 C568 2009.</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DODEBEI, Vera; ABREU, Regina. </w:t>
            </w:r>
            <w:r>
              <w:rPr>
                <w:rFonts w:ascii="Times New Roman" w:hAnsi="Times New Roman" w:eastAsia="Times New Roman" w:cs="Times New Roman"/>
                <w:b/>
                <w:color w:val="000000"/>
              </w:rPr>
              <w:t xml:space="preserve">E o patrimônio? </w:t>
            </w:r>
            <w:r>
              <w:rPr>
                <w:rFonts w:ascii="Times New Roman" w:hAnsi="Times New Roman" w:eastAsia="Times New Roman" w:cs="Times New Roman"/>
                <w:color w:val="000000"/>
              </w:rPr>
              <w:t>Rio de Janeiro: Contra Capa Programa de Pós-Graduação em Mémória Social da Universidade Federal do Estado do Rio de Janeiro 2008. Call number: 719:316.6 E622008.</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2"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PAULA, Zueleide Casagrande de; MENDONÇA, Lúcia Glicério; ROMANELLO, Jorge Luís. </w:t>
            </w:r>
            <w:r>
              <w:rPr>
                <w:rFonts w:ascii="Times New Roman" w:hAnsi="Times New Roman" w:eastAsia="Times New Roman" w:cs="Times New Roman"/>
                <w:b/>
                <w:color w:val="000000"/>
              </w:rPr>
              <w:t xml:space="preserve">Polifonia do patrimônio. </w:t>
            </w:r>
            <w:r>
              <w:rPr>
                <w:rFonts w:ascii="Times New Roman" w:hAnsi="Times New Roman" w:eastAsia="Times New Roman" w:cs="Times New Roman"/>
                <w:color w:val="000000"/>
              </w:rPr>
              <w:t>Londrina: Eduel, 2012. Call number: 719:316.7(81) P766 2012 (IFAC).</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SILVA, Zelia Lopes da.</w:t>
            </w:r>
            <w:r>
              <w:rPr>
                <w:rFonts w:ascii="Times New Roman" w:hAnsi="Times New Roman" w:eastAsia="Times New Roman" w:cs="Times New Roman"/>
                <w:b/>
                <w:color w:val="000000"/>
              </w:rPr>
              <w:t xml:space="preserve">Arquivos, patrimônio e memória: trajetórias e perspectivas . </w:t>
            </w:r>
            <w:r>
              <w:rPr>
                <w:rFonts w:ascii="Times New Roman" w:hAnsi="Times New Roman" w:eastAsia="Times New Roman" w:cs="Times New Roman"/>
                <w:color w:val="000000"/>
              </w:rPr>
              <w:t>3. reimp ed. São Paulo: UNESP/FAPESP 1999. Call number: 930.25 A772 1999.</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VELHO, Gilberto. </w:t>
            </w:r>
            <w:r>
              <w:rPr>
                <w:rFonts w:ascii="Times New Roman" w:hAnsi="Times New Roman" w:eastAsia="Times New Roman" w:cs="Times New Roman"/>
                <w:b/>
                <w:color w:val="000000"/>
              </w:rPr>
              <w:t xml:space="preserve">“Patrimônio, negociação e conflito”, </w:t>
            </w:r>
            <w:r>
              <w:rPr>
                <w:rFonts w:ascii="Times New Roman" w:hAnsi="Times New Roman" w:eastAsia="Times New Roman" w:cs="Times New Roman"/>
                <w:color w:val="000000"/>
              </w:rPr>
              <w:t>Mana, 12 (1), 237-238,2006</w:t>
            </w:r>
          </w:p>
        </w:tc>
      </w:tr>
    </w:tbl>
    <w:p>
      <w:pPr>
        <w:pBdr>
          <w:top w:val="none" w:color="auto" w:sz="0" w:space="0"/>
          <w:left w:val="none" w:color="auto" w:sz="0" w:space="0"/>
          <w:bottom w:val="none" w:color="auto" w:sz="0" w:space="0"/>
          <w:right w:val="none" w:color="auto" w:sz="0" w:space="0"/>
          <w:between w:val="none" w:color="auto" w:sz="0" w:space="0"/>
        </w:pBdr>
        <w:spacing w:before="7" w:after="140" w:line="288" w:lineRule="auto"/>
        <w:ind w:left="0" w:leftChars="0" w:firstLine="0" w:firstLineChars="0"/>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7" w:after="140" w:line="288" w:lineRule="auto"/>
        <w:ind w:left="0" w:hanging="2"/>
        <w:rPr>
          <w:rFonts w:ascii="Times New Roman" w:hAnsi="Times New Roman" w:eastAsia="Times New Roman" w:cs="Times New Roman"/>
          <w:color w:val="000000"/>
        </w:rPr>
      </w:pPr>
    </w:p>
    <w:tbl>
      <w:tblPr>
        <w:tblStyle w:val="531"/>
        <w:tblW w:w="8951" w:type="dxa"/>
        <w:tblInd w:w="2" w:type="dxa"/>
        <w:tblLayout w:type="fixed"/>
        <w:tblCellMar>
          <w:top w:w="0" w:type="dxa"/>
          <w:left w:w="22" w:type="dxa"/>
          <w:bottom w:w="0" w:type="dxa"/>
          <w:right w:w="5" w:type="dxa"/>
        </w:tblCellMar>
      </w:tblPr>
      <w:tblGrid>
        <w:gridCol w:w="2830"/>
        <w:gridCol w:w="3118"/>
        <w:gridCol w:w="3003"/>
      </w:tblGrid>
      <w:tr>
        <w:tblPrEx>
          <w:tblCellMar>
            <w:top w:w="0" w:type="dxa"/>
            <w:left w:w="22" w:type="dxa"/>
            <w:bottom w:w="0" w:type="dxa"/>
            <w:right w:w="5" w:type="dxa"/>
          </w:tblCellMar>
        </w:tblPrEx>
        <w:trPr>
          <w:trHeight w:val="2068" w:hRule="atLeast"/>
        </w:trPr>
        <w:tc>
          <w:tcPr>
            <w:tcW w:w="5948"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Seminário em história do Brasil XXII</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885"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Nome do Componente Curricular em inglês: </w:t>
            </w:r>
            <w:r>
              <w:rPr>
                <w:rFonts w:ascii="Times New Roman" w:hAnsi="Times New Roman" w:eastAsia="Times New Roman" w:cs="Times New Roman"/>
                <w:color w:val="202020"/>
              </w:rPr>
              <w:t xml:space="preserve">Seminar in History of Brazil </w:t>
            </w:r>
            <w:r>
              <w:rPr>
                <w:rFonts w:ascii="Times New Roman" w:hAnsi="Times New Roman" w:eastAsia="Times New Roman" w:cs="Times New Roman"/>
                <w:color w:val="000000"/>
              </w:rPr>
              <w:t>XXII</w:t>
            </w:r>
          </w:p>
        </w:tc>
        <w:tc>
          <w:tcPr>
            <w:tcW w:w="3003"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HIS095</w:t>
            </w:r>
          </w:p>
        </w:tc>
      </w:tr>
      <w:tr>
        <w:tblPrEx>
          <w:tblCellMar>
            <w:top w:w="0" w:type="dxa"/>
            <w:left w:w="22" w:type="dxa"/>
            <w:bottom w:w="0" w:type="dxa"/>
            <w:right w:w="5" w:type="dxa"/>
          </w:tblCellMar>
        </w:tblPrEx>
        <w:trPr>
          <w:trHeight w:val="830" w:hRule="atLeast"/>
        </w:trPr>
        <w:tc>
          <w:tcPr>
            <w:tcW w:w="5948"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Departamento de História - DEHIS</w:t>
            </w:r>
          </w:p>
        </w:tc>
        <w:tc>
          <w:tcPr>
            <w:tcW w:w="3003"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ICHS</w:t>
            </w:r>
          </w:p>
        </w:tc>
      </w:tr>
      <w:tr>
        <w:tblPrEx>
          <w:tblCellMar>
            <w:top w:w="0" w:type="dxa"/>
            <w:left w:w="22" w:type="dxa"/>
            <w:bottom w:w="0" w:type="dxa"/>
            <w:right w:w="5" w:type="dxa"/>
          </w:tblCellMar>
        </w:tblPrEx>
        <w:trPr>
          <w:trHeight w:val="1243" w:hRule="atLeast"/>
        </w:trPr>
        <w:tc>
          <w:tcPr>
            <w:tcW w:w="2830"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428"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2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3118"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3003"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02 horas/aula</w:t>
            </w:r>
          </w:p>
        </w:tc>
      </w:tr>
      <w:tr>
        <w:tblPrEx>
          <w:tblCellMar>
            <w:top w:w="0" w:type="dxa"/>
            <w:left w:w="22" w:type="dxa"/>
            <w:bottom w:w="0" w:type="dxa"/>
            <w:right w:w="5" w:type="dxa"/>
          </w:tblCellMar>
        </w:tblPrEx>
        <w:trPr>
          <w:trHeight w:val="1655" w:hRule="atLeast"/>
        </w:trPr>
        <w:tc>
          <w:tcPr>
            <w:tcW w:w="895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Ementa:</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right="160" w:hanging="2"/>
              <w:rPr>
                <w:rFonts w:ascii="Times New Roman" w:hAnsi="Times New Roman" w:eastAsia="Times New Roman" w:cs="Times New Roman"/>
                <w:color w:val="000000"/>
              </w:rPr>
            </w:pPr>
            <w:r>
              <w:rPr>
                <w:rFonts w:ascii="Times New Roman" w:hAnsi="Times New Roman" w:eastAsia="Times New Roman" w:cs="Times New Roman"/>
                <w:color w:val="000000"/>
              </w:rPr>
              <w:t>Discussões de Temas ligados ao Brasil monárquico: A escravidão e o trabalho livre na constituição do Estado Nacional</w:t>
            </w:r>
          </w:p>
        </w:tc>
      </w:tr>
      <w:tr>
        <w:tblPrEx>
          <w:tblCellMar>
            <w:top w:w="0" w:type="dxa"/>
            <w:left w:w="22" w:type="dxa"/>
            <w:bottom w:w="0" w:type="dxa"/>
            <w:right w:w="5" w:type="dxa"/>
          </w:tblCellMar>
        </w:tblPrEx>
        <w:trPr>
          <w:trHeight w:val="2069" w:hRule="atLeast"/>
        </w:trPr>
        <w:tc>
          <w:tcPr>
            <w:tcW w:w="895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numPr>
                <w:ilvl w:val="0"/>
                <w:numId w:val="37"/>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Abordagem historiográfica sobre o tema</w:t>
            </w:r>
          </w:p>
          <w:p>
            <w:pPr>
              <w:widowControl w:val="0"/>
              <w:numPr>
                <w:ilvl w:val="0"/>
                <w:numId w:val="37"/>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line="360" w:lineRule="auto"/>
              <w:ind w:left="0" w:right="982" w:hanging="2"/>
              <w:rPr>
                <w:rFonts w:ascii="Times New Roman" w:hAnsi="Times New Roman" w:eastAsia="Times New Roman" w:cs="Times New Roman"/>
              </w:rPr>
            </w:pPr>
            <w:r>
              <w:rPr>
                <w:rFonts w:ascii="Times New Roman" w:hAnsi="Times New Roman" w:eastAsia="Times New Roman" w:cs="Times New Roman"/>
              </w:rPr>
              <w:t xml:space="preserve"> </w:t>
            </w:r>
            <w:r>
              <w:rPr>
                <w:rFonts w:ascii="Times New Roman" w:hAnsi="Times New Roman" w:eastAsia="Times New Roman" w:cs="Times New Roman"/>
                <w:color w:val="000000"/>
              </w:rPr>
              <w:t xml:space="preserve">Perspectivas teóricas e metodológicas sobre escravidão nas Américas </w:t>
            </w:r>
          </w:p>
          <w:p>
            <w:pPr>
              <w:widowControl w:val="0"/>
              <w:numPr>
                <w:ilvl w:val="0"/>
                <w:numId w:val="37"/>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line="360" w:lineRule="auto"/>
              <w:ind w:left="0" w:right="982" w:hanging="2"/>
              <w:rPr>
                <w:rFonts w:ascii="Times New Roman" w:hAnsi="Times New Roman" w:eastAsia="Times New Roman" w:cs="Times New Roman"/>
              </w:rPr>
            </w:pPr>
            <w:r>
              <w:rPr>
                <w:rFonts w:ascii="Times New Roman" w:hAnsi="Times New Roman" w:eastAsia="Times New Roman" w:cs="Times New Roman"/>
              </w:rPr>
              <w:t xml:space="preserve"> </w:t>
            </w:r>
            <w:r>
              <w:rPr>
                <w:rFonts w:ascii="Times New Roman" w:hAnsi="Times New Roman" w:eastAsia="Times New Roman" w:cs="Times New Roman"/>
                <w:color w:val="000000"/>
              </w:rPr>
              <w:t>O conceito de Segunda escravidão e o Estado Nacional</w:t>
            </w:r>
          </w:p>
          <w:p>
            <w:pPr>
              <w:widowControl w:val="0"/>
              <w:numPr>
                <w:ilvl w:val="0"/>
                <w:numId w:val="37"/>
              </w:num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Perspectivas comparadas: a América</w:t>
            </w:r>
          </w:p>
        </w:tc>
      </w:tr>
      <w:tr>
        <w:tblPrEx>
          <w:tblCellMar>
            <w:top w:w="0" w:type="dxa"/>
            <w:left w:w="22" w:type="dxa"/>
            <w:bottom w:w="0" w:type="dxa"/>
            <w:right w:w="5" w:type="dxa"/>
          </w:tblCellMar>
        </w:tblPrEx>
        <w:trPr>
          <w:trHeight w:val="3100" w:hRule="atLeast"/>
        </w:trPr>
        <w:tc>
          <w:tcPr>
            <w:tcW w:w="895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9"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6"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GRINBERG, Keila. </w:t>
            </w:r>
            <w:r>
              <w:rPr>
                <w:rFonts w:ascii="Times New Roman" w:hAnsi="Times New Roman" w:eastAsia="Times New Roman" w:cs="Times New Roman"/>
                <w:b/>
                <w:color w:val="000000"/>
              </w:rPr>
              <w:t xml:space="preserve">A poupança: alternativas para a compra da alforria no Brasil (2ª metade do século XIX). </w:t>
            </w:r>
            <w:r>
              <w:rPr>
                <w:rFonts w:ascii="Times New Roman" w:hAnsi="Times New Roman" w:eastAsia="Times New Roman" w:cs="Times New Roman"/>
                <w:color w:val="000000"/>
              </w:rPr>
              <w:t xml:space="preserve">Revista de Índias, v. 71, p. 137-158, 2011. </w:t>
            </w:r>
            <w:r>
              <w:fldChar w:fldCharType="begin"/>
            </w:r>
            <w:r>
              <w:instrText xml:space="preserve"> HYPERLINK "https://www.geledes.org.br/wp-content/uploads/2014/05/Poupanca-alternativas-para-compra-da-alforria-no-brasil.pdf" \h </w:instrText>
            </w:r>
            <w:r>
              <w:fldChar w:fldCharType="separate"/>
            </w:r>
            <w:r>
              <w:rPr>
                <w:rFonts w:ascii="Times New Roman" w:hAnsi="Times New Roman" w:eastAsia="Times New Roman" w:cs="Times New Roman"/>
                <w:color w:val="0000FF"/>
                <w:u w:val="single"/>
              </w:rPr>
              <w:t>https://www.geledes.org.br/wp-content/uploads/2014/05/Poupanca-alternativas-para-compra-da-alforria-no-brasil.pdf</w:t>
            </w:r>
            <w:r>
              <w:rPr>
                <w:rFonts w:ascii="Times New Roman" w:hAnsi="Times New Roman" w:eastAsia="Times New Roman" w:cs="Times New Roman"/>
                <w:color w:val="0000FF"/>
                <w:u w:val="single"/>
              </w:rPr>
              <w:fldChar w:fldCharType="end"/>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6"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GRINBERG, Keila; CAE, Rachel da Silveira. </w:t>
            </w:r>
            <w:r>
              <w:rPr>
                <w:rFonts w:ascii="Times New Roman" w:hAnsi="Times New Roman" w:eastAsia="Times New Roman" w:cs="Times New Roman"/>
                <w:b/>
                <w:color w:val="000000"/>
              </w:rPr>
              <w:t>Escravidão, fronteira e relações diplomáticas Brasil-Uruguai, 1840-1860.</w:t>
            </w:r>
            <w:r>
              <w:rPr>
                <w:rFonts w:ascii="Times New Roman" w:hAnsi="Times New Roman" w:eastAsia="Times New Roman" w:cs="Times New Roman"/>
                <w:color w:val="000000"/>
              </w:rPr>
              <w:t xml:space="preserve">Africana Studia, v. 14, p. 275-285, 2010. </w:t>
            </w:r>
            <w:r>
              <w:fldChar w:fldCharType="begin"/>
            </w:r>
            <w:r>
              <w:instrText xml:space="preserve"> HYPERLINK "http://www.escravidaoeliberdade.com.br/site/images/Textos4/keilagrinberg.pdf" \h </w:instrText>
            </w:r>
            <w:r>
              <w:fldChar w:fldCharType="separate"/>
            </w:r>
            <w:r>
              <w:rPr>
                <w:rFonts w:ascii="Times New Roman" w:hAnsi="Times New Roman" w:eastAsia="Times New Roman" w:cs="Times New Roman"/>
                <w:color w:val="0000FF"/>
                <w:u w:val="single"/>
              </w:rPr>
              <w:t>http://www.escravidaoeliberdade.com.br/site/images/Textos4/keilagrinberg.pdf</w:t>
            </w:r>
            <w:r>
              <w:rPr>
                <w:rFonts w:ascii="Times New Roman" w:hAnsi="Times New Roman" w:eastAsia="Times New Roman" w:cs="Times New Roman"/>
                <w:color w:val="0000FF"/>
                <w:u w:val="single"/>
              </w:rPr>
              <w:fldChar w:fldCharType="end"/>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8"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MAMIGONIAN, Beatriz Gallotti. </w:t>
            </w:r>
            <w:r>
              <w:rPr>
                <w:rFonts w:ascii="Times New Roman" w:hAnsi="Times New Roman" w:eastAsia="Times New Roman" w:cs="Times New Roman"/>
                <w:b/>
                <w:color w:val="000000"/>
              </w:rPr>
              <w:t xml:space="preserve">O Estado nacional e a instabilidade da propriedade escrava: a lei de 1831 e a matrícula dos escravos de 1872. </w:t>
            </w:r>
            <w:r>
              <w:rPr>
                <w:rFonts w:ascii="Times New Roman" w:hAnsi="Times New Roman" w:eastAsia="Times New Roman" w:cs="Times New Roman"/>
                <w:color w:val="000000"/>
              </w:rPr>
              <w:t>Almanack, p. 20-37, 2011.</w:t>
            </w:r>
          </w:p>
          <w:p>
            <w:pPr>
              <w:widowControl w:val="0"/>
              <w:pBdr>
                <w:top w:val="none" w:color="auto" w:sz="0" w:space="0"/>
                <w:left w:val="none" w:color="auto" w:sz="0" w:space="0"/>
                <w:bottom w:val="none" w:color="auto" w:sz="0" w:space="0"/>
                <w:right w:val="none" w:color="auto" w:sz="0" w:space="0"/>
                <w:between w:val="none" w:color="auto" w:sz="0" w:space="0"/>
              </w:pBdr>
              <w:spacing w:before="2" w:line="240" w:lineRule="auto"/>
              <w:ind w:left="0" w:hanging="2"/>
              <w:rPr>
                <w:rFonts w:ascii="Times New Roman" w:hAnsi="Times New Roman" w:eastAsia="Times New Roman" w:cs="Times New Roman"/>
                <w:color w:val="000000"/>
              </w:rPr>
            </w:pPr>
            <w:r>
              <w:fldChar w:fldCharType="begin"/>
            </w:r>
            <w:r>
              <w:instrText xml:space="preserve"> HYPERLINK "http://www.scielo.br/pdf/alm/n2/2236-4633-alm-02-00020.pdf" \h </w:instrText>
            </w:r>
            <w:r>
              <w:fldChar w:fldCharType="separate"/>
            </w:r>
            <w:r>
              <w:rPr>
                <w:rFonts w:ascii="Times New Roman" w:hAnsi="Times New Roman" w:eastAsia="Times New Roman" w:cs="Times New Roman"/>
                <w:color w:val="0000FF"/>
                <w:u w:val="single"/>
              </w:rPr>
              <w:t>http://www.scielo.br/pdf/alm/n2/2236-4633-alm-02-00020.pdf</w:t>
            </w:r>
            <w:r>
              <w:rPr>
                <w:rFonts w:ascii="Times New Roman" w:hAnsi="Times New Roman" w:eastAsia="Times New Roman" w:cs="Times New Roman"/>
                <w:color w:val="0000FF"/>
                <w:u w:val="single"/>
              </w:rPr>
              <w:fldChar w:fldCharType="end"/>
            </w:r>
          </w:p>
          <w:p>
            <w:pPr>
              <w:widowControl w:val="0"/>
              <w:pBdr>
                <w:top w:val="none" w:color="auto" w:sz="0" w:space="0"/>
                <w:left w:val="none" w:color="auto" w:sz="0" w:space="0"/>
                <w:bottom w:val="none" w:color="auto" w:sz="0" w:space="0"/>
                <w:right w:val="none" w:color="auto" w:sz="0" w:space="0"/>
                <w:between w:val="none" w:color="auto" w:sz="0" w:space="0"/>
              </w:pBdr>
              <w:spacing w:before="9"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tabs>
                <w:tab w:val="left" w:pos="831"/>
              </w:tabs>
              <w:spacing w:line="360" w:lineRule="auto"/>
              <w:ind w:left="0" w:right="55" w:hanging="2"/>
              <w:jc w:val="both"/>
              <w:rPr>
                <w:rFonts w:ascii="Times New Roman" w:hAnsi="Times New Roman" w:eastAsia="Times New Roman" w:cs="Times New Roman"/>
                <w:color w:val="000000"/>
              </w:rPr>
            </w:pPr>
            <w:r>
              <w:rPr>
                <w:rFonts w:ascii="Times New Roman" w:hAnsi="Times New Roman" w:eastAsia="Times New Roman" w:cs="Times New Roman"/>
                <w:color w:val="000000"/>
                <w:u w:val="single"/>
              </w:rPr>
              <w:tab/>
            </w:r>
            <w:r>
              <w:rPr>
                <w:rFonts w:ascii="Times New Roman" w:hAnsi="Times New Roman" w:eastAsia="Times New Roman" w:cs="Times New Roman"/>
                <w:color w:val="000000"/>
              </w:rPr>
              <w:t xml:space="preserve">. </w:t>
            </w:r>
            <w:r>
              <w:rPr>
                <w:rFonts w:ascii="Times New Roman" w:hAnsi="Times New Roman" w:eastAsia="Times New Roman" w:cs="Times New Roman"/>
                <w:b/>
                <w:color w:val="000000"/>
              </w:rPr>
              <w:t>Os direitos dos libertos africanos no Brasil oitocentista: entre razões de direito e considerações políticas</w:t>
            </w:r>
            <w:r>
              <w:rPr>
                <w:rFonts w:ascii="Times New Roman" w:hAnsi="Times New Roman" w:eastAsia="Times New Roman" w:cs="Times New Roman"/>
                <w:color w:val="000000"/>
              </w:rPr>
              <w:t>. História (São Paulo, online), v. 34, p. 181-205, 2015.</w:t>
            </w:r>
          </w:p>
          <w:p>
            <w:pPr>
              <w:widowControl w:val="0"/>
              <w:pBdr>
                <w:top w:val="none" w:color="auto" w:sz="0" w:space="0"/>
                <w:left w:val="none" w:color="auto" w:sz="0" w:space="0"/>
                <w:bottom w:val="none" w:color="auto" w:sz="0" w:space="0"/>
                <w:right w:val="none" w:color="auto" w:sz="0" w:space="0"/>
                <w:between w:val="none" w:color="auto" w:sz="0" w:space="0"/>
              </w:pBdr>
              <w:spacing w:before="2" w:line="240" w:lineRule="auto"/>
              <w:ind w:left="0" w:hanging="2"/>
              <w:rPr>
                <w:rFonts w:ascii="Times New Roman" w:hAnsi="Times New Roman" w:eastAsia="Times New Roman" w:cs="Times New Roman"/>
                <w:color w:val="000000"/>
              </w:rPr>
            </w:pPr>
            <w:r>
              <w:fldChar w:fldCharType="begin"/>
            </w:r>
            <w:r>
              <w:instrText xml:space="preserve"> HYPERLINK "http://www.scielo.br/pdf/his/v34n2/0101-9074-his-34-02-00181.pdf" \h </w:instrText>
            </w:r>
            <w:r>
              <w:fldChar w:fldCharType="separate"/>
            </w:r>
            <w:r>
              <w:rPr>
                <w:rFonts w:ascii="Times New Roman" w:hAnsi="Times New Roman" w:eastAsia="Times New Roman" w:cs="Times New Roman"/>
                <w:color w:val="0000FF"/>
                <w:u w:val="single"/>
              </w:rPr>
              <w:t>http://www.scielo.br/pdf/his/v34n2/0101-9074-his-34-02-00181.pdf</w:t>
            </w:r>
            <w:r>
              <w:rPr>
                <w:rFonts w:ascii="Times New Roman" w:hAnsi="Times New Roman" w:eastAsia="Times New Roman" w:cs="Times New Roman"/>
                <w:color w:val="0000FF"/>
                <w:u w:val="single"/>
              </w:rPr>
              <w:fldChar w:fldCharType="end"/>
            </w:r>
          </w:p>
          <w:p>
            <w:pPr>
              <w:widowControl w:val="0"/>
              <w:pBdr>
                <w:top w:val="none" w:color="auto" w:sz="0" w:space="0"/>
                <w:left w:val="none" w:color="auto" w:sz="0" w:space="0"/>
                <w:bottom w:val="none" w:color="auto" w:sz="0" w:space="0"/>
                <w:right w:val="none" w:color="auto" w:sz="0" w:space="0"/>
                <w:between w:val="none" w:color="auto" w:sz="0" w:space="0"/>
              </w:pBdr>
              <w:spacing w:before="9"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MARQUESE, Rafael de Bivar. </w:t>
            </w:r>
            <w:r>
              <w:rPr>
                <w:rFonts w:ascii="Times New Roman" w:hAnsi="Times New Roman" w:eastAsia="Times New Roman" w:cs="Times New Roman"/>
                <w:b/>
                <w:color w:val="000000"/>
              </w:rPr>
              <w:t xml:space="preserve">Capitalismo &amp; escravidão e a historiografia sobre a escravidão nas Américas. </w:t>
            </w:r>
            <w:r>
              <w:rPr>
                <w:rFonts w:ascii="Times New Roman" w:hAnsi="Times New Roman" w:eastAsia="Times New Roman" w:cs="Times New Roman"/>
                <w:color w:val="000000"/>
              </w:rPr>
              <w:t>Estudos Avançados (USP. impresso), v. 26, p. 341-354, 2012.</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fldChar w:fldCharType="begin"/>
            </w:r>
            <w:r>
              <w:instrText xml:space="preserve"> HYPERLINK "http://www.scielo.br/pdf/ea/v26n75/23.pdf" \h </w:instrText>
            </w:r>
            <w:r>
              <w:fldChar w:fldCharType="separate"/>
            </w:r>
            <w:r>
              <w:rPr>
                <w:rFonts w:ascii="Times New Roman" w:hAnsi="Times New Roman" w:eastAsia="Times New Roman" w:cs="Times New Roman"/>
                <w:color w:val="0000FF"/>
                <w:u w:val="single"/>
              </w:rPr>
              <w:t>http://www.scielo.br/pdf/ea/v26n75/23.pdf</w:t>
            </w:r>
            <w:r>
              <w:rPr>
                <w:rFonts w:ascii="Times New Roman" w:hAnsi="Times New Roman" w:eastAsia="Times New Roman" w:cs="Times New Roman"/>
                <w:color w:val="0000FF"/>
                <w:u w:val="single"/>
              </w:rPr>
              <w:fldChar w:fldCharType="end"/>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tc>
      </w:tr>
      <w:tr>
        <w:tblPrEx>
          <w:tblCellMar>
            <w:top w:w="0" w:type="dxa"/>
            <w:left w:w="22" w:type="dxa"/>
            <w:bottom w:w="0" w:type="dxa"/>
            <w:right w:w="5" w:type="dxa"/>
          </w:tblCellMar>
        </w:tblPrEx>
        <w:trPr>
          <w:trHeight w:val="421" w:hRule="atLeast"/>
        </w:trPr>
        <w:tc>
          <w:tcPr>
            <w:tcW w:w="8951" w:type="dxa"/>
            <w:gridSpan w:val="3"/>
            <w:tcBorders>
              <w:top w:val="single" w:color="000000" w:sz="4"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2"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3"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GRINBERG, Keila; BORGES, Magno Fonseca; SALLES, Ricardo. Rebeliões escravas antes da extinção do tráfico. IN: GRINBERG, Keila; SALLES, Ricardo. </w:t>
            </w:r>
            <w:r>
              <w:rPr>
                <w:rFonts w:ascii="Times New Roman" w:hAnsi="Times New Roman" w:eastAsia="Times New Roman" w:cs="Times New Roman"/>
                <w:b/>
                <w:color w:val="000000"/>
              </w:rPr>
              <w:t>O Brasil imperial, volume 1 – 1808-1831</w:t>
            </w:r>
            <w:r>
              <w:rPr>
                <w:rFonts w:ascii="Times New Roman" w:hAnsi="Times New Roman" w:eastAsia="Times New Roman" w:cs="Times New Roman"/>
                <w:i/>
                <w:color w:val="000000"/>
              </w:rPr>
              <w:t xml:space="preserve">. </w:t>
            </w:r>
            <w:r>
              <w:rPr>
                <w:rFonts w:ascii="Times New Roman" w:hAnsi="Times New Roman" w:eastAsia="Times New Roman" w:cs="Times New Roman"/>
                <w:color w:val="000000"/>
              </w:rPr>
              <w:t>Rio de Janeiro: Civilização Brasileira, 2010. 94(81).036/.07 B823 2011 (ICHS).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6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MATTOS, Ilmar Rohloff. </w:t>
            </w:r>
            <w:r>
              <w:rPr>
                <w:rFonts w:ascii="Times New Roman" w:hAnsi="Times New Roman" w:eastAsia="Times New Roman" w:cs="Times New Roman"/>
                <w:b/>
                <w:color w:val="000000"/>
              </w:rPr>
              <w:t xml:space="preserve">O tempo saquarema. </w:t>
            </w:r>
            <w:r>
              <w:rPr>
                <w:rFonts w:ascii="Times New Roman" w:hAnsi="Times New Roman" w:eastAsia="Times New Roman" w:cs="Times New Roman"/>
                <w:color w:val="000000"/>
              </w:rPr>
              <w:t>São Paulo: Perspectiva, 1986. 94(81) M444t c1999(ICHS).</w:t>
            </w: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right="5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PARRON, Tâmis. </w:t>
            </w:r>
            <w:r>
              <w:rPr>
                <w:rFonts w:ascii="Times New Roman" w:hAnsi="Times New Roman" w:eastAsia="Times New Roman" w:cs="Times New Roman"/>
                <w:b/>
                <w:color w:val="000000"/>
              </w:rPr>
              <w:t>Política do tráfico negreiro: o Parlamento imperial e a reabertura do comércio de escravos na década de 1830.</w:t>
            </w:r>
            <w:r>
              <w:rPr>
                <w:rFonts w:ascii="Times New Roman" w:hAnsi="Times New Roman" w:eastAsia="Times New Roman" w:cs="Times New Roman"/>
                <w:color w:val="000000"/>
              </w:rPr>
              <w:t>Estudos Afro-Asiáticos (UCAM, impresso), v.1-2-3, p. 91-121, 2007.</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fldChar w:fldCharType="begin"/>
            </w:r>
            <w:r>
              <w:instrText xml:space="preserve"> HYPERLINK "http://www.escravidaoeliberdade.com.br/site/images/Textos3/tamis%20pixoto.pdf" \h </w:instrText>
            </w:r>
            <w:r>
              <w:fldChar w:fldCharType="separate"/>
            </w:r>
            <w:r>
              <w:rPr>
                <w:rFonts w:ascii="Times New Roman" w:hAnsi="Times New Roman" w:eastAsia="Times New Roman" w:cs="Times New Roman"/>
                <w:color w:val="0000FF"/>
                <w:u w:val="single"/>
              </w:rPr>
              <w:t>http://www.escravidaoeliberdade.com.br/site/images/Textos3/tamis%20pixoto.pdf</w:t>
            </w:r>
            <w:r>
              <w:rPr>
                <w:rFonts w:ascii="Times New Roman" w:hAnsi="Times New Roman" w:eastAsia="Times New Roman" w:cs="Times New Roman"/>
                <w:color w:val="0000FF"/>
                <w:u w:val="single"/>
              </w:rPr>
              <w:fldChar w:fldCharType="end"/>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TOMICH, Dale. </w:t>
            </w:r>
            <w:r>
              <w:rPr>
                <w:rFonts w:ascii="Times New Roman" w:hAnsi="Times New Roman" w:eastAsia="Times New Roman" w:cs="Times New Roman"/>
                <w:b/>
                <w:color w:val="000000"/>
              </w:rPr>
              <w:t>Pelo prisma da escravidão. Trabalho, capital e economia mundial.</w:t>
            </w:r>
            <w:r>
              <w:rPr>
                <w:rFonts w:ascii="Times New Roman" w:hAnsi="Times New Roman" w:eastAsia="Times New Roman" w:cs="Times New Roman"/>
                <w:color w:val="000000"/>
              </w:rPr>
              <w:t>São Paulo: Edusp, 2011.</w:t>
            </w:r>
          </w:p>
        </w:tc>
      </w:tr>
    </w:tbl>
    <w:p>
      <w:pPr>
        <w:pBdr>
          <w:top w:val="none" w:color="auto" w:sz="0" w:space="0"/>
          <w:left w:val="none" w:color="auto" w:sz="0" w:space="0"/>
          <w:bottom w:val="none" w:color="auto" w:sz="0" w:space="0"/>
          <w:right w:val="none" w:color="auto" w:sz="0" w:space="0"/>
          <w:between w:val="none" w:color="auto" w:sz="0" w:space="0"/>
        </w:pBdr>
        <w:spacing w:before="10" w:after="14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10" w:after="14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10" w:after="140" w:line="288" w:lineRule="auto"/>
        <w:ind w:left="0" w:leftChars="0" w:firstLine="0" w:firstLineChars="0"/>
        <w:rPr>
          <w:rFonts w:ascii="Times New Roman" w:hAnsi="Times New Roman" w:eastAsia="Times New Roman" w:cs="Times New Roman"/>
          <w:color w:val="000000"/>
        </w:rPr>
      </w:pPr>
    </w:p>
    <w:tbl>
      <w:tblPr>
        <w:tblStyle w:val="532"/>
        <w:tblW w:w="9021" w:type="dxa"/>
        <w:tblInd w:w="2" w:type="dxa"/>
        <w:tblLayout w:type="fixed"/>
        <w:tblCellMar>
          <w:top w:w="0" w:type="dxa"/>
          <w:left w:w="22" w:type="dxa"/>
          <w:bottom w:w="0" w:type="dxa"/>
          <w:right w:w="22" w:type="dxa"/>
        </w:tblCellMar>
      </w:tblPr>
      <w:tblGrid>
        <w:gridCol w:w="2796"/>
        <w:gridCol w:w="3119"/>
        <w:gridCol w:w="3106"/>
      </w:tblGrid>
      <w:tr>
        <w:tblPrEx>
          <w:tblCellMar>
            <w:top w:w="0" w:type="dxa"/>
            <w:left w:w="22" w:type="dxa"/>
            <w:bottom w:w="0" w:type="dxa"/>
            <w:right w:w="22" w:type="dxa"/>
          </w:tblCellMar>
        </w:tblPrEx>
        <w:trPr>
          <w:trHeight w:val="1789" w:hRule="atLeast"/>
        </w:trPr>
        <w:tc>
          <w:tcPr>
            <w:tcW w:w="5915" w:type="dxa"/>
            <w:gridSpan w:val="2"/>
            <w:tcBorders>
              <w:top w:val="single" w:color="000000" w:sz="18" w:space="0"/>
              <w:lef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Seminário em História do Brasil XXIII</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801"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Nome do Componente Curricular em inglês: </w:t>
            </w:r>
            <w:r>
              <w:rPr>
                <w:rFonts w:ascii="Times New Roman" w:hAnsi="Times New Roman" w:eastAsia="Times New Roman" w:cs="Times New Roman"/>
                <w:color w:val="202020"/>
              </w:rPr>
              <w:t xml:space="preserve">Seminar in History of Brazil </w:t>
            </w:r>
            <w:r>
              <w:rPr>
                <w:rFonts w:ascii="Times New Roman" w:hAnsi="Times New Roman" w:eastAsia="Times New Roman" w:cs="Times New Roman"/>
                <w:color w:val="000000"/>
              </w:rPr>
              <w:t>XXIII</w:t>
            </w:r>
          </w:p>
        </w:tc>
        <w:tc>
          <w:tcPr>
            <w:tcW w:w="3106" w:type="dxa"/>
            <w:tcBorders>
              <w:top w:val="single" w:color="000000" w:sz="18" w:space="0"/>
              <w:left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HIS096</w:t>
            </w:r>
          </w:p>
        </w:tc>
      </w:tr>
      <w:tr>
        <w:tblPrEx>
          <w:tblCellMar>
            <w:top w:w="0" w:type="dxa"/>
            <w:left w:w="22" w:type="dxa"/>
            <w:bottom w:w="0" w:type="dxa"/>
            <w:right w:w="22" w:type="dxa"/>
          </w:tblCellMar>
        </w:tblPrEx>
        <w:trPr>
          <w:trHeight w:val="830" w:hRule="atLeast"/>
        </w:trPr>
        <w:tc>
          <w:tcPr>
            <w:tcW w:w="5915"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História - DEHIS</w:t>
            </w:r>
          </w:p>
        </w:tc>
        <w:tc>
          <w:tcPr>
            <w:tcW w:w="310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ICHS</w:t>
            </w:r>
          </w:p>
        </w:tc>
      </w:tr>
      <w:tr>
        <w:tblPrEx>
          <w:tblCellMar>
            <w:top w:w="0" w:type="dxa"/>
            <w:left w:w="22" w:type="dxa"/>
            <w:bottom w:w="0" w:type="dxa"/>
            <w:right w:w="22" w:type="dxa"/>
          </w:tblCellMar>
        </w:tblPrEx>
        <w:trPr>
          <w:trHeight w:val="1238" w:hRule="atLeast"/>
        </w:trPr>
        <w:tc>
          <w:tcPr>
            <w:tcW w:w="2796"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397"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3" w:line="240" w:lineRule="auto"/>
              <w:ind w:left="0" w:right="617"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semestral </w:t>
            </w:r>
          </w:p>
          <w:p>
            <w:pPr>
              <w:widowControl w:val="0"/>
              <w:pBdr>
                <w:top w:val="none" w:color="auto" w:sz="0" w:space="0"/>
                <w:left w:val="none" w:color="auto" w:sz="0" w:space="0"/>
                <w:bottom w:val="none" w:color="auto" w:sz="0" w:space="0"/>
                <w:right w:val="none" w:color="auto" w:sz="0" w:space="0"/>
                <w:between w:val="none" w:color="auto" w:sz="0" w:space="0"/>
              </w:pBdr>
              <w:spacing w:before="3" w:line="240" w:lineRule="auto"/>
              <w:ind w:left="0" w:right="617"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3119"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310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02 horas/aula</w:t>
            </w:r>
          </w:p>
        </w:tc>
      </w:tr>
      <w:tr>
        <w:tblPrEx>
          <w:tblCellMar>
            <w:top w:w="0" w:type="dxa"/>
            <w:left w:w="22" w:type="dxa"/>
            <w:bottom w:w="0" w:type="dxa"/>
            <w:right w:w="22" w:type="dxa"/>
          </w:tblCellMar>
        </w:tblPrEx>
        <w:trPr>
          <w:trHeight w:val="830"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Ementa: Tópicos em História Econômica Imperial: comércio e economia nos</w:t>
            </w:r>
          </w:p>
          <w:p>
            <w:pPr>
              <w:widowControl w:val="0"/>
              <w:pBdr>
                <w:top w:val="none" w:color="auto" w:sz="0" w:space="0"/>
                <w:left w:val="none" w:color="auto" w:sz="0" w:space="0"/>
                <w:bottom w:val="none" w:color="auto" w:sz="0" w:space="0"/>
                <w:right w:val="none" w:color="auto" w:sz="0" w:space="0"/>
                <w:between w:val="none" w:color="auto" w:sz="0" w:space="0"/>
              </w:pBdr>
              <w:spacing w:before="14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oitocentos</w:t>
            </w:r>
          </w:p>
        </w:tc>
      </w:tr>
      <w:tr>
        <w:tblPrEx>
          <w:tblCellMar>
            <w:top w:w="0" w:type="dxa"/>
            <w:left w:w="22" w:type="dxa"/>
            <w:bottom w:w="0" w:type="dxa"/>
            <w:right w:w="22" w:type="dxa"/>
          </w:tblCellMar>
        </w:tblPrEx>
        <w:trPr>
          <w:trHeight w:val="2481"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numPr>
                <w:ilvl w:val="0"/>
                <w:numId w:val="38"/>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Abordagem historiográfica sobre o tema</w:t>
            </w:r>
          </w:p>
          <w:p>
            <w:pPr>
              <w:widowControl w:val="0"/>
              <w:numPr>
                <w:ilvl w:val="0"/>
                <w:numId w:val="38"/>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line="360" w:lineRule="auto"/>
              <w:ind w:left="0" w:right="468" w:hanging="2"/>
              <w:rPr>
                <w:rFonts w:ascii="Times New Roman" w:hAnsi="Times New Roman" w:eastAsia="Times New Roman" w:cs="Times New Roman"/>
              </w:rPr>
            </w:pPr>
            <w:r>
              <w:rPr>
                <w:rFonts w:ascii="Times New Roman" w:hAnsi="Times New Roman" w:eastAsia="Times New Roman" w:cs="Times New Roman"/>
              </w:rPr>
              <w:t xml:space="preserve"> </w:t>
            </w:r>
            <w:r>
              <w:rPr>
                <w:rFonts w:ascii="Times New Roman" w:hAnsi="Times New Roman" w:eastAsia="Times New Roman" w:cs="Times New Roman"/>
                <w:color w:val="000000"/>
              </w:rPr>
              <w:t xml:space="preserve">Economia e sociedade brasileira no oitocentos: um século do liberalismo? </w:t>
            </w:r>
          </w:p>
          <w:p>
            <w:pPr>
              <w:widowControl w:val="0"/>
              <w:numPr>
                <w:ilvl w:val="0"/>
                <w:numId w:val="38"/>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line="360" w:lineRule="auto"/>
              <w:ind w:left="0" w:right="468" w:hanging="2"/>
              <w:rPr>
                <w:rFonts w:ascii="Times New Roman" w:hAnsi="Times New Roman" w:eastAsia="Times New Roman" w:cs="Times New Roman"/>
              </w:rPr>
            </w:pPr>
            <w:r>
              <w:rPr>
                <w:rFonts w:ascii="Times New Roman" w:hAnsi="Times New Roman" w:eastAsia="Times New Roman" w:cs="Times New Roman"/>
              </w:rPr>
              <w:t xml:space="preserve"> </w:t>
            </w:r>
            <w:r>
              <w:rPr>
                <w:rFonts w:ascii="Times New Roman" w:hAnsi="Times New Roman" w:eastAsia="Times New Roman" w:cs="Times New Roman"/>
                <w:color w:val="000000"/>
              </w:rPr>
              <w:t>Escravidão e economia: o capitalismo na América escravista</w:t>
            </w:r>
          </w:p>
          <w:p>
            <w:pPr>
              <w:widowControl w:val="0"/>
              <w:numPr>
                <w:ilvl w:val="0"/>
                <w:numId w:val="38"/>
              </w:num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 Comércio e capital financeiro: rentismo x empreendedorismo no Império.</w:t>
            </w:r>
          </w:p>
        </w:tc>
      </w:tr>
      <w:tr>
        <w:tblPrEx>
          <w:tblCellMar>
            <w:top w:w="0" w:type="dxa"/>
            <w:left w:w="22" w:type="dxa"/>
            <w:bottom w:w="0" w:type="dxa"/>
            <w:right w:w="22" w:type="dxa"/>
          </w:tblCellMar>
        </w:tblPrEx>
        <w:trPr>
          <w:trHeight w:val="1683"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CHAVES, Cláudia M. G; SLEMIAN, Andréa. </w:t>
            </w:r>
            <w:r>
              <w:rPr>
                <w:rFonts w:ascii="Times New Roman" w:hAnsi="Times New Roman" w:eastAsia="Times New Roman" w:cs="Times New Roman"/>
                <w:b/>
                <w:color w:val="000000"/>
              </w:rPr>
              <w:t>As praças de comércio (no prelo).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3"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COSTA, Wilma Peres. </w:t>
            </w:r>
            <w:r>
              <w:rPr>
                <w:rFonts w:ascii="Times New Roman" w:hAnsi="Times New Roman" w:eastAsia="Times New Roman" w:cs="Times New Roman"/>
                <w:b/>
                <w:color w:val="000000"/>
              </w:rPr>
              <w:t xml:space="preserve">A economia mercantil escravista nacional e o processo de construção do Estado no Brasil. </w:t>
            </w:r>
            <w:r>
              <w:rPr>
                <w:rFonts w:ascii="Times New Roman" w:hAnsi="Times New Roman" w:eastAsia="Times New Roman" w:cs="Times New Roman"/>
                <w:color w:val="000000"/>
              </w:rPr>
              <w:t xml:space="preserve">IN: SZMRECSÁNYI, Tamás; LAPA, José Roberto do Amaral. </w:t>
            </w:r>
            <w:r>
              <w:rPr>
                <w:rFonts w:ascii="Times New Roman" w:hAnsi="Times New Roman" w:eastAsia="Times New Roman" w:cs="Times New Roman"/>
                <w:b/>
                <w:color w:val="000000"/>
              </w:rPr>
              <w:t>História econômica da independência e do Império.</w:t>
            </w:r>
            <w:r>
              <w:rPr>
                <w:rFonts w:ascii="Times New Roman" w:hAnsi="Times New Roman" w:eastAsia="Times New Roman" w:cs="Times New Roman"/>
                <w:color w:val="000000"/>
              </w:rPr>
              <w:t>2ª ed. São Paulo: Hucitec; Associação Brasileira de Pesquisadores em História Econômica; Editora da Universidade de São Paulo; Imprensa Oficial, 2002.94(81).041 H673 (ICHS)2002</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7"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FRAGOSO, João Luís R; FLORENTINO, Manolo. </w:t>
            </w:r>
            <w:r>
              <w:rPr>
                <w:rFonts w:ascii="Times New Roman" w:hAnsi="Times New Roman" w:eastAsia="Times New Roman" w:cs="Times New Roman"/>
                <w:b/>
                <w:color w:val="000000"/>
              </w:rPr>
              <w:t>O arcaísmo como projeto: mercado atlântico, sociedade agrária e elite mercantil no Rio de Janeiro</w:t>
            </w:r>
            <w:r>
              <w:rPr>
                <w:rFonts w:ascii="Times New Roman" w:hAnsi="Times New Roman" w:eastAsia="Times New Roman" w:cs="Times New Roman"/>
                <w:color w:val="000000"/>
              </w:rPr>
              <w:t>. Rio de Janeiro: Diadorim, 1993. 981.03 F811a (ICHS) 1996.</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4"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GUIMARÃES, Carlos Gabriel. </w:t>
            </w:r>
            <w:r>
              <w:rPr>
                <w:rFonts w:ascii="Times New Roman" w:hAnsi="Times New Roman" w:eastAsia="Times New Roman" w:cs="Times New Roman"/>
                <w:b/>
                <w:color w:val="000000"/>
              </w:rPr>
              <w:t xml:space="preserve">A presença inglesa no Império Brasileiro: a firma Edward Johnston &amp; Co. e o comércio exportador, 1842-1852. </w:t>
            </w:r>
            <w:r>
              <w:rPr>
                <w:rFonts w:ascii="Times New Roman" w:hAnsi="Times New Roman" w:eastAsia="Times New Roman" w:cs="Times New Roman"/>
                <w:color w:val="000000"/>
              </w:rPr>
              <w:t xml:space="preserve">Tempo. Revista do Departamento de História da UFF, v. 21, p. 2-21, 2015. </w:t>
            </w:r>
            <w:r>
              <w:fldChar w:fldCharType="begin"/>
            </w:r>
            <w:r>
              <w:instrText xml:space="preserve"> HYPERLINK "http://www.scielo.br/pdf/tem/v21n37/1413-7704-tem-TEM_1980_542X2015v213705.pdf" \h </w:instrText>
            </w:r>
            <w:r>
              <w:fldChar w:fldCharType="separate"/>
            </w:r>
            <w:r>
              <w:rPr>
                <w:rFonts w:ascii="Times New Roman" w:hAnsi="Times New Roman" w:eastAsia="Times New Roman" w:cs="Times New Roman"/>
                <w:color w:val="0000FF"/>
                <w:u w:val="single"/>
              </w:rPr>
              <w:t>http://www.scielo.br/pdf/tem/v21n37/1413-7704-tem-TEM_1980_542X2015v213705.pdf</w:t>
            </w:r>
            <w:r>
              <w:rPr>
                <w:rFonts w:ascii="Times New Roman" w:hAnsi="Times New Roman" w:eastAsia="Times New Roman" w:cs="Times New Roman"/>
                <w:color w:val="0000FF"/>
                <w:u w:val="single"/>
              </w:rPr>
              <w:fldChar w:fldCharType="end"/>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SOARES, Luiz Carlos. </w:t>
            </w:r>
            <w:r>
              <w:rPr>
                <w:rFonts w:ascii="Times New Roman" w:hAnsi="Times New Roman" w:eastAsia="Times New Roman" w:cs="Times New Roman"/>
                <w:b/>
                <w:color w:val="000000"/>
              </w:rPr>
              <w:t xml:space="preserve">A indústria na sociedade escravista: as origens do crescimento manufatureiro na região fluminense em meados do século XIX (1840-1860). </w:t>
            </w:r>
            <w:r>
              <w:rPr>
                <w:rFonts w:ascii="Times New Roman" w:hAnsi="Times New Roman" w:eastAsia="Times New Roman" w:cs="Times New Roman"/>
                <w:color w:val="000000"/>
              </w:rPr>
              <w:t xml:space="preserve">IN: SZMRECSÁNYI, Tamás; LAPA, José Roberto do Amaral. </w:t>
            </w:r>
            <w:r>
              <w:rPr>
                <w:rFonts w:ascii="Times New Roman" w:hAnsi="Times New Roman" w:eastAsia="Times New Roman" w:cs="Times New Roman"/>
                <w:b/>
                <w:color w:val="000000"/>
              </w:rPr>
              <w:t>História econômica da independência e do Império.</w:t>
            </w:r>
            <w:r>
              <w:rPr>
                <w:rFonts w:ascii="Times New Roman" w:hAnsi="Times New Roman" w:eastAsia="Times New Roman" w:cs="Times New Roman"/>
                <w:color w:val="000000"/>
              </w:rPr>
              <w:t>2ª ed. São Paulo: Hucitec; Associação Brasileira de Pesquisadores em História Econômica; Editora da Universidade de São Paulo; Imprensa Oficial, 2002.94(81).041 H673 (ICHS) 2002.</w:t>
            </w:r>
          </w:p>
        </w:tc>
      </w:tr>
      <w:tr>
        <w:tblPrEx>
          <w:tblCellMar>
            <w:top w:w="0" w:type="dxa"/>
            <w:left w:w="22" w:type="dxa"/>
            <w:bottom w:w="0" w:type="dxa"/>
            <w:right w:w="22" w:type="dxa"/>
          </w:tblCellMar>
        </w:tblPrEx>
        <w:trPr>
          <w:trHeight w:val="8628"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7"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ALMEIDA, Paulo Roberto de. </w:t>
            </w:r>
            <w:r>
              <w:rPr>
                <w:rFonts w:ascii="Times New Roman" w:hAnsi="Times New Roman" w:eastAsia="Times New Roman" w:cs="Times New Roman"/>
                <w:b/>
                <w:color w:val="000000"/>
              </w:rPr>
              <w:t xml:space="preserve">Formação da diplomacia econômica no Brasil: as relações econômicas internacionais do Império. </w:t>
            </w:r>
            <w:r>
              <w:rPr>
                <w:rFonts w:ascii="Times New Roman" w:hAnsi="Times New Roman" w:eastAsia="Times New Roman" w:cs="Times New Roman"/>
                <w:color w:val="000000"/>
              </w:rPr>
              <w:t>2ª ed. São Paulo: Editora Senac; Brasília: Funag, 2005.</w:t>
            </w:r>
            <w:r>
              <w:fldChar w:fldCharType="begin"/>
            </w:r>
            <w:r>
              <w:instrText xml:space="preserve"> HYPERLINK "http://funag.gov.br/loja/download/1212-Formacao-da-diplomacia-economica-no-brasil-VOL1.pdf" \h </w:instrText>
            </w:r>
            <w:r>
              <w:fldChar w:fldCharType="separate"/>
            </w:r>
            <w:r>
              <w:rPr>
                <w:rFonts w:ascii="Times New Roman" w:hAnsi="Times New Roman" w:eastAsia="Times New Roman" w:cs="Times New Roman"/>
                <w:color w:val="0000FF"/>
                <w:u w:val="single"/>
              </w:rPr>
              <w:t>http://funag.gov.br/loja/download/1212-Formacao-da-diplomacia-economica-no-brasil-VOL1.pdf</w:t>
            </w:r>
            <w:r>
              <w:rPr>
                <w:rFonts w:ascii="Times New Roman" w:hAnsi="Times New Roman" w:eastAsia="Times New Roman" w:cs="Times New Roman"/>
                <w:color w:val="0000FF"/>
                <w:u w:val="single"/>
              </w:rPr>
              <w:fldChar w:fldCharType="end"/>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5"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FARIA JÚNIOR, Carlos de. </w:t>
            </w:r>
            <w:r>
              <w:rPr>
                <w:rFonts w:ascii="Times New Roman" w:hAnsi="Times New Roman" w:eastAsia="Times New Roman" w:cs="Times New Roman"/>
                <w:b/>
                <w:color w:val="000000"/>
              </w:rPr>
              <w:t xml:space="preserve">O pensamento econômico de José da Silva Lisboa, Visconde de Cairú. </w:t>
            </w:r>
            <w:r>
              <w:rPr>
                <w:rFonts w:ascii="Times New Roman" w:hAnsi="Times New Roman" w:eastAsia="Times New Roman" w:cs="Times New Roman"/>
                <w:color w:val="000000"/>
              </w:rPr>
              <w:t xml:space="preserve">352f. Tese (Doutorado em História), Faculdade de Filosofia, Letras e Ciências Humanas, Programa de Pós-Graduação em História Econômica, Universidade de São Paulo. </w:t>
            </w:r>
            <w:r>
              <w:fldChar w:fldCharType="begin"/>
            </w:r>
            <w:r>
              <w:instrText xml:space="preserve"> HYPERLINK "http://www.teses.usp.br/teses/disponiveis/8/8137/tde-15122008-154049/pt-br.php" \h </w:instrText>
            </w:r>
            <w:r>
              <w:fldChar w:fldCharType="separate"/>
            </w:r>
            <w:r>
              <w:rPr>
                <w:rFonts w:ascii="Times New Roman" w:hAnsi="Times New Roman" w:eastAsia="Times New Roman" w:cs="Times New Roman"/>
                <w:color w:val="0000FF"/>
                <w:u w:val="single"/>
              </w:rPr>
              <w:t>http://www.teses.usp.br/teses/disponiveis/8/8137/tde-15122008-154049/pt-br.php</w:t>
            </w:r>
            <w:r>
              <w:rPr>
                <w:rFonts w:ascii="Times New Roman" w:hAnsi="Times New Roman" w:eastAsia="Times New Roman" w:cs="Times New Roman"/>
                <w:color w:val="0000FF"/>
                <w:u w:val="single"/>
              </w:rPr>
              <w:fldChar w:fldCharType="end"/>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5"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FRAGOSO, João Luís. </w:t>
            </w:r>
            <w:r>
              <w:rPr>
                <w:rFonts w:ascii="Times New Roman" w:hAnsi="Times New Roman" w:eastAsia="Times New Roman" w:cs="Times New Roman"/>
                <w:b/>
                <w:color w:val="000000"/>
              </w:rPr>
              <w:t>Homens de grossa aventura: acumulação e hierarquia na praça mercantil do Rio de Janeiro, 1790-1830.</w:t>
            </w:r>
            <w:r>
              <w:rPr>
                <w:rFonts w:ascii="Times New Roman" w:hAnsi="Times New Roman" w:eastAsia="Times New Roman" w:cs="Times New Roman"/>
                <w:color w:val="000000"/>
              </w:rPr>
              <w:t>Rio de Janeiro: Arquivo Nacional, 1992. 94(81).03 F811h 1998 (ICHS)</w:t>
            </w:r>
          </w:p>
          <w:p>
            <w:pPr>
              <w:spacing w:line="360" w:lineRule="auto"/>
              <w:ind w:left="0" w:hanging="2"/>
              <w:rPr>
                <w:rFonts w:ascii="Times New Roman" w:hAnsi="Times New Roman" w:eastAsia="Times New Roman" w:cs="Times New Roman"/>
              </w:rPr>
            </w:pPr>
            <w:r>
              <w:rPr>
                <w:rFonts w:ascii="Times New Roman" w:hAnsi="Times New Roman" w:eastAsia="Times New Roman" w:cs="Times New Roman"/>
              </w:rPr>
              <w:t xml:space="preserve">MARQUESE, Rafael Bivar. Estados Unidos, Segunda Escravidão e a economia cafeeira do Império do Brasil. </w:t>
            </w:r>
            <w:r>
              <w:rPr>
                <w:rFonts w:ascii="Times New Roman" w:hAnsi="Times New Roman" w:eastAsia="Times New Roman" w:cs="Times New Roman"/>
                <w:b/>
              </w:rPr>
              <w:t xml:space="preserve">Almanack Guarulhos, </w:t>
            </w:r>
            <w:r>
              <w:rPr>
                <w:rFonts w:ascii="Times New Roman" w:hAnsi="Times New Roman" w:eastAsia="Times New Roman" w:cs="Times New Roman"/>
              </w:rPr>
              <w:t xml:space="preserve">n. 5, p. 51-60, 1º semestre de 2013. </w:t>
            </w:r>
            <w:r>
              <w:fldChar w:fldCharType="begin"/>
            </w:r>
            <w:r>
              <w:instrText xml:space="preserve"> HYPERLINK "http://www.scielo.br/pdf/alm/n5/2236-4633-alm-05-00051.pdf" \h </w:instrText>
            </w:r>
            <w:r>
              <w:fldChar w:fldCharType="separate"/>
            </w:r>
            <w:r>
              <w:rPr>
                <w:rFonts w:ascii="Times New Roman" w:hAnsi="Times New Roman" w:eastAsia="Times New Roman" w:cs="Times New Roman"/>
                <w:color w:val="0000FF"/>
                <w:u w:val="single"/>
              </w:rPr>
              <w:t>http://www.scielo.br/pdf/alm/n5/2236-4633-alm-05-00051.pdf</w:t>
            </w:r>
            <w:r>
              <w:rPr>
                <w:rFonts w:ascii="Times New Roman" w:hAnsi="Times New Roman" w:eastAsia="Times New Roman" w:cs="Times New Roman"/>
                <w:color w:val="0000FF"/>
                <w:u w:val="single"/>
              </w:rPr>
              <w:fldChar w:fldCharType="end"/>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PRADO JUNIOR, Caio. </w:t>
            </w:r>
            <w:r>
              <w:rPr>
                <w:rFonts w:ascii="Times New Roman" w:hAnsi="Times New Roman" w:eastAsia="Times New Roman" w:cs="Times New Roman"/>
                <w:b/>
              </w:rPr>
              <w:t xml:space="preserve">Formação do Brasil contemporâneo: colônia. 18ª ed. São Paulo: Brasiliense, </w:t>
            </w:r>
            <w:r>
              <w:rPr>
                <w:rFonts w:ascii="Times New Roman" w:hAnsi="Times New Roman" w:eastAsia="Times New Roman" w:cs="Times New Roman"/>
              </w:rPr>
              <w:t>1983. 94(81).013/.041 P896f 1970.</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ROSANVALLON, Pierre. </w:t>
            </w:r>
            <w:r>
              <w:rPr>
                <w:rFonts w:ascii="Times New Roman" w:hAnsi="Times New Roman" w:eastAsia="Times New Roman" w:cs="Times New Roman"/>
                <w:b/>
              </w:rPr>
              <w:t xml:space="preserve">Le liberalisme économique: histoire de l’idée de marche. </w:t>
            </w:r>
            <w:r>
              <w:rPr>
                <w:rFonts w:ascii="Times New Roman" w:hAnsi="Times New Roman" w:eastAsia="Times New Roman" w:cs="Times New Roman"/>
              </w:rPr>
              <w:t>Paris: Éditions Du Seuil, 1989.</w:t>
            </w:r>
          </w:p>
        </w:tc>
      </w:tr>
    </w:tbl>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2" w:after="140" w:line="288" w:lineRule="auto"/>
        <w:ind w:left="0" w:hanging="2"/>
        <w:rPr>
          <w:rFonts w:ascii="Times New Roman" w:hAnsi="Times New Roman" w:eastAsia="Times New Roman" w:cs="Times New Roman"/>
          <w:color w:val="000000"/>
        </w:rPr>
      </w:pPr>
    </w:p>
    <w:tbl>
      <w:tblPr>
        <w:tblStyle w:val="533"/>
        <w:tblW w:w="9021" w:type="dxa"/>
        <w:tblInd w:w="2" w:type="dxa"/>
        <w:tblLayout w:type="fixed"/>
        <w:tblCellMar>
          <w:top w:w="0" w:type="dxa"/>
          <w:left w:w="22" w:type="dxa"/>
          <w:bottom w:w="0" w:type="dxa"/>
          <w:right w:w="5" w:type="dxa"/>
        </w:tblCellMar>
      </w:tblPr>
      <w:tblGrid>
        <w:gridCol w:w="2723"/>
        <w:gridCol w:w="3123"/>
        <w:gridCol w:w="3175"/>
      </w:tblGrid>
      <w:tr>
        <w:tblPrEx>
          <w:tblCellMar>
            <w:top w:w="0" w:type="dxa"/>
            <w:left w:w="22" w:type="dxa"/>
            <w:bottom w:w="0" w:type="dxa"/>
            <w:right w:w="5" w:type="dxa"/>
          </w:tblCellMar>
        </w:tblPrEx>
        <w:trPr>
          <w:trHeight w:val="2073" w:hRule="atLeast"/>
        </w:trPr>
        <w:tc>
          <w:tcPr>
            <w:tcW w:w="5846"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384"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Seminário em História do Brasil XXIV - Minas Gerais</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384"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Nome do Componente Curricular em inglês: </w:t>
            </w:r>
            <w:r>
              <w:rPr>
                <w:rFonts w:ascii="Times New Roman" w:hAnsi="Times New Roman" w:eastAsia="Times New Roman" w:cs="Times New Roman"/>
                <w:color w:val="202020"/>
              </w:rPr>
              <w:t xml:space="preserve">Seminar in History of Brazil </w:t>
            </w:r>
            <w:r>
              <w:rPr>
                <w:rFonts w:ascii="Times New Roman" w:hAnsi="Times New Roman" w:eastAsia="Times New Roman" w:cs="Times New Roman"/>
                <w:color w:val="000000"/>
              </w:rPr>
              <w:t>XXIV – Minas Gerais</w:t>
            </w:r>
          </w:p>
        </w:tc>
        <w:tc>
          <w:tcPr>
            <w:tcW w:w="3175"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HIS097</w:t>
            </w:r>
          </w:p>
        </w:tc>
      </w:tr>
      <w:tr>
        <w:tblPrEx>
          <w:tblCellMar>
            <w:top w:w="0" w:type="dxa"/>
            <w:left w:w="22" w:type="dxa"/>
            <w:bottom w:w="0" w:type="dxa"/>
            <w:right w:w="5" w:type="dxa"/>
          </w:tblCellMar>
        </w:tblPrEx>
        <w:trPr>
          <w:trHeight w:val="830" w:hRule="atLeast"/>
        </w:trPr>
        <w:tc>
          <w:tcPr>
            <w:tcW w:w="5846"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Departamento de História - DEHIS</w:t>
            </w:r>
          </w:p>
        </w:tc>
        <w:tc>
          <w:tcPr>
            <w:tcW w:w="3175"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ICHS</w:t>
            </w:r>
          </w:p>
        </w:tc>
      </w:tr>
      <w:tr>
        <w:tblPrEx>
          <w:tblCellMar>
            <w:top w:w="0" w:type="dxa"/>
            <w:left w:w="22" w:type="dxa"/>
            <w:bottom w:w="0" w:type="dxa"/>
            <w:right w:w="5" w:type="dxa"/>
          </w:tblCellMar>
        </w:tblPrEx>
        <w:trPr>
          <w:trHeight w:val="1237" w:hRule="atLeast"/>
        </w:trPr>
        <w:tc>
          <w:tcPr>
            <w:tcW w:w="2723"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325"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3" w:line="240" w:lineRule="auto"/>
              <w:ind w:left="0" w:right="54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semestral 90 horas</w:t>
            </w:r>
          </w:p>
        </w:tc>
        <w:tc>
          <w:tcPr>
            <w:tcW w:w="3123"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3175"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 02 horas/aula</w:t>
            </w:r>
          </w:p>
        </w:tc>
      </w:tr>
      <w:tr>
        <w:tblPrEx>
          <w:tblCellMar>
            <w:top w:w="0" w:type="dxa"/>
            <w:left w:w="22" w:type="dxa"/>
            <w:bottom w:w="0" w:type="dxa"/>
            <w:right w:w="5" w:type="dxa"/>
          </w:tblCellMar>
        </w:tblPrEx>
        <w:trPr>
          <w:trHeight w:val="1661"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4" w:hanging="2"/>
              <w:rPr>
                <w:rFonts w:ascii="Times New Roman" w:hAnsi="Times New Roman" w:eastAsia="Times New Roman" w:cs="Times New Roman"/>
                <w:color w:val="000000"/>
              </w:rPr>
            </w:pPr>
            <w:r>
              <w:rPr>
                <w:rFonts w:ascii="Times New Roman" w:hAnsi="Times New Roman" w:eastAsia="Times New Roman" w:cs="Times New Roman"/>
                <w:color w:val="000000"/>
              </w:rPr>
              <w:t>Ementa: Espacialidade e escalas. Territorialidade, lugares e cartografias. Concepções e lógicas do espaço: local, regional, global. Perspectivas de Império e alteridade. Nação, cientificidade e identidades. Cartografia de Minas Gerais:</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tipologia, análise e elaboração cartográfica.</w:t>
            </w:r>
          </w:p>
        </w:tc>
      </w:tr>
      <w:tr>
        <w:tblPrEx>
          <w:tblCellMar>
            <w:top w:w="0" w:type="dxa"/>
            <w:left w:w="22" w:type="dxa"/>
            <w:bottom w:w="0" w:type="dxa"/>
            <w:right w:w="5" w:type="dxa"/>
          </w:tblCellMar>
        </w:tblPrEx>
        <w:trPr>
          <w:trHeight w:val="2494"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after="240"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numPr>
                <w:ilvl w:val="0"/>
                <w:numId w:val="39"/>
              </w:numPr>
              <w:pBdr>
                <w:top w:val="none" w:color="auto" w:sz="0" w:space="0"/>
                <w:left w:val="none" w:color="auto" w:sz="0" w:space="0"/>
                <w:bottom w:val="none" w:color="auto" w:sz="0" w:space="0"/>
                <w:right w:val="none" w:color="auto" w:sz="0" w:space="0"/>
                <w:between w:val="none" w:color="auto" w:sz="0" w:space="0"/>
              </w:pBdr>
              <w:tabs>
                <w:tab w:val="left" w:pos="0"/>
                <w:tab w:val="left" w:pos="376"/>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Espacialidade: geográfica, social e simbólica;</w:t>
            </w:r>
          </w:p>
          <w:p>
            <w:pPr>
              <w:widowControl w:val="0"/>
              <w:numPr>
                <w:ilvl w:val="0"/>
                <w:numId w:val="39"/>
              </w:numPr>
              <w:pBdr>
                <w:top w:val="none" w:color="auto" w:sz="0" w:space="0"/>
                <w:left w:val="none" w:color="auto" w:sz="0" w:space="0"/>
                <w:bottom w:val="none" w:color="auto" w:sz="0" w:space="0"/>
                <w:right w:val="none" w:color="auto" w:sz="0" w:space="0"/>
                <w:between w:val="none" w:color="auto" w:sz="0" w:space="0"/>
              </w:pBdr>
              <w:tabs>
                <w:tab w:val="left" w:pos="0"/>
                <w:tab w:val="left" w:pos="376"/>
              </w:tabs>
              <w:spacing w:line="360" w:lineRule="auto"/>
              <w:ind w:left="0" w:right="1076" w:hanging="2"/>
              <w:rPr>
                <w:rFonts w:ascii="Times New Roman" w:hAnsi="Times New Roman" w:eastAsia="Times New Roman" w:cs="Times New Roman"/>
              </w:rPr>
            </w:pPr>
            <w:r>
              <w:rPr>
                <w:rFonts w:ascii="Times New Roman" w:hAnsi="Times New Roman" w:eastAsia="Times New Roman" w:cs="Times New Roman"/>
              </w:rPr>
              <w:t xml:space="preserve"> </w:t>
            </w:r>
            <w:r>
              <w:rPr>
                <w:rFonts w:ascii="Times New Roman" w:hAnsi="Times New Roman" w:eastAsia="Times New Roman" w:cs="Times New Roman"/>
                <w:color w:val="000000"/>
              </w:rPr>
              <w:t xml:space="preserve">Visões e artefatos da territorialidade: mapas e descrições cartográficas; </w:t>
            </w:r>
          </w:p>
          <w:p>
            <w:pPr>
              <w:widowControl w:val="0"/>
              <w:numPr>
                <w:ilvl w:val="0"/>
                <w:numId w:val="39"/>
              </w:numPr>
              <w:pBdr>
                <w:top w:val="none" w:color="auto" w:sz="0" w:space="0"/>
                <w:left w:val="none" w:color="auto" w:sz="0" w:space="0"/>
                <w:bottom w:val="none" w:color="auto" w:sz="0" w:space="0"/>
                <w:right w:val="none" w:color="auto" w:sz="0" w:space="0"/>
                <w:between w:val="none" w:color="auto" w:sz="0" w:space="0"/>
              </w:pBdr>
              <w:tabs>
                <w:tab w:val="left" w:pos="0"/>
                <w:tab w:val="left" w:pos="376"/>
              </w:tabs>
              <w:spacing w:line="360" w:lineRule="auto"/>
              <w:ind w:left="0" w:right="1076"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 Alteridades e identidades do jogo de escala: entre o local e o global;</w:t>
            </w:r>
          </w:p>
          <w:p>
            <w:pPr>
              <w:widowControl w:val="0"/>
              <w:numPr>
                <w:ilvl w:val="0"/>
                <w:numId w:val="39"/>
              </w:numPr>
              <w:pBdr>
                <w:top w:val="none" w:color="auto" w:sz="0" w:space="0"/>
                <w:left w:val="none" w:color="auto" w:sz="0" w:space="0"/>
                <w:bottom w:val="none" w:color="auto" w:sz="0" w:space="0"/>
                <w:right w:val="none" w:color="auto" w:sz="0" w:space="0"/>
                <w:between w:val="none" w:color="auto" w:sz="0" w:space="0"/>
              </w:pBdr>
              <w:tabs>
                <w:tab w:val="left" w:pos="0"/>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Imagens cartográficas de Minas Gerais: análises e elaboração de mapas.</w:t>
            </w:r>
          </w:p>
        </w:tc>
      </w:tr>
      <w:tr>
        <w:tblPrEx>
          <w:tblCellMar>
            <w:top w:w="0" w:type="dxa"/>
            <w:left w:w="22" w:type="dxa"/>
            <w:bottom w:w="0" w:type="dxa"/>
            <w:right w:w="5" w:type="dxa"/>
          </w:tblCellMar>
        </w:tblPrEx>
        <w:trPr>
          <w:trHeight w:val="548"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240" w:line="360" w:lineRule="auto"/>
              <w:ind w:left="0" w:right="57"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BLACK, Jeremy. </w:t>
            </w:r>
            <w:r>
              <w:rPr>
                <w:rFonts w:ascii="Times New Roman" w:hAnsi="Times New Roman" w:eastAsia="Times New Roman" w:cs="Times New Roman"/>
                <w:b/>
                <w:color w:val="000000"/>
              </w:rPr>
              <w:t xml:space="preserve">Mapas e história: </w:t>
            </w:r>
            <w:r>
              <w:rPr>
                <w:rFonts w:ascii="Times New Roman" w:hAnsi="Times New Roman" w:eastAsia="Times New Roman" w:cs="Times New Roman"/>
                <w:color w:val="000000"/>
              </w:rPr>
              <w:t>construindo imagens do passado. Bauru: Edusc, 2005.</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7"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CASTRO, Iná Elias </w:t>
            </w:r>
            <w:r>
              <w:rPr>
                <w:rFonts w:ascii="Times New Roman" w:hAnsi="Times New Roman" w:eastAsia="Times New Roman" w:cs="Times New Roman"/>
                <w:i/>
                <w:color w:val="000000"/>
              </w:rPr>
              <w:t>et al.</w:t>
            </w:r>
            <w:r>
              <w:rPr>
                <w:rFonts w:ascii="Times New Roman" w:hAnsi="Times New Roman" w:eastAsia="Times New Roman" w:cs="Times New Roman"/>
                <w:color w:val="000000"/>
              </w:rPr>
              <w:t xml:space="preserve">(orgs.). </w:t>
            </w:r>
            <w:r>
              <w:rPr>
                <w:rFonts w:ascii="Times New Roman" w:hAnsi="Times New Roman" w:eastAsia="Times New Roman" w:cs="Times New Roman"/>
                <w:b/>
                <w:color w:val="000000"/>
              </w:rPr>
              <w:t xml:space="preserve">Explorações Geográficas. </w:t>
            </w:r>
            <w:r>
              <w:rPr>
                <w:rFonts w:ascii="Times New Roman" w:hAnsi="Times New Roman" w:eastAsia="Times New Roman" w:cs="Times New Roman"/>
                <w:color w:val="000000"/>
              </w:rPr>
              <w:t>Rio de Janeiro: Bertrand Brasil, 1997.</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9"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COSTA, Antônio Gilberto. </w:t>
            </w:r>
            <w:r>
              <w:rPr>
                <w:rFonts w:ascii="Times New Roman" w:hAnsi="Times New Roman" w:eastAsia="Times New Roman" w:cs="Times New Roman"/>
                <w:b/>
                <w:color w:val="000000"/>
              </w:rPr>
              <w:t>Cartografia da conquista do território das Minas</w:t>
            </w:r>
            <w:r>
              <w:rPr>
                <w:rFonts w:ascii="Times New Roman" w:hAnsi="Times New Roman" w:eastAsia="Times New Roman" w:cs="Times New Roman"/>
                <w:color w:val="000000"/>
              </w:rPr>
              <w:t>. Lisboa: Kapa Editora, 2004.</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3"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MARTINS, Roberto Borges. Tschudi, Halfeld, Wagner e a geografia de Minas Gerais no séculoXIX. In: HALFELD, H.G.F., TSCHUDI, J. J. von. </w:t>
            </w:r>
            <w:r>
              <w:rPr>
                <w:rFonts w:ascii="Times New Roman" w:hAnsi="Times New Roman" w:eastAsia="Times New Roman" w:cs="Times New Roman"/>
                <w:b/>
                <w:color w:val="000000"/>
              </w:rPr>
              <w:t xml:space="preserve">A província brasileira de Minas Gerais. </w:t>
            </w:r>
            <w:r>
              <w:rPr>
                <w:rFonts w:ascii="Times New Roman" w:hAnsi="Times New Roman" w:eastAsia="Times New Roman" w:cs="Times New Roman"/>
                <w:color w:val="000000"/>
              </w:rPr>
              <w:t>Belo Horizonte: Fundação João Pinheiro; Centro de Estudos Históricos e Culturais, 1998.</w:t>
            </w:r>
          </w:p>
        </w:tc>
      </w:tr>
      <w:tr>
        <w:tblPrEx>
          <w:tblCellMar>
            <w:top w:w="0" w:type="dxa"/>
            <w:left w:w="22" w:type="dxa"/>
            <w:bottom w:w="0" w:type="dxa"/>
            <w:right w:w="5" w:type="dxa"/>
          </w:tblCellMar>
        </w:tblPrEx>
        <w:trPr>
          <w:trHeight w:val="5191" w:hRule="atLeast"/>
        </w:trPr>
        <w:tc>
          <w:tcPr>
            <w:tcW w:w="9021" w:type="dxa"/>
            <w:gridSpan w:val="3"/>
            <w:tcBorders>
              <w:top w:val="single" w:color="000000" w:sz="4"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2"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right="62"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COSTA, Antonio Gilberto. </w:t>
            </w:r>
            <w:r>
              <w:rPr>
                <w:rFonts w:ascii="Times New Roman" w:hAnsi="Times New Roman" w:eastAsia="Times New Roman" w:cs="Times New Roman"/>
                <w:b/>
                <w:color w:val="000000"/>
              </w:rPr>
              <w:t xml:space="preserve">Roteiro prático de cartografia: </w:t>
            </w:r>
            <w:r>
              <w:rPr>
                <w:rFonts w:ascii="Times New Roman" w:hAnsi="Times New Roman" w:eastAsia="Times New Roman" w:cs="Times New Roman"/>
                <w:color w:val="000000"/>
              </w:rPr>
              <w:t>da América portuguesa ao Brasil Império. Belo Horizonte: Editora da UFMG,2007.</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2"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FURTADO, Júnia Ferreira. </w:t>
            </w:r>
            <w:r>
              <w:rPr>
                <w:rFonts w:ascii="Times New Roman" w:hAnsi="Times New Roman" w:eastAsia="Times New Roman" w:cs="Times New Roman"/>
                <w:b/>
                <w:color w:val="000000"/>
              </w:rPr>
              <w:t xml:space="preserve">Oráculos da geografia iluminista: </w:t>
            </w:r>
            <w:r>
              <w:rPr>
                <w:rFonts w:ascii="Times New Roman" w:hAnsi="Times New Roman" w:eastAsia="Times New Roman" w:cs="Times New Roman"/>
                <w:color w:val="000000"/>
              </w:rPr>
              <w:t>dom Luís da Cunha e Jean-Baptiste Bourguignon D’Anville na construção da cartografia do Brasil. Belo Horizonte: Editora da UFMG,2012.</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3"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HEISER, Alda; VIDEIRA, Antônio Augusto Passos (Org.). </w:t>
            </w:r>
            <w:r>
              <w:rPr>
                <w:rFonts w:ascii="Times New Roman" w:hAnsi="Times New Roman" w:eastAsia="Times New Roman" w:cs="Times New Roman"/>
                <w:b/>
                <w:color w:val="000000"/>
              </w:rPr>
              <w:t xml:space="preserve">Ciência, civilização e império nos trópicos. </w:t>
            </w:r>
            <w:r>
              <w:rPr>
                <w:rFonts w:ascii="Times New Roman" w:hAnsi="Times New Roman" w:eastAsia="Times New Roman" w:cs="Times New Roman"/>
                <w:color w:val="000000"/>
              </w:rPr>
              <w:t>Rio de Janeiro: Access, 2001.</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1"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MATOS, Raimundo José da Cunha. </w:t>
            </w:r>
            <w:r>
              <w:rPr>
                <w:rFonts w:ascii="Times New Roman" w:hAnsi="Times New Roman" w:eastAsia="Times New Roman" w:cs="Times New Roman"/>
                <w:b/>
                <w:color w:val="000000"/>
              </w:rPr>
              <w:t xml:space="preserve">Corografia histórica da província de Minas Gerais </w:t>
            </w:r>
            <w:r>
              <w:rPr>
                <w:rFonts w:ascii="Times New Roman" w:hAnsi="Times New Roman" w:eastAsia="Times New Roman" w:cs="Times New Roman"/>
                <w:color w:val="000000"/>
              </w:rPr>
              <w:t>(1837). Belo Horizonte: Editora Itatiaia, 1981. 2 v.</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5"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ROMANO, Ruggiero (org.). </w:t>
            </w:r>
            <w:r>
              <w:rPr>
                <w:rFonts w:ascii="Times New Roman" w:hAnsi="Times New Roman" w:eastAsia="Times New Roman" w:cs="Times New Roman"/>
                <w:b/>
                <w:color w:val="000000"/>
              </w:rPr>
              <w:t xml:space="preserve">Enciclopédia Einaudi: </w:t>
            </w:r>
            <w:r>
              <w:rPr>
                <w:rFonts w:ascii="Times New Roman" w:hAnsi="Times New Roman" w:eastAsia="Times New Roman" w:cs="Times New Roman"/>
                <w:color w:val="000000"/>
              </w:rPr>
              <w:t>Região. Lisboa: Imprensa Nacional; Casa da Moeda, 1986. v. 8.</w:t>
            </w:r>
          </w:p>
        </w:tc>
      </w:tr>
    </w:tbl>
    <w:p>
      <w:pPr>
        <w:pBdr>
          <w:top w:val="none" w:color="auto" w:sz="0" w:space="0"/>
          <w:left w:val="none" w:color="auto" w:sz="0" w:space="0"/>
          <w:bottom w:val="none" w:color="auto" w:sz="0" w:space="0"/>
          <w:right w:val="none" w:color="auto" w:sz="0" w:space="0"/>
          <w:between w:val="none" w:color="auto" w:sz="0" w:space="0"/>
        </w:pBdr>
        <w:spacing w:before="10" w:after="14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10" w:after="14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10" w:after="140" w:line="288" w:lineRule="auto"/>
        <w:ind w:left="0" w:hanging="2"/>
        <w:rPr>
          <w:rFonts w:ascii="Times New Roman" w:hAnsi="Times New Roman" w:eastAsia="Times New Roman" w:cs="Times New Roman"/>
          <w:color w:val="000000"/>
        </w:rPr>
      </w:pPr>
    </w:p>
    <w:tbl>
      <w:tblPr>
        <w:tblStyle w:val="534"/>
        <w:tblW w:w="9021" w:type="dxa"/>
        <w:tblInd w:w="2" w:type="dxa"/>
        <w:tblLayout w:type="fixed"/>
        <w:tblCellMar>
          <w:top w:w="0" w:type="dxa"/>
          <w:left w:w="22" w:type="dxa"/>
          <w:bottom w:w="0" w:type="dxa"/>
          <w:right w:w="5" w:type="dxa"/>
        </w:tblCellMar>
      </w:tblPr>
      <w:tblGrid>
        <w:gridCol w:w="2756"/>
        <w:gridCol w:w="3123"/>
        <w:gridCol w:w="3142"/>
      </w:tblGrid>
      <w:tr>
        <w:tblPrEx>
          <w:tblCellMar>
            <w:top w:w="0" w:type="dxa"/>
            <w:left w:w="22" w:type="dxa"/>
            <w:bottom w:w="0" w:type="dxa"/>
            <w:right w:w="5" w:type="dxa"/>
          </w:tblCellMar>
        </w:tblPrEx>
        <w:trPr>
          <w:trHeight w:val="2116" w:hRule="atLeast"/>
        </w:trPr>
        <w:tc>
          <w:tcPr>
            <w:tcW w:w="5879"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Seminário em História do Brasil XXV - Minas Gerais</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531"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Nome do Componente Curricular em inglês: </w:t>
            </w:r>
            <w:r>
              <w:rPr>
                <w:rFonts w:ascii="Times New Roman" w:hAnsi="Times New Roman" w:eastAsia="Times New Roman" w:cs="Times New Roman"/>
                <w:color w:val="202020"/>
              </w:rPr>
              <w:t xml:space="preserve">Seminar in History of Brazil </w:t>
            </w:r>
            <w:r>
              <w:rPr>
                <w:rFonts w:ascii="Times New Roman" w:hAnsi="Times New Roman" w:eastAsia="Times New Roman" w:cs="Times New Roman"/>
                <w:color w:val="000000"/>
              </w:rPr>
              <w:t>XXV – Minas Gerais</w:t>
            </w:r>
          </w:p>
        </w:tc>
        <w:tc>
          <w:tcPr>
            <w:tcW w:w="3142"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HIS098</w:t>
            </w:r>
          </w:p>
        </w:tc>
      </w:tr>
      <w:tr>
        <w:tblPrEx>
          <w:tblCellMar>
            <w:top w:w="0" w:type="dxa"/>
            <w:left w:w="22" w:type="dxa"/>
            <w:bottom w:w="0" w:type="dxa"/>
            <w:right w:w="5" w:type="dxa"/>
          </w:tblCellMar>
        </w:tblPrEx>
        <w:trPr>
          <w:trHeight w:val="830" w:hRule="atLeast"/>
        </w:trPr>
        <w:tc>
          <w:tcPr>
            <w:tcW w:w="5879"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História - DEHIS</w:t>
            </w:r>
          </w:p>
        </w:tc>
        <w:tc>
          <w:tcPr>
            <w:tcW w:w="3142"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5" w:type="dxa"/>
          </w:tblCellMar>
        </w:tblPrEx>
        <w:trPr>
          <w:trHeight w:val="1238" w:hRule="atLeast"/>
        </w:trPr>
        <w:tc>
          <w:tcPr>
            <w:tcW w:w="2756"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351"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3" w:line="240" w:lineRule="auto"/>
              <w:ind w:left="0" w:right="573"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semestral 90 horas</w:t>
            </w:r>
          </w:p>
        </w:tc>
        <w:tc>
          <w:tcPr>
            <w:tcW w:w="3123"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3142"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 02 horas/aula</w:t>
            </w:r>
          </w:p>
        </w:tc>
      </w:tr>
      <w:tr>
        <w:tblPrEx>
          <w:tblCellMar>
            <w:top w:w="0" w:type="dxa"/>
            <w:left w:w="22" w:type="dxa"/>
            <w:bottom w:w="0" w:type="dxa"/>
            <w:right w:w="5" w:type="dxa"/>
          </w:tblCellMar>
        </w:tblPrEx>
        <w:trPr>
          <w:trHeight w:val="1242"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Ementa: Diásporas do escravismo e da expansão territorial. Fronteiras e confrontos</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837"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culturais. Abordagens e problemas de </w:t>
            </w:r>
            <w:r>
              <w:rPr>
                <w:rFonts w:ascii="Times New Roman" w:hAnsi="Times New Roman" w:eastAsia="Times New Roman" w:cs="Times New Roman"/>
                <w:i/>
                <w:color w:val="000000"/>
              </w:rPr>
              <w:t>etnicidade</w:t>
            </w:r>
            <w:r>
              <w:rPr>
                <w:rFonts w:ascii="Times New Roman" w:hAnsi="Times New Roman" w:eastAsia="Times New Roman" w:cs="Times New Roman"/>
                <w:color w:val="000000"/>
              </w:rPr>
              <w:t>. Populações, mobilidades e povoamento. Abordagens demográficas de Minas Gerais.</w:t>
            </w:r>
          </w:p>
        </w:tc>
      </w:tr>
      <w:tr>
        <w:tblPrEx>
          <w:tblCellMar>
            <w:top w:w="0" w:type="dxa"/>
            <w:left w:w="22" w:type="dxa"/>
            <w:bottom w:w="0" w:type="dxa"/>
            <w:right w:w="5" w:type="dxa"/>
          </w:tblCellMar>
        </w:tblPrEx>
        <w:trPr>
          <w:trHeight w:val="2486"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numPr>
                <w:ilvl w:val="0"/>
                <w:numId w:val="40"/>
              </w:numPr>
              <w:pBdr>
                <w:top w:val="none" w:color="auto" w:sz="0" w:space="0"/>
                <w:left w:val="none" w:color="auto" w:sz="0" w:space="0"/>
                <w:bottom w:val="none" w:color="auto" w:sz="0" w:space="0"/>
                <w:right w:val="none" w:color="auto" w:sz="0" w:space="0"/>
                <w:between w:val="none" w:color="auto" w:sz="0" w:space="0"/>
              </w:pBdr>
              <w:tabs>
                <w:tab w:val="left" w:pos="0"/>
                <w:tab w:val="left" w:pos="376"/>
              </w:tabs>
              <w:spacing w:before="142"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Colonização e povoamento do território minerário (e nos sertões);</w:t>
            </w:r>
          </w:p>
          <w:p>
            <w:pPr>
              <w:widowControl w:val="0"/>
              <w:numPr>
                <w:ilvl w:val="0"/>
                <w:numId w:val="40"/>
              </w:numPr>
              <w:pBdr>
                <w:top w:val="none" w:color="auto" w:sz="0" w:space="0"/>
                <w:left w:val="none" w:color="auto" w:sz="0" w:space="0"/>
                <w:bottom w:val="none" w:color="auto" w:sz="0" w:space="0"/>
                <w:right w:val="none" w:color="auto" w:sz="0" w:space="0"/>
                <w:between w:val="none" w:color="auto" w:sz="0" w:space="0"/>
              </w:pBdr>
              <w:tabs>
                <w:tab w:val="left" w:pos="0"/>
                <w:tab w:val="left" w:pos="376"/>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Cativeiros e escravismo atlântico: diásporas dos índios e dos africanos;</w:t>
            </w:r>
          </w:p>
          <w:p>
            <w:pPr>
              <w:widowControl w:val="0"/>
              <w:numPr>
                <w:ilvl w:val="0"/>
                <w:numId w:val="40"/>
              </w:numPr>
              <w:pBdr>
                <w:top w:val="none" w:color="auto" w:sz="0" w:space="0"/>
                <w:left w:val="none" w:color="auto" w:sz="0" w:space="0"/>
                <w:bottom w:val="none" w:color="auto" w:sz="0" w:space="0"/>
                <w:right w:val="none" w:color="auto" w:sz="0" w:space="0"/>
                <w:between w:val="none" w:color="auto" w:sz="0" w:space="0"/>
              </w:pBdr>
              <w:tabs>
                <w:tab w:val="left" w:pos="0"/>
                <w:tab w:val="left" w:pos="376"/>
              </w:tabs>
              <w:spacing w:line="360" w:lineRule="auto"/>
              <w:ind w:left="0" w:right="409"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Confrontos e cruzamentos culturais: mestiçagens, “crioulização” e civilização; </w:t>
            </w:r>
          </w:p>
          <w:p>
            <w:pPr>
              <w:widowControl w:val="0"/>
              <w:numPr>
                <w:ilvl w:val="0"/>
                <w:numId w:val="40"/>
              </w:numPr>
              <w:pBdr>
                <w:top w:val="none" w:color="auto" w:sz="0" w:space="0"/>
                <w:left w:val="none" w:color="auto" w:sz="0" w:space="0"/>
                <w:bottom w:val="none" w:color="auto" w:sz="0" w:space="0"/>
                <w:right w:val="none" w:color="auto" w:sz="0" w:space="0"/>
                <w:between w:val="none" w:color="auto" w:sz="0" w:space="0"/>
              </w:pBdr>
              <w:tabs>
                <w:tab w:val="left" w:pos="0"/>
                <w:tab w:val="left" w:pos="376"/>
              </w:tabs>
              <w:spacing w:line="360" w:lineRule="auto"/>
              <w:ind w:left="0" w:right="409" w:hanging="2"/>
              <w:rPr>
                <w:rFonts w:ascii="Times New Roman" w:hAnsi="Times New Roman" w:eastAsia="Times New Roman" w:cs="Times New Roman"/>
                <w:color w:val="000000"/>
              </w:rPr>
            </w:pPr>
            <w:r>
              <w:rPr>
                <w:rFonts w:ascii="Times New Roman" w:hAnsi="Times New Roman" w:eastAsia="Times New Roman" w:cs="Times New Roman"/>
                <w:color w:val="000000"/>
              </w:rPr>
              <w:t>Perspectivas de liberdade, de trabalho e de cidadania dos afrodescendentes;</w:t>
            </w:r>
          </w:p>
          <w:p>
            <w:pPr>
              <w:widowControl w:val="0"/>
              <w:numPr>
                <w:ilvl w:val="0"/>
                <w:numId w:val="40"/>
              </w:numPr>
              <w:pBdr>
                <w:top w:val="none" w:color="auto" w:sz="0" w:space="0"/>
                <w:left w:val="none" w:color="auto" w:sz="0" w:space="0"/>
                <w:bottom w:val="none" w:color="auto" w:sz="0" w:space="0"/>
                <w:right w:val="none" w:color="auto" w:sz="0" w:space="0"/>
                <w:between w:val="none" w:color="auto" w:sz="0" w:space="0"/>
              </w:pBdr>
              <w:tabs>
                <w:tab w:val="left" w:pos="0"/>
                <w:tab w:val="left" w:pos="376"/>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Raças, política indigenista e visões dos índios.</w:t>
            </w:r>
          </w:p>
        </w:tc>
      </w:tr>
      <w:tr>
        <w:tblPrEx>
          <w:tblCellMar>
            <w:top w:w="0" w:type="dxa"/>
            <w:left w:w="22" w:type="dxa"/>
            <w:bottom w:w="0" w:type="dxa"/>
            <w:right w:w="5" w:type="dxa"/>
          </w:tblCellMar>
        </w:tblPrEx>
        <w:trPr>
          <w:trHeight w:val="2115"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9"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9"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AGUIAR, Marcos Magalhães. </w:t>
            </w:r>
            <w:r>
              <w:rPr>
                <w:rFonts w:ascii="Times New Roman" w:hAnsi="Times New Roman" w:eastAsia="Times New Roman" w:cs="Times New Roman"/>
                <w:b/>
                <w:color w:val="000000"/>
              </w:rPr>
              <w:t xml:space="preserve">Negras Minas Gerais: </w:t>
            </w:r>
            <w:r>
              <w:rPr>
                <w:rFonts w:ascii="Times New Roman" w:hAnsi="Times New Roman" w:eastAsia="Times New Roman" w:cs="Times New Roman"/>
                <w:color w:val="000000"/>
              </w:rPr>
              <w:t>uma história da diáspora africana no Brasil colonial. São Paulo: FFLCH/USP, 1999. (Tese, doutorado em História).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3" w:hanging="2"/>
              <w:rPr>
                <w:rFonts w:ascii="Times New Roman" w:hAnsi="Times New Roman" w:eastAsia="Times New Roman" w:cs="Times New Roman"/>
                <w:color w:val="000000"/>
              </w:rPr>
            </w:pPr>
            <w:r>
              <w:rPr>
                <w:rFonts w:ascii="Times New Roman" w:hAnsi="Times New Roman" w:eastAsia="Times New Roman" w:cs="Times New Roman"/>
                <w:color w:val="221F1F"/>
              </w:rPr>
              <w:t xml:space="preserve">FLORENTINO, Manolo </w:t>
            </w:r>
            <w:r>
              <w:rPr>
                <w:rFonts w:ascii="Times New Roman" w:hAnsi="Times New Roman" w:eastAsia="Times New Roman" w:cs="Times New Roman"/>
                <w:i/>
                <w:color w:val="221F1F"/>
              </w:rPr>
              <w:t>et al</w:t>
            </w:r>
            <w:r>
              <w:rPr>
                <w:rFonts w:ascii="Times New Roman" w:hAnsi="Times New Roman" w:eastAsia="Times New Roman" w:cs="Times New Roman"/>
                <w:color w:val="221F1F"/>
              </w:rPr>
              <w:t xml:space="preserve">. “Aspectos comparativos do tráfico de africanos para o Brasil (séculos XVIII e XIX)”, </w:t>
            </w:r>
            <w:r>
              <w:rPr>
                <w:rFonts w:ascii="Times New Roman" w:hAnsi="Times New Roman" w:eastAsia="Times New Roman" w:cs="Times New Roman"/>
                <w:b/>
                <w:color w:val="221F1F"/>
              </w:rPr>
              <w:t xml:space="preserve">Afro-Ásia, </w:t>
            </w:r>
            <w:r>
              <w:rPr>
                <w:rFonts w:ascii="Times New Roman" w:hAnsi="Times New Roman" w:eastAsia="Times New Roman" w:cs="Times New Roman"/>
                <w:color w:val="221F1F"/>
              </w:rPr>
              <w:t>v. 31, 2004, p.83-126.</w:t>
            </w: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right="53"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ATTOS, Hebe M. “Racialização e cidadania no Império do Brasil”. In: CARVALHO, José Murilo; NEVES, Lúcia Bastos Pereira das (orgs.). </w:t>
            </w:r>
            <w:r>
              <w:rPr>
                <w:rFonts w:ascii="Times New Roman" w:hAnsi="Times New Roman" w:eastAsia="Times New Roman" w:cs="Times New Roman"/>
                <w:b/>
                <w:color w:val="000000"/>
              </w:rPr>
              <w:t>Repensando o Brasil do Oitocentos</w:t>
            </w:r>
            <w:r>
              <w:rPr>
                <w:rFonts w:ascii="Times New Roman" w:hAnsi="Times New Roman" w:eastAsia="Times New Roman" w:cs="Times New Roman"/>
                <w:color w:val="000000"/>
              </w:rPr>
              <w:t>. Rio de Janeiro: Civilização Brasileira, 2009.</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MATTOS, Izabel Missagia de. </w:t>
            </w:r>
            <w:r>
              <w:rPr>
                <w:rFonts w:ascii="Times New Roman" w:hAnsi="Times New Roman" w:eastAsia="Times New Roman" w:cs="Times New Roman"/>
                <w:b/>
                <w:color w:val="000000"/>
              </w:rPr>
              <w:t xml:space="preserve">Civilização e Revolta: </w:t>
            </w:r>
            <w:r>
              <w:rPr>
                <w:rFonts w:ascii="Times New Roman" w:hAnsi="Times New Roman" w:eastAsia="Times New Roman" w:cs="Times New Roman"/>
                <w:color w:val="000000"/>
              </w:rPr>
              <w:t>os Botocudos e a catequese na Província de Minas. Bauru: EDUSC, 2004.</w:t>
            </w:r>
          </w:p>
        </w:tc>
      </w:tr>
      <w:tr>
        <w:tblPrEx>
          <w:tblCellMar>
            <w:top w:w="0" w:type="dxa"/>
            <w:left w:w="22" w:type="dxa"/>
            <w:bottom w:w="0" w:type="dxa"/>
            <w:right w:w="5" w:type="dxa"/>
          </w:tblCellMar>
        </w:tblPrEx>
        <w:trPr>
          <w:trHeight w:val="1550"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2"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7"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ANDRADE, Clotilde A., GODOY, Marcelo M. “Território de contrastes: economia e sociedade das Minas Gerais do século XIX”. In: SILVA, Francisco C. Teixeira da </w:t>
            </w:r>
            <w:r>
              <w:rPr>
                <w:rFonts w:ascii="Times New Roman" w:hAnsi="Times New Roman" w:eastAsia="Times New Roman" w:cs="Times New Roman"/>
                <w:i/>
                <w:color w:val="000000"/>
              </w:rPr>
              <w:t xml:space="preserve">et al. </w:t>
            </w:r>
            <w:r>
              <w:rPr>
                <w:rFonts w:ascii="Times New Roman" w:hAnsi="Times New Roman" w:eastAsia="Times New Roman" w:cs="Times New Roman"/>
                <w:color w:val="000000"/>
              </w:rPr>
              <w:t xml:space="preserve">(orgs). </w:t>
            </w:r>
            <w:r>
              <w:rPr>
                <w:rFonts w:ascii="Times New Roman" w:hAnsi="Times New Roman" w:eastAsia="Times New Roman" w:cs="Times New Roman"/>
                <w:b/>
                <w:color w:val="000000"/>
              </w:rPr>
              <w:t xml:space="preserve">Escritos sobre história e educação </w:t>
            </w:r>
            <w:r>
              <w:rPr>
                <w:rFonts w:ascii="Times New Roman" w:hAnsi="Times New Roman" w:eastAsia="Times New Roman" w:cs="Times New Roman"/>
                <w:color w:val="000000"/>
              </w:rPr>
              <w:t>– Homenagem à Maria Yeda Leite Linhares. Rio de Janeiro: Mauad/FAPERJ, 2001.</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6"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CUNHA, Manuela Carneiro da. </w:t>
            </w:r>
            <w:r>
              <w:rPr>
                <w:rFonts w:ascii="Times New Roman" w:hAnsi="Times New Roman" w:eastAsia="Times New Roman" w:cs="Times New Roman"/>
                <w:b/>
                <w:color w:val="000000"/>
              </w:rPr>
              <w:t xml:space="preserve">Antropologia do Brasil: </w:t>
            </w:r>
            <w:r>
              <w:rPr>
                <w:rFonts w:ascii="Times New Roman" w:hAnsi="Times New Roman" w:eastAsia="Times New Roman" w:cs="Times New Roman"/>
                <w:color w:val="000000"/>
              </w:rPr>
              <w:t>mito, história, etnicidade. 2. ed.São Paulo: Brasiliense1987.</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HUMMELL, Eloise. Standing the Test of Time – Barth and Ethnicity, </w:t>
            </w:r>
            <w:r>
              <w:rPr>
                <w:rFonts w:ascii="Times New Roman" w:hAnsi="Times New Roman" w:eastAsia="Times New Roman" w:cs="Times New Roman"/>
                <w:b/>
                <w:color w:val="000000"/>
              </w:rPr>
              <w:t>Coolabah,</w:t>
            </w:r>
          </w:p>
          <w:p>
            <w:pPr>
              <w:widowControl w:val="0"/>
              <w:pBdr>
                <w:top w:val="none" w:color="auto" w:sz="0" w:space="0"/>
                <w:left w:val="none" w:color="auto" w:sz="0" w:space="0"/>
                <w:bottom w:val="none" w:color="auto" w:sz="0" w:space="0"/>
                <w:right w:val="none" w:color="auto" w:sz="0" w:space="0"/>
                <w:between w:val="none" w:color="auto" w:sz="0" w:space="0"/>
              </w:pBdr>
              <w:spacing w:before="138"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n.13, 2014, p. 46-60.</w:t>
            </w:r>
          </w:p>
          <w:p>
            <w:pPr>
              <w:widowControl w:val="0"/>
              <w:pBdr>
                <w:top w:val="none" w:color="auto" w:sz="0" w:space="0"/>
                <w:left w:val="none" w:color="auto" w:sz="0" w:space="0"/>
                <w:bottom w:val="none" w:color="auto" w:sz="0" w:space="0"/>
                <w:right w:val="none" w:color="auto" w:sz="0" w:space="0"/>
                <w:between w:val="none" w:color="auto" w:sz="0" w:space="0"/>
              </w:pBdr>
              <w:spacing w:before="9"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6"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LUNA, Francisco Vidal; COSTA, Iraci del Nero da; KLEIN, Hebert S. (orgs.). </w:t>
            </w:r>
            <w:r>
              <w:rPr>
                <w:rFonts w:ascii="Times New Roman" w:hAnsi="Times New Roman" w:eastAsia="Times New Roman" w:cs="Times New Roman"/>
                <w:b/>
                <w:color w:val="000000"/>
              </w:rPr>
              <w:t xml:space="preserve">Escravismo em São Paulo e Minas Gerais. </w:t>
            </w:r>
            <w:r>
              <w:rPr>
                <w:rFonts w:ascii="Times New Roman" w:hAnsi="Times New Roman" w:eastAsia="Times New Roman" w:cs="Times New Roman"/>
                <w:color w:val="000000"/>
              </w:rPr>
              <w:t>São Paulo: EDUSP; Imprensa Oficial, 2009.</w:t>
            </w: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right="63"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OLIVEIRA, Roberto Cardoso de. </w:t>
            </w:r>
            <w:r>
              <w:rPr>
                <w:rFonts w:ascii="Times New Roman" w:hAnsi="Times New Roman" w:eastAsia="Times New Roman" w:cs="Times New Roman"/>
                <w:b/>
                <w:color w:val="000000"/>
              </w:rPr>
              <w:t xml:space="preserve">Caminhos da identidade: </w:t>
            </w:r>
            <w:r>
              <w:rPr>
                <w:rFonts w:ascii="Times New Roman" w:hAnsi="Times New Roman" w:eastAsia="Times New Roman" w:cs="Times New Roman"/>
                <w:color w:val="000000"/>
              </w:rPr>
              <w:t>ensaios sobre etnicidade e multiculturalismo. São Paulo: Ed. da UNESP; Brasília: Paralelo 15, 2006.</w:t>
            </w: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right="58"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SILVA, Beatriz Nizza da. </w:t>
            </w:r>
            <w:r>
              <w:rPr>
                <w:rFonts w:ascii="Times New Roman" w:hAnsi="Times New Roman" w:eastAsia="Times New Roman" w:cs="Times New Roman"/>
                <w:b/>
                <w:color w:val="000000"/>
              </w:rPr>
              <w:t>História da família no Brasil colonial</w:t>
            </w:r>
            <w:r>
              <w:rPr>
                <w:rFonts w:ascii="Times New Roman" w:hAnsi="Times New Roman" w:eastAsia="Times New Roman" w:cs="Times New Roman"/>
                <w:color w:val="000000"/>
              </w:rPr>
              <w:t>. Rio de Janeiro: Nova Fronteira, 1998.</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SILVA, Gilvan Ventura da; NADER, Maria Beatriz; FRANCO, Sebastião Pimentel (orgs). </w:t>
            </w:r>
            <w:r>
              <w:rPr>
                <w:rFonts w:ascii="Times New Roman" w:hAnsi="Times New Roman" w:eastAsia="Times New Roman" w:cs="Times New Roman"/>
                <w:b/>
                <w:color w:val="000000"/>
              </w:rPr>
              <w:t xml:space="preserve">As identidades no tempo: </w:t>
            </w:r>
            <w:r>
              <w:rPr>
                <w:rFonts w:ascii="Times New Roman" w:hAnsi="Times New Roman" w:eastAsia="Times New Roman" w:cs="Times New Roman"/>
                <w:color w:val="000000"/>
              </w:rPr>
              <w:t>ensaios de gênero, etnia e religião. Vitória: Ed. UFES, 2006.</w:t>
            </w:r>
          </w:p>
          <w:p>
            <w:pPr>
              <w:ind w:left="0" w:hanging="2"/>
              <w:rPr>
                <w:rFonts w:ascii="Times New Roman" w:hAnsi="Times New Roman" w:cs="Times New Roman"/>
              </w:rPr>
            </w:pPr>
          </w:p>
          <w:p>
            <w:pPr>
              <w:tabs>
                <w:tab w:val="left" w:pos="3880"/>
              </w:tabs>
              <w:ind w:left="0" w:hanging="2"/>
              <w:rPr>
                <w:rFonts w:ascii="Times New Roman" w:hAnsi="Times New Roman" w:cs="Times New Roman"/>
              </w:rPr>
            </w:pPr>
          </w:p>
        </w:tc>
      </w:tr>
    </w:tbl>
    <w:p>
      <w:pPr>
        <w:pBdr>
          <w:top w:val="none" w:color="auto" w:sz="0" w:space="0"/>
          <w:left w:val="none" w:color="auto" w:sz="0" w:space="0"/>
          <w:bottom w:val="none" w:color="auto" w:sz="0" w:space="0"/>
          <w:right w:val="none" w:color="auto" w:sz="0" w:space="0"/>
          <w:between w:val="none" w:color="auto" w:sz="0" w:space="0"/>
        </w:pBdr>
        <w:spacing w:before="10" w:after="14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10" w:after="14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10" w:after="140" w:line="288" w:lineRule="auto"/>
        <w:ind w:left="0" w:hanging="2"/>
        <w:rPr>
          <w:rFonts w:ascii="Times New Roman" w:hAnsi="Times New Roman" w:eastAsia="Times New Roman" w:cs="Times New Roman"/>
          <w:color w:val="000000"/>
        </w:rPr>
      </w:pPr>
    </w:p>
    <w:tbl>
      <w:tblPr>
        <w:tblStyle w:val="535"/>
        <w:tblW w:w="9021" w:type="dxa"/>
        <w:tblInd w:w="2" w:type="dxa"/>
        <w:tblLayout w:type="fixed"/>
        <w:tblCellMar>
          <w:top w:w="0" w:type="dxa"/>
          <w:left w:w="22" w:type="dxa"/>
          <w:bottom w:w="0" w:type="dxa"/>
          <w:right w:w="22" w:type="dxa"/>
        </w:tblCellMar>
      </w:tblPr>
      <w:tblGrid>
        <w:gridCol w:w="2796"/>
        <w:gridCol w:w="3119"/>
        <w:gridCol w:w="3106"/>
      </w:tblGrid>
      <w:tr>
        <w:trPr>
          <w:trHeight w:val="2116" w:hRule="atLeast"/>
        </w:trPr>
        <w:tc>
          <w:tcPr>
            <w:tcW w:w="5915" w:type="dxa"/>
            <w:gridSpan w:val="2"/>
            <w:tcBorders>
              <w:top w:val="single" w:color="000000" w:sz="18" w:space="0"/>
              <w:lef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Seminário em História do Brasil XXVI - Minas Gerais</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628"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Nome do Componente Curricular em inglês: </w:t>
            </w:r>
            <w:r>
              <w:rPr>
                <w:rFonts w:ascii="Times New Roman" w:hAnsi="Times New Roman" w:eastAsia="Times New Roman" w:cs="Times New Roman"/>
                <w:color w:val="202020"/>
              </w:rPr>
              <w:t xml:space="preserve">Seminar in History of Brazil </w:t>
            </w:r>
            <w:r>
              <w:rPr>
                <w:rFonts w:ascii="Times New Roman" w:hAnsi="Times New Roman" w:eastAsia="Times New Roman" w:cs="Times New Roman"/>
                <w:color w:val="000000"/>
              </w:rPr>
              <w:t>XXVI- Minas Gerais</w:t>
            </w:r>
          </w:p>
        </w:tc>
        <w:tc>
          <w:tcPr>
            <w:tcW w:w="3106" w:type="dxa"/>
            <w:tcBorders>
              <w:top w:val="single" w:color="000000" w:sz="18" w:space="0"/>
              <w:left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HIS099</w:t>
            </w:r>
          </w:p>
        </w:tc>
      </w:tr>
      <w:tr>
        <w:tblPrEx>
          <w:tblCellMar>
            <w:top w:w="0" w:type="dxa"/>
            <w:left w:w="22" w:type="dxa"/>
            <w:bottom w:w="0" w:type="dxa"/>
            <w:right w:w="22" w:type="dxa"/>
          </w:tblCellMar>
        </w:tblPrEx>
        <w:trPr>
          <w:trHeight w:val="830" w:hRule="atLeast"/>
        </w:trPr>
        <w:tc>
          <w:tcPr>
            <w:tcW w:w="5915"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História - DEHIS</w:t>
            </w:r>
          </w:p>
        </w:tc>
        <w:tc>
          <w:tcPr>
            <w:tcW w:w="310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38" w:hRule="atLeast"/>
        </w:trPr>
        <w:tc>
          <w:tcPr>
            <w:tcW w:w="2796"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397"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3" w:line="240" w:lineRule="auto"/>
              <w:ind w:left="0" w:right="617"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semestral 90 horas</w:t>
            </w:r>
          </w:p>
        </w:tc>
        <w:tc>
          <w:tcPr>
            <w:tcW w:w="3119"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310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 02 horas/aula</w:t>
            </w:r>
          </w:p>
        </w:tc>
      </w:tr>
      <w:tr>
        <w:tblPrEx>
          <w:tblCellMar>
            <w:top w:w="0" w:type="dxa"/>
            <w:left w:w="22" w:type="dxa"/>
            <w:bottom w:w="0" w:type="dxa"/>
            <w:right w:w="22" w:type="dxa"/>
          </w:tblCellMar>
        </w:tblPrEx>
        <w:trPr>
          <w:trHeight w:val="2073"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Patrimônio cultural de Minas Gerais: entre o material e os saberes. O nacional e as formas de narratividade: historiografia e museografia. Lugares de memória social: os monumentos, os arquivos e os museus. Abordagem dos princípiosdaarquivologiaedamuseologia.Análisedosfundosdocumentaisedas</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coleções.</w:t>
            </w:r>
          </w:p>
        </w:tc>
      </w:tr>
      <w:tr>
        <w:tblPrEx>
          <w:tblCellMar>
            <w:top w:w="0" w:type="dxa"/>
            <w:left w:w="22" w:type="dxa"/>
            <w:bottom w:w="0" w:type="dxa"/>
            <w:right w:w="22" w:type="dxa"/>
          </w:tblCellMar>
        </w:tblPrEx>
        <w:trPr>
          <w:trHeight w:val="3312"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numPr>
                <w:ilvl w:val="0"/>
                <w:numId w:val="41"/>
              </w:numPr>
              <w:pBdr>
                <w:top w:val="none" w:color="auto" w:sz="0" w:space="0"/>
                <w:left w:val="none" w:color="auto" w:sz="0" w:space="0"/>
                <w:bottom w:val="none" w:color="auto" w:sz="0" w:space="0"/>
                <w:right w:val="none" w:color="auto" w:sz="0" w:space="0"/>
                <w:between w:val="none" w:color="auto" w:sz="0" w:space="0"/>
              </w:pBdr>
              <w:tabs>
                <w:tab w:val="left" w:pos="0"/>
                <w:tab w:val="left" w:pos="376"/>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Patrimônio cultural: problemática da conceituação;</w:t>
            </w:r>
          </w:p>
          <w:p>
            <w:pPr>
              <w:widowControl w:val="0"/>
              <w:numPr>
                <w:ilvl w:val="0"/>
                <w:numId w:val="41"/>
              </w:numPr>
              <w:pBdr>
                <w:top w:val="none" w:color="auto" w:sz="0" w:space="0"/>
                <w:left w:val="none" w:color="auto" w:sz="0" w:space="0"/>
                <w:bottom w:val="none" w:color="auto" w:sz="0" w:space="0"/>
                <w:right w:val="none" w:color="auto" w:sz="0" w:space="0"/>
                <w:between w:val="none" w:color="auto" w:sz="0" w:space="0"/>
              </w:pBdr>
              <w:tabs>
                <w:tab w:val="left" w:pos="0"/>
                <w:tab w:val="left" w:pos="400"/>
              </w:tabs>
              <w:spacing w:line="360" w:lineRule="auto"/>
              <w:ind w:left="0" w:right="73" w:hanging="2"/>
              <w:rPr>
                <w:rFonts w:ascii="Times New Roman" w:hAnsi="Times New Roman" w:eastAsia="Times New Roman" w:cs="Times New Roman"/>
                <w:color w:val="000000"/>
              </w:rPr>
            </w:pPr>
            <w:r>
              <w:rPr>
                <w:rFonts w:ascii="Times New Roman" w:hAnsi="Times New Roman" w:eastAsia="Times New Roman" w:cs="Times New Roman"/>
                <w:color w:val="000000"/>
              </w:rPr>
              <w:t>Ideologia da mineiridade e política patrimonial em Minas Gerais, na República:</w:t>
            </w:r>
            <w:r>
              <w:rPr>
                <w:rFonts w:ascii="Times New Roman" w:hAnsi="Times New Roman" w:eastAsia="Times New Roman" w:cs="Times New Roman"/>
              </w:rPr>
              <w:t xml:space="preserve"> </w:t>
            </w:r>
            <w:r>
              <w:rPr>
                <w:rFonts w:ascii="Times New Roman" w:hAnsi="Times New Roman" w:eastAsia="Times New Roman" w:cs="Times New Roman"/>
                <w:color w:val="000000"/>
              </w:rPr>
              <w:t>discriminar, inventariar, monumentalizar;</w:t>
            </w:r>
          </w:p>
          <w:p>
            <w:pPr>
              <w:widowControl w:val="0"/>
              <w:numPr>
                <w:ilvl w:val="0"/>
                <w:numId w:val="41"/>
              </w:numPr>
              <w:pBdr>
                <w:top w:val="none" w:color="auto" w:sz="0" w:space="0"/>
                <w:left w:val="none" w:color="auto" w:sz="0" w:space="0"/>
                <w:bottom w:val="none" w:color="auto" w:sz="0" w:space="0"/>
                <w:right w:val="none" w:color="auto" w:sz="0" w:space="0"/>
                <w:between w:val="none" w:color="auto" w:sz="0" w:space="0"/>
              </w:pBdr>
              <w:tabs>
                <w:tab w:val="left" w:pos="0"/>
                <w:tab w:val="left" w:pos="400"/>
              </w:tabs>
              <w:spacing w:line="360" w:lineRule="auto"/>
              <w:ind w:left="0" w:right="58"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Nacionalidade, instituição dos museus e dos arquivos </w:t>
            </w:r>
            <w:r>
              <w:rPr>
                <w:rFonts w:ascii="Times New Roman" w:hAnsi="Times New Roman" w:eastAsia="Times New Roman" w:cs="Times New Roman"/>
                <w:i/>
                <w:color w:val="000000"/>
              </w:rPr>
              <w:t xml:space="preserve">históricos </w:t>
            </w:r>
            <w:r>
              <w:rPr>
                <w:rFonts w:ascii="Times New Roman" w:hAnsi="Times New Roman" w:eastAsia="Times New Roman" w:cs="Times New Roman"/>
                <w:color w:val="000000"/>
              </w:rPr>
              <w:t>e confrontos da</w:t>
            </w:r>
            <w:r>
              <w:rPr>
                <w:rFonts w:ascii="Times New Roman" w:hAnsi="Times New Roman" w:eastAsia="Times New Roman" w:cs="Times New Roman"/>
              </w:rPr>
              <w:t xml:space="preserve"> </w:t>
            </w:r>
            <w:r>
              <w:rPr>
                <w:rFonts w:ascii="Times New Roman" w:hAnsi="Times New Roman" w:eastAsia="Times New Roman" w:cs="Times New Roman"/>
                <w:color w:val="000000"/>
              </w:rPr>
              <w:t>memória social.</w:t>
            </w:r>
          </w:p>
          <w:p>
            <w:pPr>
              <w:widowControl w:val="0"/>
              <w:numPr>
                <w:ilvl w:val="0"/>
                <w:numId w:val="41"/>
              </w:numPr>
              <w:pBdr>
                <w:top w:val="none" w:color="auto" w:sz="0" w:space="0"/>
                <w:left w:val="none" w:color="auto" w:sz="0" w:space="0"/>
                <w:bottom w:val="none" w:color="auto" w:sz="0" w:space="0"/>
                <w:right w:val="none" w:color="auto" w:sz="0" w:space="0"/>
                <w:between w:val="none" w:color="auto" w:sz="0" w:space="0"/>
              </w:pBdr>
              <w:tabs>
                <w:tab w:val="left" w:pos="0"/>
                <w:tab w:val="left" w:pos="381"/>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Abordagem e análise dos fundos documentais ou das coleções ‒ arquivos, museus</w:t>
            </w:r>
            <w:r>
              <w:rPr>
                <w:rFonts w:ascii="Times New Roman" w:hAnsi="Times New Roman" w:eastAsia="Times New Roman" w:cs="Times New Roman"/>
              </w:rPr>
              <w:t xml:space="preserve"> </w:t>
            </w:r>
            <w:r>
              <w:rPr>
                <w:rFonts w:ascii="Times New Roman" w:hAnsi="Times New Roman" w:eastAsia="Times New Roman" w:cs="Times New Roman"/>
                <w:color w:val="000000"/>
              </w:rPr>
              <w:t>e bibliotecas.</w:t>
            </w:r>
          </w:p>
        </w:tc>
      </w:tr>
      <w:tr>
        <w:tblPrEx>
          <w:tblCellMar>
            <w:top w:w="0" w:type="dxa"/>
            <w:left w:w="22" w:type="dxa"/>
            <w:bottom w:w="0" w:type="dxa"/>
            <w:right w:w="22" w:type="dxa"/>
          </w:tblCellMar>
        </w:tblPrEx>
        <w:trPr>
          <w:trHeight w:val="2993"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right="62"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BELLOTTO, Heloisa L. </w:t>
            </w:r>
            <w:r>
              <w:rPr>
                <w:rFonts w:ascii="Times New Roman" w:hAnsi="Times New Roman" w:eastAsia="Times New Roman" w:cs="Times New Roman"/>
                <w:b/>
                <w:color w:val="000000"/>
              </w:rPr>
              <w:t>Arquivos permanentes</w:t>
            </w:r>
            <w:r>
              <w:rPr>
                <w:rFonts w:ascii="Times New Roman" w:hAnsi="Times New Roman" w:eastAsia="Times New Roman" w:cs="Times New Roman"/>
                <w:color w:val="000000"/>
              </w:rPr>
              <w:t>: tratamento documental. São Paulo: T. A. Queiroz1991.</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5"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PROCHASSON, Christophe. “Atenção, verdade!” Arquivos privados e renovação das práticas historiográficas, </w:t>
            </w:r>
            <w:r>
              <w:rPr>
                <w:rFonts w:ascii="Times New Roman" w:hAnsi="Times New Roman" w:eastAsia="Times New Roman" w:cs="Times New Roman"/>
                <w:b/>
                <w:color w:val="000000"/>
              </w:rPr>
              <w:t>Estudos Históricos</w:t>
            </w:r>
            <w:r>
              <w:rPr>
                <w:rFonts w:ascii="Times New Roman" w:hAnsi="Times New Roman" w:eastAsia="Times New Roman" w:cs="Times New Roman"/>
                <w:color w:val="000000"/>
              </w:rPr>
              <w:t>, Rio de Janeiro, n. 21, jan.-jun. 1998.</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SILVEIRA, Marcus Marciano G. </w:t>
            </w:r>
            <w:r>
              <w:rPr>
                <w:rFonts w:ascii="Times New Roman" w:hAnsi="Times New Roman" w:eastAsia="Times New Roman" w:cs="Times New Roman"/>
                <w:b/>
                <w:color w:val="000000"/>
              </w:rPr>
              <w:t xml:space="preserve">Templos modernos, templos ao chão: </w:t>
            </w:r>
            <w:r>
              <w:rPr>
                <w:rFonts w:ascii="Times New Roman" w:hAnsi="Times New Roman" w:eastAsia="Times New Roman" w:cs="Times New Roman"/>
                <w:color w:val="000000"/>
              </w:rPr>
              <w:t>a trajetória da arquitetura religiosa modernista e a demolição de antigos templos católicos no Brasil. Belo Horizonte: Autêntica Editora, 2011.</w:t>
            </w:r>
          </w:p>
          <w:p>
            <w:pPr>
              <w:widowControl w:val="0"/>
              <w:pBdr>
                <w:top w:val="none" w:color="auto" w:sz="0" w:space="0"/>
                <w:left w:val="none" w:color="auto" w:sz="0" w:space="0"/>
                <w:bottom w:val="none" w:color="auto" w:sz="0" w:space="0"/>
                <w:right w:val="none" w:color="auto" w:sz="0" w:space="0"/>
                <w:between w:val="none" w:color="auto" w:sz="0" w:space="0"/>
              </w:pBdr>
              <w:tabs>
                <w:tab w:val="left" w:pos="1118"/>
                <w:tab w:val="left" w:pos="1852"/>
                <w:tab w:val="left" w:pos="2682"/>
                <w:tab w:val="left" w:pos="4220"/>
                <w:tab w:val="left" w:pos="5611"/>
                <w:tab w:val="left" w:pos="5961"/>
                <w:tab w:val="left" w:pos="8220"/>
              </w:tabs>
              <w:spacing w:line="360" w:lineRule="auto"/>
              <w:ind w:left="0" w:right="63" w:hanging="2"/>
              <w:rPr>
                <w:rFonts w:ascii="Times New Roman" w:hAnsi="Times New Roman" w:eastAsia="Times New Roman" w:cs="Times New Roman"/>
                <w:color w:val="000000"/>
              </w:rPr>
            </w:pPr>
            <w:r>
              <w:rPr>
                <w:rFonts w:ascii="Times New Roman" w:hAnsi="Times New Roman" w:eastAsia="Times New Roman" w:cs="Times New Roman"/>
                <w:color w:val="000000"/>
              </w:rPr>
              <w:t>SILVA,</w:t>
            </w:r>
            <w:r>
              <w:rPr>
                <w:rFonts w:ascii="Times New Roman" w:hAnsi="Times New Roman" w:eastAsia="Times New Roman" w:cs="Times New Roman"/>
                <w:color w:val="000000"/>
              </w:rPr>
              <w:tab/>
            </w:r>
            <w:r>
              <w:rPr>
                <w:rFonts w:ascii="Times New Roman" w:hAnsi="Times New Roman" w:eastAsia="Times New Roman" w:cs="Times New Roman"/>
                <w:color w:val="000000"/>
              </w:rPr>
              <w:t>Zélia</w:t>
            </w:r>
            <w:r>
              <w:rPr>
                <w:rFonts w:ascii="Times New Roman" w:hAnsi="Times New Roman" w:eastAsia="Times New Roman" w:cs="Times New Roman"/>
                <w:color w:val="000000"/>
              </w:rPr>
              <w:tab/>
            </w:r>
            <w:r>
              <w:rPr>
                <w:rFonts w:ascii="Times New Roman" w:hAnsi="Times New Roman" w:eastAsia="Times New Roman" w:cs="Times New Roman"/>
                <w:color w:val="000000"/>
              </w:rPr>
              <w:t>Lopes</w:t>
            </w:r>
            <w:r>
              <w:rPr>
                <w:rFonts w:ascii="Times New Roman" w:hAnsi="Times New Roman" w:eastAsia="Times New Roman" w:cs="Times New Roman"/>
                <w:color w:val="000000"/>
              </w:rPr>
              <w:tab/>
            </w:r>
            <w:r>
              <w:rPr>
                <w:rFonts w:ascii="Times New Roman" w:hAnsi="Times New Roman" w:eastAsia="Times New Roman" w:cs="Times New Roman"/>
                <w:color w:val="000000"/>
              </w:rPr>
              <w:t xml:space="preserve">da. </w:t>
            </w:r>
            <w:r>
              <w:rPr>
                <w:rFonts w:ascii="Times New Roman" w:hAnsi="Times New Roman" w:eastAsia="Times New Roman" w:cs="Times New Roman"/>
                <w:b/>
                <w:color w:val="000000"/>
              </w:rPr>
              <w:t>Arquivos,</w:t>
            </w:r>
            <w:r>
              <w:rPr>
                <w:rFonts w:ascii="Times New Roman" w:hAnsi="Times New Roman" w:eastAsia="Times New Roman" w:cs="Times New Roman"/>
                <w:b/>
                <w:color w:val="000000"/>
              </w:rPr>
              <w:tab/>
            </w:r>
            <w:r>
              <w:rPr>
                <w:rFonts w:ascii="Times New Roman" w:hAnsi="Times New Roman" w:eastAsia="Times New Roman" w:cs="Times New Roman"/>
                <w:b/>
                <w:color w:val="000000"/>
              </w:rPr>
              <w:t>patrimônio</w:t>
            </w:r>
            <w:r>
              <w:rPr>
                <w:rFonts w:ascii="Times New Roman" w:hAnsi="Times New Roman" w:eastAsia="Times New Roman" w:cs="Times New Roman"/>
                <w:b/>
                <w:color w:val="000000"/>
              </w:rPr>
              <w:tab/>
            </w:r>
            <w:r>
              <w:rPr>
                <w:rFonts w:ascii="Times New Roman" w:hAnsi="Times New Roman" w:eastAsia="Times New Roman" w:cs="Times New Roman"/>
                <w:b/>
                <w:color w:val="000000"/>
              </w:rPr>
              <w:t>e</w:t>
            </w:r>
            <w:r>
              <w:rPr>
                <w:rFonts w:ascii="Times New Roman" w:hAnsi="Times New Roman" w:eastAsia="Times New Roman" w:cs="Times New Roman"/>
                <w:b/>
                <w:color w:val="000000"/>
              </w:rPr>
              <w:tab/>
            </w:r>
            <w:r>
              <w:rPr>
                <w:rFonts w:ascii="Times New Roman" w:hAnsi="Times New Roman" w:eastAsia="Times New Roman" w:cs="Times New Roman"/>
                <w:b/>
                <w:color w:val="000000"/>
              </w:rPr>
              <w:t xml:space="preserve">memória: </w:t>
            </w:r>
            <w:r>
              <w:rPr>
                <w:rFonts w:ascii="Times New Roman" w:hAnsi="Times New Roman" w:eastAsia="Times New Roman" w:cs="Times New Roman"/>
                <w:color w:val="000000"/>
              </w:rPr>
              <w:t>trajetórias</w:t>
            </w:r>
            <w:r>
              <w:rPr>
                <w:rFonts w:ascii="Times New Roman" w:hAnsi="Times New Roman" w:eastAsia="Times New Roman" w:cs="Times New Roman"/>
                <w:color w:val="000000"/>
              </w:rPr>
              <w:tab/>
            </w:r>
            <w:r>
              <w:rPr>
                <w:rFonts w:ascii="Times New Roman" w:hAnsi="Times New Roman" w:eastAsia="Times New Roman" w:cs="Times New Roman"/>
                <w:color w:val="000000"/>
              </w:rPr>
              <w:t>e perspectivas. São Paulo: Ed. UNESP; FAPESP,1999.</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5"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VELLOSO, Mônica Pimenta. </w:t>
            </w:r>
            <w:r>
              <w:rPr>
                <w:rFonts w:ascii="Times New Roman" w:hAnsi="Times New Roman" w:eastAsia="Times New Roman" w:cs="Times New Roman"/>
                <w:b/>
                <w:color w:val="000000"/>
              </w:rPr>
              <w:t xml:space="preserve">História e modernismo. </w:t>
            </w:r>
            <w:r>
              <w:rPr>
                <w:rFonts w:ascii="Times New Roman" w:hAnsi="Times New Roman" w:eastAsia="Times New Roman" w:cs="Times New Roman"/>
                <w:color w:val="000000"/>
              </w:rPr>
              <w:t>Belo Horizonte: Autêntica Editora, 2010.</w:t>
            </w:r>
          </w:p>
        </w:tc>
      </w:tr>
      <w:tr>
        <w:tblPrEx>
          <w:tblCellMar>
            <w:top w:w="0" w:type="dxa"/>
            <w:left w:w="22" w:type="dxa"/>
            <w:bottom w:w="0" w:type="dxa"/>
            <w:right w:w="22" w:type="dxa"/>
          </w:tblCellMar>
        </w:tblPrEx>
        <w:trPr>
          <w:trHeight w:val="1683"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2"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8"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ANDRADE, Francisco Eduardo de. Obra de Diogo de Vasconcelos: linhas do poder episcopal no território mineiro. In: VASCONCELOS, Diogo de. </w:t>
            </w:r>
            <w:r>
              <w:rPr>
                <w:rFonts w:ascii="Times New Roman" w:hAnsi="Times New Roman" w:eastAsia="Times New Roman" w:cs="Times New Roman"/>
                <w:b/>
                <w:i/>
                <w:color w:val="000000"/>
              </w:rPr>
              <w:t xml:space="preserve">História da civilização mineira: </w:t>
            </w:r>
            <w:r>
              <w:rPr>
                <w:rFonts w:ascii="Times New Roman" w:hAnsi="Times New Roman" w:eastAsia="Times New Roman" w:cs="Times New Roman"/>
                <w:color w:val="000000"/>
              </w:rPr>
              <w:t>Bispado de Mariana. Belo Horizonte: Autêntica Editora, 2014.</w:t>
            </w:r>
          </w:p>
          <w:p>
            <w:pPr>
              <w:widowControl w:val="0"/>
              <w:pBdr>
                <w:top w:val="none" w:color="auto" w:sz="0" w:space="0"/>
                <w:left w:val="none" w:color="auto" w:sz="0" w:space="0"/>
                <w:bottom w:val="none" w:color="auto" w:sz="0" w:space="0"/>
                <w:right w:val="none" w:color="auto" w:sz="0" w:space="0"/>
                <w:between w:val="none" w:color="auto" w:sz="0" w:space="0"/>
              </w:pBdr>
              <w:tabs>
                <w:tab w:val="left" w:pos="1910"/>
                <w:tab w:val="left" w:pos="2524"/>
                <w:tab w:val="left" w:pos="3493"/>
                <w:tab w:val="left" w:pos="4385"/>
                <w:tab w:val="left" w:pos="5047"/>
                <w:tab w:val="left" w:pos="6222"/>
                <w:tab w:val="left" w:pos="8101"/>
              </w:tabs>
              <w:spacing w:line="360" w:lineRule="auto"/>
              <w:ind w:left="0" w:right="62" w:hanging="2"/>
              <w:rPr>
                <w:rFonts w:ascii="Times New Roman" w:hAnsi="Times New Roman" w:eastAsia="Times New Roman" w:cs="Times New Roman"/>
                <w:color w:val="000000"/>
              </w:rPr>
            </w:pPr>
            <w:r>
              <w:rPr>
                <w:rFonts w:ascii="Times New Roman" w:hAnsi="Times New Roman" w:eastAsia="Times New Roman" w:cs="Times New Roman"/>
                <w:color w:val="000000"/>
              </w:rPr>
              <w:t>BERWANGER,</w:t>
            </w:r>
            <w:r>
              <w:rPr>
                <w:rFonts w:ascii="Times New Roman" w:hAnsi="Times New Roman" w:eastAsia="Times New Roman" w:cs="Times New Roman"/>
                <w:color w:val="000000"/>
              </w:rPr>
              <w:tab/>
            </w:r>
            <w:r>
              <w:rPr>
                <w:rFonts w:ascii="Times New Roman" w:hAnsi="Times New Roman" w:eastAsia="Times New Roman" w:cs="Times New Roman"/>
                <w:color w:val="000000"/>
              </w:rPr>
              <w:t>Ana</w:t>
            </w:r>
            <w:r>
              <w:rPr>
                <w:rFonts w:ascii="Times New Roman" w:hAnsi="Times New Roman" w:eastAsia="Times New Roman" w:cs="Times New Roman"/>
                <w:color w:val="000000"/>
              </w:rPr>
              <w:tab/>
            </w:r>
            <w:r>
              <w:rPr>
                <w:rFonts w:ascii="Times New Roman" w:hAnsi="Times New Roman" w:eastAsia="Times New Roman" w:cs="Times New Roman"/>
                <w:color w:val="000000"/>
              </w:rPr>
              <w:t>Regina;</w:t>
            </w:r>
            <w:r>
              <w:rPr>
                <w:rFonts w:ascii="Times New Roman" w:hAnsi="Times New Roman" w:eastAsia="Times New Roman" w:cs="Times New Roman"/>
                <w:color w:val="000000"/>
              </w:rPr>
              <w:tab/>
            </w:r>
            <w:r>
              <w:rPr>
                <w:rFonts w:ascii="Times New Roman" w:hAnsi="Times New Roman" w:eastAsia="Times New Roman" w:cs="Times New Roman"/>
                <w:color w:val="000000"/>
              </w:rPr>
              <w:t>LEAL,</w:t>
            </w:r>
            <w:r>
              <w:rPr>
                <w:rFonts w:ascii="Times New Roman" w:hAnsi="Times New Roman" w:eastAsia="Times New Roman" w:cs="Times New Roman"/>
                <w:color w:val="000000"/>
              </w:rPr>
              <w:tab/>
            </w:r>
            <w:r>
              <w:rPr>
                <w:rFonts w:ascii="Times New Roman" w:hAnsi="Times New Roman" w:eastAsia="Times New Roman" w:cs="Times New Roman"/>
                <w:color w:val="000000"/>
              </w:rPr>
              <w:t>João</w:t>
            </w:r>
            <w:r>
              <w:rPr>
                <w:rFonts w:ascii="Times New Roman" w:hAnsi="Times New Roman" w:eastAsia="Times New Roman" w:cs="Times New Roman"/>
                <w:color w:val="000000"/>
              </w:rPr>
              <w:tab/>
            </w:r>
            <w:r>
              <w:rPr>
                <w:rFonts w:ascii="Times New Roman" w:hAnsi="Times New Roman" w:eastAsia="Times New Roman" w:cs="Times New Roman"/>
                <w:color w:val="000000"/>
              </w:rPr>
              <w:t xml:space="preserve">Euripedes Franklin. </w:t>
            </w:r>
            <w:r>
              <w:rPr>
                <w:rFonts w:ascii="Times New Roman" w:hAnsi="Times New Roman" w:eastAsia="Times New Roman" w:cs="Times New Roman"/>
                <w:b/>
                <w:i/>
                <w:color w:val="000000"/>
              </w:rPr>
              <w:t>Noções</w:t>
            </w:r>
            <w:r>
              <w:rPr>
                <w:rFonts w:ascii="Times New Roman" w:hAnsi="Times New Roman" w:eastAsia="Times New Roman" w:cs="Times New Roman"/>
                <w:b/>
                <w:i/>
                <w:color w:val="000000"/>
              </w:rPr>
              <w:tab/>
            </w:r>
            <w:r>
              <w:rPr>
                <w:rFonts w:ascii="Times New Roman" w:hAnsi="Times New Roman" w:eastAsia="Times New Roman" w:cs="Times New Roman"/>
                <w:b/>
                <w:i/>
                <w:color w:val="000000"/>
              </w:rPr>
              <w:t xml:space="preserve">de paleografia e de diplomática. </w:t>
            </w:r>
            <w:r>
              <w:rPr>
                <w:rFonts w:ascii="Times New Roman" w:hAnsi="Times New Roman" w:eastAsia="Times New Roman" w:cs="Times New Roman"/>
                <w:color w:val="000000"/>
              </w:rPr>
              <w:t>3. ed. Santa Maria: Ed. da UFSM,2008.</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5"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ARRUDA, Maria Arminda do Nascimento. </w:t>
            </w:r>
            <w:r>
              <w:rPr>
                <w:rFonts w:ascii="Times New Roman" w:hAnsi="Times New Roman" w:eastAsia="Times New Roman" w:cs="Times New Roman"/>
                <w:b/>
                <w:color w:val="000000"/>
              </w:rPr>
              <w:t xml:space="preserve">Mitologia da mineiridade: </w:t>
            </w:r>
            <w:r>
              <w:rPr>
                <w:rFonts w:ascii="Times New Roman" w:hAnsi="Times New Roman" w:eastAsia="Times New Roman" w:cs="Times New Roman"/>
                <w:color w:val="000000"/>
              </w:rPr>
              <w:t>o imaginário mineiro na vida política e cultural do Brasil. São Paulo: Brasiliense, 1990.</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BELLOTTO, Heloísa L. </w:t>
            </w:r>
            <w:r>
              <w:rPr>
                <w:rFonts w:ascii="Times New Roman" w:hAnsi="Times New Roman" w:eastAsia="Times New Roman" w:cs="Times New Roman"/>
                <w:b/>
                <w:color w:val="000000"/>
              </w:rPr>
              <w:t xml:space="preserve">Como fazer análise diplomática e análise tipológica de documentos de arquivo. </w:t>
            </w:r>
            <w:r>
              <w:rPr>
                <w:rFonts w:ascii="Times New Roman" w:hAnsi="Times New Roman" w:eastAsia="Times New Roman" w:cs="Times New Roman"/>
                <w:color w:val="000000"/>
              </w:rPr>
              <w:t>São Paulo: Arquivo do Estado, 2002. [Como fazer 8].</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HESPANHA, António M. Organização arquivística e história do poder, </w:t>
            </w:r>
            <w:r>
              <w:rPr>
                <w:rFonts w:ascii="Times New Roman" w:hAnsi="Times New Roman" w:eastAsia="Times New Roman" w:cs="Times New Roman"/>
                <w:b/>
                <w:color w:val="000000"/>
              </w:rPr>
              <w:t>Vértice,</w:t>
            </w:r>
          </w:p>
          <w:p>
            <w:pPr>
              <w:widowControl w:val="0"/>
              <w:pBdr>
                <w:top w:val="none" w:color="auto" w:sz="0" w:space="0"/>
                <w:left w:val="none" w:color="auto" w:sz="0" w:space="0"/>
                <w:bottom w:val="none" w:color="auto" w:sz="0" w:space="0"/>
                <w:right w:val="none" w:color="auto" w:sz="0" w:space="0"/>
                <w:between w:val="none" w:color="auto" w:sz="0" w:space="0"/>
              </w:pBdr>
              <w:spacing w:before="138"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Lisboa, 2ª série, n. 4, 1988.</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LIMA, Alceu Amoroso. </w:t>
            </w:r>
            <w:r>
              <w:rPr>
                <w:rFonts w:ascii="Times New Roman" w:hAnsi="Times New Roman" w:eastAsia="Times New Roman" w:cs="Times New Roman"/>
                <w:b/>
                <w:color w:val="000000"/>
              </w:rPr>
              <w:t xml:space="preserve">Voz de Minas: </w:t>
            </w:r>
            <w:r>
              <w:rPr>
                <w:rFonts w:ascii="Times New Roman" w:hAnsi="Times New Roman" w:eastAsia="Times New Roman" w:cs="Times New Roman"/>
                <w:color w:val="000000"/>
              </w:rPr>
              <w:t>ensaio de sociologia regional brasileira. São Paulo: Abril Cultural, 1983.</w:t>
            </w:r>
          </w:p>
        </w:tc>
      </w:tr>
    </w:tbl>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tbl>
      <w:tblPr>
        <w:tblStyle w:val="536"/>
        <w:tblW w:w="9021" w:type="dxa"/>
        <w:tblInd w:w="2" w:type="dxa"/>
        <w:tblLayout w:type="fixed"/>
        <w:tblCellMar>
          <w:top w:w="0" w:type="dxa"/>
          <w:left w:w="22" w:type="dxa"/>
          <w:bottom w:w="0" w:type="dxa"/>
          <w:right w:w="22" w:type="dxa"/>
        </w:tblCellMar>
      </w:tblPr>
      <w:tblGrid>
        <w:gridCol w:w="2830"/>
        <w:gridCol w:w="3118"/>
        <w:gridCol w:w="3073"/>
      </w:tblGrid>
      <w:tr>
        <w:tblPrEx>
          <w:tblCellMar>
            <w:top w:w="0" w:type="dxa"/>
            <w:left w:w="22" w:type="dxa"/>
            <w:bottom w:w="0" w:type="dxa"/>
            <w:right w:w="22" w:type="dxa"/>
          </w:tblCellMar>
        </w:tblPrEx>
        <w:trPr>
          <w:trHeight w:val="2116" w:hRule="atLeast"/>
        </w:trPr>
        <w:tc>
          <w:tcPr>
            <w:tcW w:w="5948" w:type="dxa"/>
            <w:gridSpan w:val="2"/>
            <w:tcBorders>
              <w:top w:val="single" w:color="000000" w:sz="18" w:space="0"/>
              <w:lef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Seminário em História do Brasil XXVII</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202020"/>
              </w:rPr>
              <w:t xml:space="preserve">Seminar in History of Brazil </w:t>
            </w:r>
            <w:r>
              <w:rPr>
                <w:rFonts w:ascii="Times New Roman" w:hAnsi="Times New Roman" w:eastAsia="Times New Roman" w:cs="Times New Roman"/>
                <w:color w:val="000000"/>
              </w:rPr>
              <w:t>XXVII</w:t>
            </w:r>
          </w:p>
        </w:tc>
        <w:tc>
          <w:tcPr>
            <w:tcW w:w="3073" w:type="dxa"/>
            <w:tcBorders>
              <w:top w:val="single" w:color="000000" w:sz="18" w:space="0"/>
              <w:left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HIS273</w:t>
            </w:r>
          </w:p>
        </w:tc>
      </w:tr>
      <w:tr>
        <w:tblPrEx>
          <w:tblCellMar>
            <w:top w:w="0" w:type="dxa"/>
            <w:left w:w="22" w:type="dxa"/>
            <w:bottom w:w="0" w:type="dxa"/>
            <w:right w:w="22" w:type="dxa"/>
          </w:tblCellMar>
        </w:tblPrEx>
        <w:trPr>
          <w:trHeight w:val="825" w:hRule="atLeast"/>
        </w:trPr>
        <w:tc>
          <w:tcPr>
            <w:tcW w:w="5948"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DEHIS</w:t>
            </w:r>
          </w:p>
        </w:tc>
        <w:tc>
          <w:tcPr>
            <w:tcW w:w="3073"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3" w:hRule="atLeast"/>
        </w:trPr>
        <w:tc>
          <w:tcPr>
            <w:tcW w:w="2830"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428"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2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3118"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3073"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 02 horas/aula</w:t>
            </w:r>
          </w:p>
        </w:tc>
      </w:tr>
      <w:tr>
        <w:tblPrEx>
          <w:tblCellMar>
            <w:top w:w="0" w:type="dxa"/>
            <w:left w:w="22" w:type="dxa"/>
            <w:bottom w:w="0" w:type="dxa"/>
            <w:right w:w="22" w:type="dxa"/>
          </w:tblCellMar>
        </w:tblPrEx>
        <w:trPr>
          <w:trHeight w:val="1243"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Ementa: Estudos aprofundados em temáticas sobre História e Historiografia Brasileira em perspectiva global ou transnacional</w:t>
            </w:r>
          </w:p>
        </w:tc>
      </w:tr>
      <w:tr>
        <w:tblPrEx>
          <w:tblCellMar>
            <w:top w:w="0" w:type="dxa"/>
            <w:left w:w="22" w:type="dxa"/>
            <w:bottom w:w="0" w:type="dxa"/>
            <w:right w:w="22" w:type="dxa"/>
          </w:tblCellMar>
        </w:tblPrEx>
        <w:trPr>
          <w:trHeight w:val="2481"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numPr>
                <w:ilvl w:val="0"/>
                <w:numId w:val="42"/>
              </w:numPr>
              <w:pBdr>
                <w:top w:val="none" w:color="auto" w:sz="0" w:space="0"/>
                <w:left w:val="none" w:color="auto" w:sz="0" w:space="0"/>
                <w:bottom w:val="none" w:color="auto" w:sz="0" w:space="0"/>
                <w:right w:val="none" w:color="auto" w:sz="0" w:space="0"/>
                <w:between w:val="none" w:color="auto" w:sz="0" w:space="0"/>
              </w:pBdr>
              <w:spacing w:before="137" w:line="360" w:lineRule="auto"/>
              <w:ind w:left="0" w:right="213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Problemas contemporâneos nos estudos históricos no Brasil. </w:t>
            </w:r>
          </w:p>
          <w:p>
            <w:pPr>
              <w:widowControl w:val="0"/>
              <w:numPr>
                <w:ilvl w:val="0"/>
                <w:numId w:val="42"/>
              </w:numPr>
              <w:pBdr>
                <w:top w:val="none" w:color="auto" w:sz="0" w:space="0"/>
                <w:left w:val="none" w:color="auto" w:sz="0" w:space="0"/>
                <w:bottom w:val="none" w:color="auto" w:sz="0" w:space="0"/>
                <w:right w:val="none" w:color="auto" w:sz="0" w:space="0"/>
                <w:between w:val="none" w:color="auto" w:sz="0" w:space="0"/>
              </w:pBdr>
              <w:spacing w:line="360" w:lineRule="auto"/>
              <w:ind w:left="0" w:right="2130" w:hanging="2"/>
              <w:rPr>
                <w:rFonts w:ascii="Times New Roman" w:hAnsi="Times New Roman" w:eastAsia="Times New Roman" w:cs="Times New Roman"/>
                <w:color w:val="000000"/>
              </w:rPr>
            </w:pPr>
            <w:r>
              <w:rPr>
                <w:rFonts w:ascii="Times New Roman" w:hAnsi="Times New Roman" w:eastAsia="Times New Roman" w:cs="Times New Roman"/>
                <w:color w:val="000000"/>
              </w:rPr>
              <w:t>Abordagens e debates historiográficos</w:t>
            </w:r>
          </w:p>
          <w:p>
            <w:pPr>
              <w:widowControl w:val="0"/>
              <w:numPr>
                <w:ilvl w:val="0"/>
                <w:numId w:val="42"/>
              </w:numPr>
              <w:pBdr>
                <w:top w:val="none" w:color="auto" w:sz="0" w:space="0"/>
                <w:left w:val="none" w:color="auto" w:sz="0" w:space="0"/>
                <w:bottom w:val="none" w:color="auto" w:sz="0" w:space="0"/>
                <w:right w:val="none" w:color="auto" w:sz="0" w:space="0"/>
                <w:between w:val="none" w:color="auto" w:sz="0" w:space="0"/>
              </w:pBdr>
              <w:tabs>
                <w:tab w:val="left" w:pos="0"/>
                <w:tab w:val="left" w:pos="535"/>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Questões teóricas do campo.</w:t>
            </w:r>
          </w:p>
          <w:p>
            <w:pPr>
              <w:widowControl w:val="0"/>
              <w:numPr>
                <w:ilvl w:val="0"/>
                <w:numId w:val="42"/>
              </w:numPr>
              <w:pBdr>
                <w:top w:val="none" w:color="auto" w:sz="0" w:space="0"/>
                <w:left w:val="none" w:color="auto" w:sz="0" w:space="0"/>
                <w:bottom w:val="none" w:color="auto" w:sz="0" w:space="0"/>
                <w:right w:val="none" w:color="auto" w:sz="0" w:space="0"/>
                <w:between w:val="none" w:color="auto" w:sz="0" w:space="0"/>
              </w:pBdr>
              <w:tabs>
                <w:tab w:val="left" w:pos="0"/>
                <w:tab w:val="left" w:pos="535"/>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Dialogando resultados de investigação.</w:t>
            </w:r>
          </w:p>
        </w:tc>
      </w:tr>
      <w:tr>
        <w:tblPrEx>
          <w:tblCellMar>
            <w:top w:w="0" w:type="dxa"/>
            <w:left w:w="22" w:type="dxa"/>
            <w:bottom w:w="0" w:type="dxa"/>
            <w:right w:w="22" w:type="dxa"/>
          </w:tblCellMar>
        </w:tblPrEx>
        <w:trPr>
          <w:trHeight w:val="2415"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CHALHOUB, Sidney. </w:t>
            </w:r>
            <w:r>
              <w:rPr>
                <w:rFonts w:ascii="Times New Roman" w:hAnsi="Times New Roman" w:eastAsia="Times New Roman" w:cs="Times New Roman"/>
                <w:b/>
                <w:color w:val="000000"/>
              </w:rPr>
              <w:t xml:space="preserve">Artes e ofícios de curar no Brasil: </w:t>
            </w:r>
            <w:r>
              <w:rPr>
                <w:rFonts w:ascii="Times New Roman" w:hAnsi="Times New Roman" w:eastAsia="Times New Roman" w:cs="Times New Roman"/>
                <w:color w:val="000000"/>
              </w:rPr>
              <w:t>capítulos de história social. Campinas, SP: UNICAMP 2003. Call number: 398:615.89(81) A786.</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6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CORBIN, Alain; COURTINE, Jean-Jacques; VIGARELLO, </w:t>
            </w:r>
            <w:r>
              <w:rPr>
                <w:rFonts w:ascii="Times New Roman" w:hAnsi="Times New Roman" w:eastAsia="Times New Roman" w:cs="Times New Roman"/>
                <w:b/>
                <w:color w:val="000000"/>
              </w:rPr>
              <w:t>Georges. História do corpo.</w:t>
            </w:r>
            <w:r>
              <w:rPr>
                <w:rFonts w:ascii="Times New Roman" w:hAnsi="Times New Roman" w:eastAsia="Times New Roman" w:cs="Times New Roman"/>
                <w:color w:val="000000"/>
              </w:rPr>
              <w:t>2.ed. Petrópolis: Vozes 2008. 3v. Call number: 793:572 H673 (MEDICINA) 2008 2.ed.</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FIGUEIREDO, Betânia Gonçalves. </w:t>
            </w:r>
            <w:r>
              <w:rPr>
                <w:rFonts w:ascii="Times New Roman" w:hAnsi="Times New Roman" w:eastAsia="Times New Roman" w:cs="Times New Roman"/>
                <w:b/>
                <w:color w:val="000000"/>
              </w:rPr>
              <w:t xml:space="preserve">A arte de curar: </w:t>
            </w:r>
            <w:r>
              <w:rPr>
                <w:rFonts w:ascii="Times New Roman" w:hAnsi="Times New Roman" w:eastAsia="Times New Roman" w:cs="Times New Roman"/>
                <w:color w:val="000000"/>
              </w:rPr>
              <w:t>cirurgiões, médicos, boticários e curandeiros no século XIX em Minas Gerais. Rio de Janeiro, RJ: Vício de Leitura, 2002 Call number: 981 (MEDICINA) F475a (MEDICINA) F475a 2002 (MEDICINA) 2002.</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39"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FOUCAULT, Michel. </w:t>
            </w:r>
            <w:r>
              <w:rPr>
                <w:rFonts w:ascii="Times New Roman" w:hAnsi="Times New Roman" w:eastAsia="Times New Roman" w:cs="Times New Roman"/>
                <w:b/>
                <w:color w:val="000000"/>
              </w:rPr>
              <w:t xml:space="preserve">O nascimento da clínica. </w:t>
            </w:r>
            <w:r>
              <w:rPr>
                <w:rFonts w:ascii="Times New Roman" w:hAnsi="Times New Roman" w:eastAsia="Times New Roman" w:cs="Times New Roman"/>
                <w:color w:val="000000"/>
              </w:rPr>
              <w:t>2. ed. Rio de Janeiro: Forense Universitária c1980. Call number: 61:1 F762n (ENUT) 1980 61(091) F762n (ICHS) c1980.</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SONTAG, Susan. </w:t>
            </w:r>
            <w:r>
              <w:rPr>
                <w:rFonts w:ascii="Times New Roman" w:hAnsi="Times New Roman" w:eastAsia="Times New Roman" w:cs="Times New Roman"/>
                <w:b/>
                <w:color w:val="000000"/>
              </w:rPr>
              <w:t xml:space="preserve">AIDS e suas metáforas. </w:t>
            </w:r>
            <w:r>
              <w:rPr>
                <w:rFonts w:ascii="Times New Roman" w:hAnsi="Times New Roman" w:eastAsia="Times New Roman" w:cs="Times New Roman"/>
                <w:color w:val="000000"/>
              </w:rPr>
              <w:t>São Paulo: Companhia das Letras c1989. Call number: 82-83 S699a (IFAC) 1989 82-83 S699a (ICHS) c1989.</w:t>
            </w:r>
          </w:p>
        </w:tc>
      </w:tr>
      <w:tr>
        <w:tblPrEx>
          <w:tblCellMar>
            <w:top w:w="0" w:type="dxa"/>
            <w:left w:w="22" w:type="dxa"/>
            <w:bottom w:w="0" w:type="dxa"/>
            <w:right w:w="22" w:type="dxa"/>
          </w:tblCellMar>
        </w:tblPrEx>
        <w:trPr>
          <w:trHeight w:val="549"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right="452"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SONTAG, Susan; FIGUEIREDO, Rubens. </w:t>
            </w:r>
            <w:r>
              <w:rPr>
                <w:rFonts w:ascii="Times New Roman" w:hAnsi="Times New Roman" w:eastAsia="Times New Roman" w:cs="Times New Roman"/>
                <w:b/>
                <w:color w:val="000000"/>
              </w:rPr>
              <w:t xml:space="preserve">Diante da dor dos outros. </w:t>
            </w:r>
            <w:r>
              <w:rPr>
                <w:rFonts w:ascii="Times New Roman" w:hAnsi="Times New Roman" w:eastAsia="Times New Roman" w:cs="Times New Roman"/>
                <w:color w:val="000000"/>
              </w:rPr>
              <w:t>São Paulo: Companhia das Letras 2003. Call number: 820(73)-4 S699d 2005.</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RODRIGUES, José Carlos. </w:t>
            </w:r>
            <w:r>
              <w:rPr>
                <w:rFonts w:ascii="Times New Roman" w:hAnsi="Times New Roman" w:eastAsia="Times New Roman" w:cs="Times New Roman"/>
                <w:b/>
                <w:color w:val="000000"/>
              </w:rPr>
              <w:t xml:space="preserve">O corpo na história. </w:t>
            </w:r>
            <w:r>
              <w:rPr>
                <w:rFonts w:ascii="Times New Roman" w:hAnsi="Times New Roman" w:eastAsia="Times New Roman" w:cs="Times New Roman"/>
                <w:color w:val="000000"/>
              </w:rPr>
              <w:t>Rio de Janeiro: FIOCRUZ, 2008, c1999. 197 p. Call number: 793:572 R696c 2008 (MEDICINA) (DEMUS).</w:t>
            </w: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ROSA, Maria Cristina; SOARES, Carmen Lucia. </w:t>
            </w:r>
            <w:r>
              <w:rPr>
                <w:rFonts w:ascii="Times New Roman" w:hAnsi="Times New Roman" w:eastAsia="Times New Roman" w:cs="Times New Roman"/>
                <w:b/>
                <w:color w:val="000000"/>
              </w:rPr>
              <w:t>Da pluralidade dos corpos: educação, diversão e doença na comarca de Vila Rica</w:t>
            </w:r>
            <w:r>
              <w:rPr>
                <w:rFonts w:ascii="Times New Roman" w:hAnsi="Times New Roman" w:eastAsia="Times New Roman" w:cs="Times New Roman"/>
                <w:color w:val="000000"/>
              </w:rPr>
              <w:t>. [S.l.] 2005. s.n. 19--] xxi, 271f. Dissertação (Doutorado) - Universidade Estadual de Campinas, Faculdade de Educação Call number: 981(815.1)(043.2) R788d (IFAC) 2005 Tese 94(815.1) R788d (ENUT) 2005.</w:t>
            </w:r>
          </w:p>
          <w:p>
            <w:pPr>
              <w:widowControl w:val="0"/>
              <w:pBdr>
                <w:top w:val="none" w:color="auto" w:sz="0" w:space="0"/>
                <w:left w:val="none" w:color="auto" w:sz="0" w:space="0"/>
                <w:bottom w:val="none" w:color="auto" w:sz="0" w:space="0"/>
                <w:right w:val="none" w:color="auto" w:sz="0" w:space="0"/>
                <w:between w:val="none" w:color="auto" w:sz="0" w:space="0"/>
              </w:pBdr>
              <w:spacing w:line="34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MARQUES, Rita de Cássia; SILVEIRA, Anny Jackeline Torres; FIGUEIREDO, Betânia Gonçalves. </w:t>
            </w:r>
            <w:r>
              <w:rPr>
                <w:rFonts w:ascii="Times New Roman" w:hAnsi="Times New Roman" w:eastAsia="Times New Roman" w:cs="Times New Roman"/>
                <w:b/>
                <w:color w:val="000000"/>
              </w:rPr>
              <w:t xml:space="preserve">História da saúde em Minas Gerais: </w:t>
            </w:r>
            <w:r>
              <w:rPr>
                <w:rFonts w:ascii="Times New Roman" w:hAnsi="Times New Roman" w:eastAsia="Times New Roman" w:cs="Times New Roman"/>
                <w:color w:val="000000"/>
              </w:rPr>
              <w:t>instituições e patrimônio arquitetônico (1808-1958) .1a.ed. Barueri: Manole 2011. Call number: 614(815.1)</w:t>
            </w:r>
          </w:p>
          <w:p>
            <w:pPr>
              <w:widowControl w:val="0"/>
              <w:pBdr>
                <w:top w:val="none" w:color="auto" w:sz="0" w:space="0"/>
                <w:left w:val="none" w:color="auto" w:sz="0" w:space="0"/>
                <w:bottom w:val="none" w:color="auto" w:sz="0" w:space="0"/>
                <w:right w:val="none" w:color="auto" w:sz="0" w:space="0"/>
                <w:between w:val="none" w:color="auto" w:sz="0" w:space="0"/>
              </w:pBdr>
              <w:spacing w:before="5"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H673 2011.</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SILVEIRA, Anny Jackeline Torres. </w:t>
            </w:r>
            <w:r>
              <w:rPr>
                <w:rFonts w:ascii="Times New Roman" w:hAnsi="Times New Roman" w:eastAsia="Times New Roman" w:cs="Times New Roman"/>
                <w:b/>
                <w:color w:val="000000"/>
              </w:rPr>
              <w:t xml:space="preserve">A influenza espanhola e a cidade planejada: Belo </w:t>
            </w:r>
            <w:r>
              <w:rPr>
                <w:rFonts w:ascii="Times New Roman" w:hAnsi="Times New Roman" w:eastAsia="Times New Roman" w:cs="Times New Roman"/>
                <w:color w:val="000000"/>
              </w:rPr>
              <w:t>Horizonte, 1918. Belo Horizonte (MG): Argvmentvm; Fapemig Capes 2007. Call number: 93:616.921.5 S587i 2007.</w:t>
            </w:r>
          </w:p>
        </w:tc>
      </w:tr>
    </w:tbl>
    <w:p>
      <w:pPr>
        <w:pBdr>
          <w:top w:val="none" w:color="auto" w:sz="0" w:space="0"/>
          <w:left w:val="none" w:color="auto" w:sz="0" w:space="0"/>
          <w:bottom w:val="none" w:color="auto" w:sz="0" w:space="0"/>
          <w:right w:val="none" w:color="auto" w:sz="0" w:space="0"/>
          <w:between w:val="none" w:color="auto" w:sz="0" w:space="0"/>
        </w:pBdr>
        <w:spacing w:before="3" w:after="140" w:line="288" w:lineRule="auto"/>
        <w:ind w:left="0" w:hanging="2"/>
        <w:rPr>
          <w:rFonts w:ascii="Times New Roman" w:hAnsi="Times New Roman" w:eastAsia="Times New Roman" w:cs="Times New Roman"/>
          <w:color w:val="000000"/>
        </w:rPr>
      </w:pPr>
    </w:p>
    <w:tbl>
      <w:tblPr>
        <w:tblStyle w:val="537"/>
        <w:tblW w:w="9021" w:type="dxa"/>
        <w:tblInd w:w="2" w:type="dxa"/>
        <w:tblLayout w:type="fixed"/>
        <w:tblCellMar>
          <w:top w:w="0" w:type="dxa"/>
          <w:left w:w="22" w:type="dxa"/>
          <w:bottom w:w="0" w:type="dxa"/>
          <w:right w:w="5" w:type="dxa"/>
        </w:tblCellMar>
      </w:tblPr>
      <w:tblGrid>
        <w:gridCol w:w="2830"/>
        <w:gridCol w:w="3118"/>
        <w:gridCol w:w="3073"/>
      </w:tblGrid>
      <w:tr>
        <w:tblPrEx>
          <w:tblCellMar>
            <w:top w:w="0" w:type="dxa"/>
            <w:left w:w="22" w:type="dxa"/>
            <w:bottom w:w="0" w:type="dxa"/>
            <w:right w:w="5" w:type="dxa"/>
          </w:tblCellMar>
        </w:tblPrEx>
        <w:trPr>
          <w:trHeight w:val="2068" w:hRule="atLeast"/>
        </w:trPr>
        <w:tc>
          <w:tcPr>
            <w:tcW w:w="5948"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Seminário em História do Brasil XXVIII</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885"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Nome do Componente Curricular em inglês: </w:t>
            </w:r>
            <w:r>
              <w:rPr>
                <w:rFonts w:ascii="Times New Roman" w:hAnsi="Times New Roman" w:eastAsia="Times New Roman" w:cs="Times New Roman"/>
                <w:color w:val="202020"/>
              </w:rPr>
              <w:t xml:space="preserve">Seminar in History of Brazil </w:t>
            </w:r>
            <w:r>
              <w:rPr>
                <w:rFonts w:ascii="Times New Roman" w:hAnsi="Times New Roman" w:eastAsia="Times New Roman" w:cs="Times New Roman"/>
                <w:color w:val="000000"/>
              </w:rPr>
              <w:t>XXVIII</w:t>
            </w:r>
          </w:p>
        </w:tc>
        <w:tc>
          <w:tcPr>
            <w:tcW w:w="3073"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HIS274</w:t>
            </w:r>
          </w:p>
        </w:tc>
      </w:tr>
      <w:tr>
        <w:tblPrEx>
          <w:tblCellMar>
            <w:top w:w="0" w:type="dxa"/>
            <w:left w:w="22" w:type="dxa"/>
            <w:bottom w:w="0" w:type="dxa"/>
            <w:right w:w="5" w:type="dxa"/>
          </w:tblCellMar>
        </w:tblPrEx>
        <w:trPr>
          <w:trHeight w:val="643" w:hRule="atLeast"/>
        </w:trPr>
        <w:tc>
          <w:tcPr>
            <w:tcW w:w="5948" w:type="dxa"/>
            <w:gridSpan w:val="2"/>
            <w:tcBorders>
              <w:top w:val="single" w:color="000000" w:sz="4" w:space="0"/>
              <w:lef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DEHIS</w:t>
            </w:r>
          </w:p>
        </w:tc>
        <w:tc>
          <w:tcPr>
            <w:tcW w:w="3073"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5" w:type="dxa"/>
          </w:tblCellMar>
        </w:tblPrEx>
        <w:trPr>
          <w:trHeight w:val="1242" w:hRule="atLeast"/>
        </w:trPr>
        <w:tc>
          <w:tcPr>
            <w:tcW w:w="2830"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428"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2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3118"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3073"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Carga horária semanal prática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02 horas/aula</w:t>
            </w:r>
          </w:p>
        </w:tc>
      </w:tr>
      <w:tr>
        <w:tblPrEx>
          <w:tblCellMar>
            <w:top w:w="0" w:type="dxa"/>
            <w:left w:w="22" w:type="dxa"/>
            <w:bottom w:w="0" w:type="dxa"/>
            <w:right w:w="5" w:type="dxa"/>
          </w:tblCellMar>
        </w:tblPrEx>
        <w:trPr>
          <w:trHeight w:val="1238"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Ementa: Estudos aprofundados em temáticas sobre História das Ciências no Brasil Republicano.</w:t>
            </w:r>
          </w:p>
        </w:tc>
      </w:tr>
      <w:tr>
        <w:tblPrEx>
          <w:tblCellMar>
            <w:top w:w="0" w:type="dxa"/>
            <w:left w:w="22" w:type="dxa"/>
            <w:bottom w:w="0" w:type="dxa"/>
            <w:right w:w="5" w:type="dxa"/>
          </w:tblCellMar>
        </w:tblPrEx>
        <w:trPr>
          <w:trHeight w:val="875"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numPr>
                <w:ilvl w:val="0"/>
                <w:numId w:val="43"/>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 ciência republicana.</w:t>
            </w:r>
          </w:p>
          <w:p>
            <w:pPr>
              <w:widowControl w:val="0"/>
              <w:numPr>
                <w:ilvl w:val="0"/>
                <w:numId w:val="43"/>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As comunidades científicas no Brasil</w:t>
            </w:r>
          </w:p>
          <w:p>
            <w:pPr>
              <w:widowControl w:val="0"/>
              <w:numPr>
                <w:ilvl w:val="0"/>
                <w:numId w:val="43"/>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line="360" w:lineRule="auto"/>
              <w:ind w:left="0" w:right="2109" w:hanging="2"/>
              <w:rPr>
                <w:rFonts w:ascii="Times New Roman" w:hAnsi="Times New Roman" w:eastAsia="Times New Roman" w:cs="Times New Roman"/>
                <w:color w:val="000000"/>
              </w:rPr>
            </w:pPr>
            <w:r>
              <w:rPr>
                <w:rFonts w:ascii="Times New Roman" w:hAnsi="Times New Roman" w:eastAsia="Times New Roman" w:cs="Times New Roman"/>
                <w:color w:val="000000"/>
              </w:rPr>
              <w:t>Produção e a divulgação das ciências no Brasil</w:t>
            </w:r>
            <w:r>
              <w:rPr>
                <w:rFonts w:ascii="Times New Roman" w:hAnsi="Times New Roman" w:eastAsia="Times New Roman" w:cs="Times New Roman"/>
              </w:rPr>
              <w:t xml:space="preserve"> </w:t>
            </w:r>
            <w:r>
              <w:rPr>
                <w:rFonts w:ascii="Times New Roman" w:hAnsi="Times New Roman" w:eastAsia="Times New Roman" w:cs="Times New Roman"/>
                <w:color w:val="000000"/>
              </w:rPr>
              <w:t xml:space="preserve">República </w:t>
            </w:r>
          </w:p>
          <w:p>
            <w:pPr>
              <w:widowControl w:val="0"/>
              <w:numPr>
                <w:ilvl w:val="0"/>
                <w:numId w:val="43"/>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line="360" w:lineRule="auto"/>
              <w:ind w:left="0" w:right="2109" w:hanging="2"/>
              <w:rPr>
                <w:rFonts w:ascii="Times New Roman" w:hAnsi="Times New Roman" w:eastAsia="Times New Roman" w:cs="Times New Roman"/>
                <w:color w:val="000000"/>
              </w:rPr>
            </w:pPr>
            <w:r>
              <w:rPr>
                <w:rFonts w:ascii="Times New Roman" w:hAnsi="Times New Roman" w:eastAsia="Times New Roman" w:cs="Times New Roman"/>
                <w:color w:val="000000"/>
              </w:rPr>
              <w:t>Estudos de caso</w:t>
            </w:r>
          </w:p>
        </w:tc>
      </w:tr>
      <w:tr>
        <w:tblPrEx>
          <w:tblCellMar>
            <w:top w:w="0" w:type="dxa"/>
            <w:left w:w="22" w:type="dxa"/>
            <w:bottom w:w="0" w:type="dxa"/>
            <w:right w:w="5" w:type="dxa"/>
          </w:tblCellMar>
        </w:tblPrEx>
        <w:trPr>
          <w:trHeight w:val="875"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right="52"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DANTES, Maria Amélia. (org.). </w:t>
            </w:r>
            <w:r>
              <w:rPr>
                <w:rFonts w:ascii="Times New Roman" w:hAnsi="Times New Roman" w:eastAsia="Times New Roman" w:cs="Times New Roman"/>
                <w:b/>
                <w:color w:val="000000"/>
              </w:rPr>
              <w:t xml:space="preserve">Espaços da ciência no Brasil. </w:t>
            </w:r>
            <w:r>
              <w:rPr>
                <w:rFonts w:ascii="Times New Roman" w:hAnsi="Times New Roman" w:eastAsia="Times New Roman" w:cs="Times New Roman"/>
                <w:color w:val="000000"/>
              </w:rPr>
              <w:t>1800-1930. Rio de Janeiro: Editora Fiocruz, 2001.</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4"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SCHWARTZMAN, Simon. </w:t>
            </w:r>
            <w:r>
              <w:rPr>
                <w:rFonts w:ascii="Times New Roman" w:hAnsi="Times New Roman" w:eastAsia="Times New Roman" w:cs="Times New Roman"/>
                <w:b/>
                <w:color w:val="000000"/>
              </w:rPr>
              <w:t xml:space="preserve">Um espaço para a ciência: </w:t>
            </w:r>
            <w:r>
              <w:rPr>
                <w:rFonts w:ascii="Times New Roman" w:hAnsi="Times New Roman" w:eastAsia="Times New Roman" w:cs="Times New Roman"/>
                <w:color w:val="000000"/>
              </w:rPr>
              <w:t>a formação da comunidade científica no Brasil. Brasília, DF: MCT/CEE 2001. xxvi, 357 p. (Brasil, ciência &amp; tecnologia; 1). ISBN 8570280181. Call number: 165.9(81) S399e (IFAC) 2001</w:t>
            </w:r>
          </w:p>
          <w:p>
            <w:pPr>
              <w:widowControl w:val="0"/>
              <w:pBdr>
                <w:top w:val="none" w:color="auto" w:sz="0" w:space="0"/>
                <w:left w:val="none" w:color="auto" w:sz="0" w:space="0"/>
                <w:bottom w:val="none" w:color="auto" w:sz="0" w:space="0"/>
                <w:right w:val="none" w:color="auto" w:sz="0" w:space="0"/>
                <w:between w:val="none" w:color="auto" w:sz="0" w:space="0"/>
              </w:pBdr>
              <w:spacing w:before="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516(81) S399e (EM) 2001.</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6"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DUARTE, Regina Horta. </w:t>
            </w:r>
            <w:r>
              <w:rPr>
                <w:rFonts w:ascii="Times New Roman" w:hAnsi="Times New Roman" w:eastAsia="Times New Roman" w:cs="Times New Roman"/>
                <w:b/>
                <w:color w:val="000000"/>
              </w:rPr>
              <w:t xml:space="preserve">A biologia militante: </w:t>
            </w:r>
            <w:r>
              <w:rPr>
                <w:rFonts w:ascii="Times New Roman" w:hAnsi="Times New Roman" w:eastAsia="Times New Roman" w:cs="Times New Roman"/>
                <w:color w:val="000000"/>
              </w:rPr>
              <w:t>o Museu Nacional, especialização científica, divulgação do conhecimento e práticas políticas no Brasil 1926-1945. Belo Horizonte: UFMG 2010. Call number: 573(091)(081) D812b 2010.</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8"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BATH, Sérgio; MACEDO, Beatriz; UNESCO. </w:t>
            </w:r>
            <w:r>
              <w:rPr>
                <w:rFonts w:ascii="Times New Roman" w:hAnsi="Times New Roman" w:eastAsia="Times New Roman" w:cs="Times New Roman"/>
                <w:b/>
                <w:color w:val="000000"/>
              </w:rPr>
              <w:t xml:space="preserve">Cultura Científica: </w:t>
            </w:r>
            <w:r>
              <w:rPr>
                <w:rFonts w:ascii="Times New Roman" w:hAnsi="Times New Roman" w:eastAsia="Times New Roman" w:cs="Times New Roman"/>
                <w:color w:val="000000"/>
              </w:rPr>
              <w:t>um direito de todos. Brasília: Unesco 2003. Call number: 001.32 C968 (IFAC) 2003 316.7:167.7</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C968 (ICHS) 2003.</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2" w:hanging="2"/>
              <w:rPr>
                <w:rFonts w:ascii="Times New Roman" w:hAnsi="Times New Roman" w:eastAsia="Times New Roman" w:cs="Times New Roman"/>
                <w:color w:val="000000"/>
              </w:rPr>
            </w:pPr>
            <w:r>
              <w:rPr>
                <w:rFonts w:ascii="Times New Roman" w:hAnsi="Times New Roman" w:eastAsia="Times New Roman" w:cs="Times New Roman"/>
                <w:color w:val="000000"/>
              </w:rPr>
              <w:t>FUNDAÇÃO Oswaldo Cruz</w:t>
            </w:r>
            <w:r>
              <w:rPr>
                <w:rFonts w:ascii="Times New Roman" w:hAnsi="Times New Roman" w:eastAsia="Times New Roman" w:cs="Times New Roman"/>
                <w:i/>
                <w:color w:val="000000"/>
              </w:rPr>
              <w:t xml:space="preserve">. </w:t>
            </w:r>
            <w:r>
              <w:rPr>
                <w:rFonts w:ascii="Times New Roman" w:hAnsi="Times New Roman" w:eastAsia="Times New Roman" w:cs="Times New Roman"/>
                <w:b/>
                <w:color w:val="000000"/>
              </w:rPr>
              <w:t xml:space="preserve">A ciência a caminho da roça: </w:t>
            </w:r>
            <w:r>
              <w:rPr>
                <w:rFonts w:ascii="Times New Roman" w:hAnsi="Times New Roman" w:eastAsia="Times New Roman" w:cs="Times New Roman"/>
                <w:color w:val="000000"/>
              </w:rPr>
              <w:t>imagens das expedições científicas do Instituto Oswaldo da Cruz ao interior do Brasil entre 1911 e 1913. Rio de Janeiro: FIOCRUZ/ Casa de Oswaldo Cruz 1991. Call number: 981 C569 (IFAC)</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1991 R R.</w:t>
            </w:r>
          </w:p>
        </w:tc>
      </w:tr>
      <w:tr>
        <w:tblPrEx>
          <w:tblCellMar>
            <w:top w:w="0" w:type="dxa"/>
            <w:left w:w="22" w:type="dxa"/>
            <w:bottom w:w="0" w:type="dxa"/>
            <w:right w:w="5" w:type="dxa"/>
          </w:tblCellMar>
        </w:tblPrEx>
        <w:trPr>
          <w:trHeight w:val="875" w:hRule="atLeast"/>
        </w:trPr>
        <w:tc>
          <w:tcPr>
            <w:tcW w:w="9021" w:type="dxa"/>
            <w:gridSpan w:val="3"/>
            <w:tcBorders>
              <w:top w:val="single" w:color="000000" w:sz="4"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b/>
                <w:color w:val="000000"/>
              </w:rPr>
              <w:t xml:space="preserve">ANAIS DO MUSEU HISTÓRICO NACIONAL. </w:t>
            </w:r>
            <w:r>
              <w:rPr>
                <w:rFonts w:ascii="Times New Roman" w:hAnsi="Times New Roman" w:eastAsia="Times New Roman" w:cs="Times New Roman"/>
                <w:color w:val="000000"/>
              </w:rPr>
              <w:t>Rio de Janeiro, RJ: Ministério da Educação e Cultura. Call number: Periódico.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b/>
                <w:color w:val="000000"/>
              </w:rPr>
              <w:t xml:space="preserve">CIÊNCIA &amp; CULTURA </w:t>
            </w:r>
            <w:r>
              <w:rPr>
                <w:rFonts w:ascii="Times New Roman" w:hAnsi="Times New Roman" w:eastAsia="Times New Roman" w:cs="Times New Roman"/>
                <w:color w:val="000000"/>
              </w:rPr>
              <w:t>(SÃO PAULO). São Paulo: SBPC, Mensal. ISSN 0009 -6725.Call number: Periódico (ENUT) Periódico</w:t>
            </w: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b/>
                <w:color w:val="000000"/>
              </w:rPr>
              <w:t>HISTÓRIA, CIÊNCIAS, SAÚDE - MANGUINHOS</w:t>
            </w:r>
            <w:r>
              <w:rPr>
                <w:rFonts w:ascii="Times New Roman" w:hAnsi="Times New Roman" w:eastAsia="Times New Roman" w:cs="Times New Roman"/>
                <w:color w:val="000000"/>
              </w:rPr>
              <w:t>. Rio de Janeiro: Casa de</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Oswaldo Cruz,1994-. Quadrimestral. Call number: Periódico (ICHS) (IFAC) (EFAR) </w:t>
            </w:r>
            <w:r>
              <w:rPr>
                <w:rFonts w:ascii="Times New Roman" w:hAnsi="Times New Roman" w:eastAsia="Times New Roman" w:cs="Times New Roman"/>
                <w:i/>
                <w:color w:val="000000"/>
              </w:rPr>
              <w:t>REVISTA Rodriguésia</w:t>
            </w:r>
            <w:r>
              <w:rPr>
                <w:rFonts w:ascii="Times New Roman" w:hAnsi="Times New Roman" w:eastAsia="Times New Roman" w:cs="Times New Roman"/>
                <w:color w:val="000000"/>
              </w:rPr>
              <w:t xml:space="preserve">. </w:t>
            </w:r>
            <w:r>
              <w:fldChar w:fldCharType="begin"/>
            </w:r>
            <w:r>
              <w:instrText xml:space="preserve"> HYPERLINK "http://rodriguesia.jbrj.gov.br/" \h </w:instrText>
            </w:r>
            <w:r>
              <w:fldChar w:fldCharType="separate"/>
            </w:r>
            <w:r>
              <w:rPr>
                <w:rFonts w:ascii="Times New Roman" w:hAnsi="Times New Roman" w:eastAsia="Times New Roman" w:cs="Times New Roman"/>
                <w:color w:val="0000FF"/>
                <w:u w:val="single"/>
              </w:rPr>
              <w:t xml:space="preserve">http://rodriguesia.jbrj.gov.br/ </w:t>
            </w:r>
            <w:r>
              <w:rPr>
                <w:rFonts w:ascii="Times New Roman" w:hAnsi="Times New Roman" w:eastAsia="Times New Roman" w:cs="Times New Roman"/>
                <w:color w:val="0000FF"/>
                <w:u w:val="single"/>
              </w:rPr>
              <w:fldChar w:fldCharType="end"/>
            </w:r>
            <w:r>
              <w:rPr>
                <w:rFonts w:ascii="Times New Roman" w:hAnsi="Times New Roman" w:eastAsia="Times New Roman" w:cs="Times New Roman"/>
                <w:i/>
                <w:color w:val="000000"/>
              </w:rPr>
              <w:t>REVISTA DA SBHC</w:t>
            </w:r>
            <w:r>
              <w:rPr>
                <w:rFonts w:ascii="Times New Roman" w:hAnsi="Times New Roman" w:eastAsia="Times New Roman" w:cs="Times New Roman"/>
                <w:color w:val="000000"/>
              </w:rPr>
              <w:t xml:space="preserve">. </w:t>
            </w:r>
            <w:r>
              <w:fldChar w:fldCharType="begin"/>
            </w:r>
            <w:r>
              <w:instrText xml:space="preserve"> HYPERLINK "http://www.sbhc.org.br/revistahistoria/public" \h </w:instrText>
            </w:r>
            <w:r>
              <w:fldChar w:fldCharType="separate"/>
            </w:r>
            <w:r>
              <w:rPr>
                <w:rFonts w:ascii="Times New Roman" w:hAnsi="Times New Roman" w:eastAsia="Times New Roman" w:cs="Times New Roman"/>
                <w:color w:val="0000FF"/>
                <w:u w:val="single"/>
              </w:rPr>
              <w:t>http://www.sbhc.org.br/revistahistoria/public</w:t>
            </w:r>
            <w:r>
              <w:rPr>
                <w:rFonts w:ascii="Times New Roman" w:hAnsi="Times New Roman" w:eastAsia="Times New Roman" w:cs="Times New Roman"/>
                <w:color w:val="0000FF"/>
                <w:u w:val="single"/>
              </w:rPr>
              <w:fldChar w:fldCharType="end"/>
            </w:r>
            <w:r>
              <w:rPr>
                <w:rFonts w:ascii="Times New Roman" w:hAnsi="Times New Roman" w:eastAsia="Times New Roman" w:cs="Times New Roman"/>
                <w:i/>
                <w:color w:val="000000"/>
              </w:rPr>
              <w:t>Revista Eletrônica ComCiência</w:t>
            </w:r>
            <w:r>
              <w:rPr>
                <w:rFonts w:ascii="Times New Roman" w:hAnsi="Times New Roman" w:eastAsia="Times New Roman" w:cs="Times New Roman"/>
                <w:color w:val="000000"/>
              </w:rPr>
              <w:t>, n. 50, LABJOR, Campinas, 2003.</w:t>
            </w:r>
          </w:p>
        </w:tc>
      </w:tr>
    </w:tbl>
    <w:p>
      <w:pPr>
        <w:pBdr>
          <w:top w:val="none" w:color="auto" w:sz="0" w:space="0"/>
          <w:left w:val="none" w:color="auto" w:sz="0" w:space="0"/>
          <w:bottom w:val="none" w:color="auto" w:sz="0" w:space="0"/>
          <w:right w:val="none" w:color="auto" w:sz="0" w:space="0"/>
          <w:between w:val="none" w:color="auto" w:sz="0" w:space="0"/>
        </w:pBdr>
        <w:spacing w:before="3" w:after="14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3" w:after="14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3" w:after="140" w:line="288" w:lineRule="auto"/>
        <w:ind w:left="0" w:hanging="2"/>
        <w:rPr>
          <w:rFonts w:ascii="Times New Roman" w:hAnsi="Times New Roman" w:eastAsia="Times New Roman" w:cs="Times New Roman"/>
          <w:color w:val="000000"/>
        </w:rPr>
      </w:pPr>
    </w:p>
    <w:tbl>
      <w:tblPr>
        <w:tblStyle w:val="538"/>
        <w:tblW w:w="9021" w:type="dxa"/>
        <w:tblInd w:w="2" w:type="dxa"/>
        <w:tblLayout w:type="fixed"/>
        <w:tblCellMar>
          <w:top w:w="0" w:type="dxa"/>
          <w:left w:w="22" w:type="dxa"/>
          <w:bottom w:w="0" w:type="dxa"/>
          <w:right w:w="22" w:type="dxa"/>
        </w:tblCellMar>
      </w:tblPr>
      <w:tblGrid>
        <w:gridCol w:w="2756"/>
        <w:gridCol w:w="3033"/>
        <w:gridCol w:w="3232"/>
      </w:tblGrid>
      <w:tr>
        <w:tblPrEx>
          <w:tblCellMar>
            <w:top w:w="0" w:type="dxa"/>
            <w:left w:w="22" w:type="dxa"/>
            <w:bottom w:w="0" w:type="dxa"/>
            <w:right w:w="22" w:type="dxa"/>
          </w:tblCellMar>
        </w:tblPrEx>
        <w:trPr>
          <w:trHeight w:val="2068" w:hRule="atLeast"/>
        </w:trPr>
        <w:tc>
          <w:tcPr>
            <w:tcW w:w="5789"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318"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Seminário em História do Brasil XXIX</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531"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Nome do Componente Curricular em inglês: </w:t>
            </w:r>
            <w:r>
              <w:rPr>
                <w:rFonts w:ascii="Times New Roman" w:hAnsi="Times New Roman" w:eastAsia="Times New Roman" w:cs="Times New Roman"/>
                <w:color w:val="202020"/>
              </w:rPr>
              <w:t xml:space="preserve">Seminar in History of Brazil </w:t>
            </w:r>
            <w:r>
              <w:rPr>
                <w:rFonts w:ascii="Times New Roman" w:hAnsi="Times New Roman" w:eastAsia="Times New Roman" w:cs="Times New Roman"/>
                <w:color w:val="000000"/>
              </w:rPr>
              <w:t>XXIX</w:t>
            </w:r>
          </w:p>
        </w:tc>
        <w:tc>
          <w:tcPr>
            <w:tcW w:w="3232"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HIS275</w:t>
            </w:r>
          </w:p>
        </w:tc>
      </w:tr>
      <w:tr>
        <w:tblPrEx>
          <w:tblCellMar>
            <w:top w:w="0" w:type="dxa"/>
            <w:left w:w="22" w:type="dxa"/>
            <w:bottom w:w="0" w:type="dxa"/>
            <w:right w:w="22" w:type="dxa"/>
          </w:tblCellMar>
        </w:tblPrEx>
        <w:trPr>
          <w:trHeight w:val="830" w:hRule="atLeast"/>
        </w:trPr>
        <w:tc>
          <w:tcPr>
            <w:tcW w:w="5789"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DEHIS</w:t>
            </w:r>
          </w:p>
        </w:tc>
        <w:tc>
          <w:tcPr>
            <w:tcW w:w="3232"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2" w:hRule="atLeast"/>
        </w:trPr>
        <w:tc>
          <w:tcPr>
            <w:tcW w:w="2756"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351"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3" w:line="240" w:lineRule="auto"/>
              <w:ind w:left="0" w:right="573"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Semestral</w:t>
            </w:r>
          </w:p>
          <w:p>
            <w:pPr>
              <w:widowControl w:val="0"/>
              <w:pBdr>
                <w:top w:val="none" w:color="auto" w:sz="0" w:space="0"/>
                <w:left w:val="none" w:color="auto" w:sz="0" w:space="0"/>
                <w:bottom w:val="none" w:color="auto" w:sz="0" w:space="0"/>
                <w:right w:val="none" w:color="auto" w:sz="0" w:space="0"/>
                <w:between w:val="none" w:color="auto" w:sz="0" w:space="0"/>
              </w:pBdr>
              <w:spacing w:before="3" w:line="240" w:lineRule="auto"/>
              <w:ind w:left="0" w:right="573"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 90 horas</w:t>
            </w:r>
          </w:p>
        </w:tc>
        <w:tc>
          <w:tcPr>
            <w:tcW w:w="3033"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04 horas/aula</w:t>
            </w:r>
          </w:p>
        </w:tc>
        <w:tc>
          <w:tcPr>
            <w:tcW w:w="3232"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 02 horas/aula</w:t>
            </w:r>
          </w:p>
        </w:tc>
      </w:tr>
      <w:tr>
        <w:tblPrEx>
          <w:tblCellMar>
            <w:top w:w="0" w:type="dxa"/>
            <w:left w:w="22" w:type="dxa"/>
            <w:bottom w:w="0" w:type="dxa"/>
            <w:right w:w="22" w:type="dxa"/>
          </w:tblCellMar>
        </w:tblPrEx>
        <w:trPr>
          <w:trHeight w:val="1238"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Ementa: Estudos aprofundados em temáticas socioculturais em perspectiva nacional e/ou transnacional, inscritas no processo de transição entre os séculos XIX e XX</w:t>
            </w:r>
          </w:p>
        </w:tc>
      </w:tr>
      <w:tr>
        <w:tblPrEx>
          <w:tblCellMar>
            <w:top w:w="0" w:type="dxa"/>
            <w:left w:w="22" w:type="dxa"/>
            <w:bottom w:w="0" w:type="dxa"/>
            <w:right w:w="22" w:type="dxa"/>
          </w:tblCellMar>
        </w:tblPrEx>
        <w:trPr>
          <w:trHeight w:val="2254"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numPr>
                <w:ilvl w:val="0"/>
                <w:numId w:val="44"/>
              </w:numPr>
              <w:pBdr>
                <w:top w:val="none" w:color="auto" w:sz="0" w:space="0"/>
                <w:left w:val="none" w:color="auto" w:sz="0" w:space="0"/>
                <w:bottom w:val="none" w:color="auto" w:sz="0" w:space="0"/>
                <w:right w:val="none" w:color="auto" w:sz="0" w:space="0"/>
                <w:between w:val="none" w:color="auto" w:sz="0" w:space="0"/>
              </w:pBdr>
              <w:spacing w:before="137" w:line="360" w:lineRule="auto"/>
              <w:ind w:left="0" w:right="2094"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 A sociedade brasileira na passagem dos séculos XIX e XX.</w:t>
            </w:r>
          </w:p>
          <w:p>
            <w:pPr>
              <w:widowControl w:val="0"/>
              <w:numPr>
                <w:ilvl w:val="0"/>
                <w:numId w:val="44"/>
              </w:numPr>
              <w:pBdr>
                <w:top w:val="none" w:color="auto" w:sz="0" w:space="0"/>
                <w:left w:val="none" w:color="auto" w:sz="0" w:space="0"/>
                <w:bottom w:val="none" w:color="auto" w:sz="0" w:space="0"/>
                <w:right w:val="none" w:color="auto" w:sz="0" w:space="0"/>
                <w:between w:val="none" w:color="auto" w:sz="0" w:space="0"/>
              </w:pBdr>
              <w:spacing w:line="360" w:lineRule="auto"/>
              <w:ind w:left="0" w:right="2094"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 Questões culturais demarcadoras na transição republicana </w:t>
            </w:r>
          </w:p>
          <w:p>
            <w:pPr>
              <w:widowControl w:val="0"/>
              <w:numPr>
                <w:ilvl w:val="0"/>
                <w:numId w:val="44"/>
              </w:numPr>
              <w:pBdr>
                <w:top w:val="none" w:color="auto" w:sz="0" w:space="0"/>
                <w:left w:val="none" w:color="auto" w:sz="0" w:space="0"/>
                <w:bottom w:val="none" w:color="auto" w:sz="0" w:space="0"/>
                <w:right w:val="none" w:color="auto" w:sz="0" w:space="0"/>
                <w:between w:val="none" w:color="auto" w:sz="0" w:space="0"/>
              </w:pBdr>
              <w:spacing w:line="360" w:lineRule="auto"/>
              <w:ind w:left="0" w:right="2094" w:hanging="2"/>
              <w:rPr>
                <w:rFonts w:ascii="Times New Roman" w:hAnsi="Times New Roman" w:eastAsia="Times New Roman" w:cs="Times New Roman"/>
                <w:color w:val="000000"/>
              </w:rPr>
            </w:pPr>
            <w:r>
              <w:rPr>
                <w:rFonts w:ascii="Times New Roman" w:hAnsi="Times New Roman" w:eastAsia="Times New Roman" w:cs="Times New Roman"/>
                <w:color w:val="000000"/>
              </w:rPr>
              <w:t>Vida cotidiana brasileira na viragem dos séculos século</w:t>
            </w:r>
          </w:p>
          <w:p>
            <w:pPr>
              <w:widowControl w:val="0"/>
              <w:numPr>
                <w:ilvl w:val="0"/>
                <w:numId w:val="44"/>
              </w:num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Influências e interferências culturais estrangeiras</w:t>
            </w:r>
          </w:p>
        </w:tc>
      </w:tr>
      <w:tr>
        <w:tblPrEx>
          <w:tblCellMar>
            <w:top w:w="0" w:type="dxa"/>
            <w:left w:w="22" w:type="dxa"/>
            <w:bottom w:w="0" w:type="dxa"/>
            <w:right w:w="22" w:type="dxa"/>
          </w:tblCellMar>
        </w:tblPrEx>
        <w:trPr>
          <w:trHeight w:val="1702"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DEL PRIORE, Mary; VENÂNCIO, Renato Pinto. </w:t>
            </w:r>
            <w:r>
              <w:rPr>
                <w:rFonts w:ascii="Times New Roman" w:hAnsi="Times New Roman" w:eastAsia="Times New Roman" w:cs="Times New Roman"/>
                <w:b/>
                <w:color w:val="000000"/>
              </w:rPr>
              <w:t xml:space="preserve">Uma breve história do Brasil. </w:t>
            </w:r>
            <w:r>
              <w:rPr>
                <w:rFonts w:ascii="Times New Roman" w:hAnsi="Times New Roman" w:eastAsia="Times New Roman" w:cs="Times New Roman"/>
                <w:color w:val="000000"/>
              </w:rPr>
              <w:t>São Paulo: Planeta do Brasil 2010. Call number: 94(81) D331b 2010</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1"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HOLANDA, Sergio Buarque de; CAMPOS, Pedro Moacyr. </w:t>
            </w:r>
            <w:r>
              <w:rPr>
                <w:rFonts w:ascii="Times New Roman" w:hAnsi="Times New Roman" w:eastAsia="Times New Roman" w:cs="Times New Roman"/>
                <w:b/>
                <w:color w:val="000000"/>
              </w:rPr>
              <w:t xml:space="preserve">O Brasil monárquico: </w:t>
            </w:r>
            <w:r>
              <w:rPr>
                <w:rFonts w:ascii="Times New Roman" w:hAnsi="Times New Roman" w:eastAsia="Times New Roman" w:cs="Times New Roman"/>
                <w:color w:val="000000"/>
              </w:rPr>
              <w:t>do Império à República. 2. ed. São Paulo: DIFEL 1977. (História geral da civilização brasileira; Call number: 981 H673 (IFAC) 1977 T.2 94(81).04 H673b (ICHS) 1977 V.5T.2</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9"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SCHWARCZ, Lilia Moritz. </w:t>
            </w:r>
            <w:r>
              <w:rPr>
                <w:rFonts w:ascii="Times New Roman" w:hAnsi="Times New Roman" w:eastAsia="Times New Roman" w:cs="Times New Roman"/>
                <w:b/>
                <w:color w:val="000000"/>
              </w:rPr>
              <w:t xml:space="preserve">O espetáculo das raças: </w:t>
            </w:r>
            <w:r>
              <w:rPr>
                <w:rFonts w:ascii="Times New Roman" w:hAnsi="Times New Roman" w:eastAsia="Times New Roman" w:cs="Times New Roman"/>
                <w:color w:val="000000"/>
              </w:rPr>
              <w:t>cientistas, instituições   e questão racial no Brasil, 1870-1930. São Paulo: Companhia das Letras 2010. 287 p. ISBN 8571643296(broch.). Call number: 316.7 S399e (ICEB)2010</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9"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SEVCENKO, Nicolau. </w:t>
            </w:r>
            <w:r>
              <w:rPr>
                <w:rFonts w:ascii="Times New Roman" w:hAnsi="Times New Roman" w:eastAsia="Times New Roman" w:cs="Times New Roman"/>
                <w:b/>
                <w:color w:val="000000"/>
              </w:rPr>
              <w:t xml:space="preserve">Literatura como missão: </w:t>
            </w:r>
            <w:r>
              <w:rPr>
                <w:rFonts w:ascii="Times New Roman" w:hAnsi="Times New Roman" w:eastAsia="Times New Roman" w:cs="Times New Roman"/>
                <w:color w:val="000000"/>
              </w:rPr>
              <w:t>tensões sociais e criação cultural</w:t>
            </w:r>
          </w:p>
          <w:p>
            <w:pPr>
              <w:widowControl w:val="0"/>
              <w:pBdr>
                <w:top w:val="none" w:color="auto" w:sz="0" w:space="0"/>
                <w:left w:val="none" w:color="auto" w:sz="0" w:space="0"/>
                <w:bottom w:val="none" w:color="auto" w:sz="0" w:space="0"/>
                <w:right w:val="none" w:color="auto" w:sz="0" w:space="0"/>
                <w:between w:val="none" w:color="auto" w:sz="0" w:space="0"/>
              </w:pBdr>
              <w:spacing w:before="8" w:line="360" w:lineRule="auto"/>
              <w:ind w:left="0" w:right="69" w:hanging="2"/>
              <w:rPr>
                <w:rFonts w:ascii="Times New Roman" w:hAnsi="Times New Roman" w:eastAsia="Times New Roman" w:cs="Times New Roman"/>
                <w:color w:val="000000"/>
              </w:rPr>
            </w:pPr>
            <w:r>
              <w:rPr>
                <w:rFonts w:ascii="Times New Roman" w:hAnsi="Times New Roman" w:eastAsia="Times New Roman" w:cs="Times New Roman"/>
                <w:color w:val="000000"/>
              </w:rPr>
              <w:t>na primeira república. 2. ed. São Paulo: Brasiliense 1985. 257 p. Call number: 821.134.3(81).09 S497l (ICHS) 1985.</w:t>
            </w:r>
          </w:p>
          <w:p>
            <w:pPr>
              <w:tabs>
                <w:tab w:val="left" w:pos="3463"/>
              </w:tabs>
              <w:ind w:left="0" w:hanging="2"/>
              <w:rPr>
                <w:rFonts w:ascii="Times New Roman" w:hAnsi="Times New Roman" w:cs="Times New Roman"/>
              </w:rPr>
            </w:pPr>
          </w:p>
        </w:tc>
      </w:tr>
      <w:tr>
        <w:tblPrEx>
          <w:tblCellMar>
            <w:top w:w="0" w:type="dxa"/>
            <w:left w:w="22" w:type="dxa"/>
            <w:bottom w:w="0" w:type="dxa"/>
            <w:right w:w="22" w:type="dxa"/>
          </w:tblCellMar>
        </w:tblPrEx>
        <w:trPr>
          <w:trHeight w:val="3622"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2"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right="69"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CARVALHO, José Murilo de. </w:t>
            </w:r>
            <w:r>
              <w:rPr>
                <w:rFonts w:ascii="Times New Roman" w:hAnsi="Times New Roman" w:eastAsia="Times New Roman" w:cs="Times New Roman"/>
                <w:b/>
                <w:i/>
                <w:color w:val="000000"/>
              </w:rPr>
              <w:t>Pontos e bordados</w:t>
            </w:r>
            <w:r>
              <w:rPr>
                <w:rFonts w:ascii="Times New Roman" w:hAnsi="Times New Roman" w:eastAsia="Times New Roman" w:cs="Times New Roman"/>
                <w:b/>
                <w:color w:val="000000"/>
              </w:rPr>
              <w:t xml:space="preserve">: </w:t>
            </w:r>
            <w:r>
              <w:rPr>
                <w:rFonts w:ascii="Times New Roman" w:hAnsi="Times New Roman" w:eastAsia="Times New Roman" w:cs="Times New Roman"/>
                <w:color w:val="000000"/>
              </w:rPr>
              <w:t>escritos de história e política. Belo Horizonte (MG): UFMG 1998. Call number: 94(81) C331p (ICHS) 1998.</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308" w:hanging="2"/>
              <w:rPr>
                <w:rFonts w:ascii="Times New Roman" w:hAnsi="Times New Roman" w:eastAsia="Times New Roman" w:cs="Times New Roman"/>
                <w:color w:val="000000"/>
              </w:rPr>
            </w:pPr>
            <w:r>
              <w:rPr>
                <w:rFonts w:ascii="Times New Roman" w:hAnsi="Times New Roman" w:eastAsia="Times New Roman" w:cs="Times New Roman"/>
                <w:b/>
                <w:i/>
                <w:color w:val="000000"/>
              </w:rPr>
              <w:t>HISTÓRIA do Brasil Nação</w:t>
            </w:r>
            <w:r>
              <w:rPr>
                <w:rFonts w:ascii="Times New Roman" w:hAnsi="Times New Roman" w:eastAsia="Times New Roman" w:cs="Times New Roman"/>
                <w:b/>
                <w:color w:val="000000"/>
              </w:rPr>
              <w:t xml:space="preserve">: </w:t>
            </w:r>
            <w:r>
              <w:rPr>
                <w:rFonts w:ascii="Times New Roman" w:hAnsi="Times New Roman" w:eastAsia="Times New Roman" w:cs="Times New Roman"/>
                <w:color w:val="000000"/>
              </w:rPr>
              <w:t>1808-2010. Rio de Janeiro: Objetiva vb Madrid: Fundación Mapfre c2011-c2014. 5v. ISBN v.1 9788539002757: v.2 9788539003198: v.3 9788539003860: v.4 9788539004720: v.5 9788539005536</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(broch.). Call number: 94(81) H673 (ICHS) c2012 V.03.</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SCHWARCZ, Lilia Moritz. </w:t>
            </w:r>
            <w:r>
              <w:rPr>
                <w:rFonts w:ascii="Times New Roman" w:hAnsi="Times New Roman" w:eastAsia="Times New Roman" w:cs="Times New Roman"/>
                <w:b/>
                <w:i/>
                <w:color w:val="000000"/>
              </w:rPr>
              <w:t>As barbas do imperador</w:t>
            </w:r>
            <w:r>
              <w:rPr>
                <w:rFonts w:ascii="Times New Roman" w:hAnsi="Times New Roman" w:eastAsia="Times New Roman" w:cs="Times New Roman"/>
                <w:b/>
                <w:color w:val="000000"/>
              </w:rPr>
              <w:t xml:space="preserve">: </w:t>
            </w:r>
            <w:r>
              <w:rPr>
                <w:rFonts w:ascii="Times New Roman" w:hAnsi="Times New Roman" w:eastAsia="Times New Roman" w:cs="Times New Roman"/>
                <w:color w:val="000000"/>
              </w:rPr>
              <w:t>D. Pedro II, um monarca nos trópicos. 2. ed. São Paulo: Companhia das Letras [2006]. Call number: 929 P372s [2006].</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SEVCENKO, Nicolau</w:t>
            </w:r>
            <w:r>
              <w:rPr>
                <w:rFonts w:ascii="Times New Roman" w:hAnsi="Times New Roman" w:eastAsia="Times New Roman" w:cs="Times New Roman"/>
                <w:i/>
                <w:color w:val="000000"/>
              </w:rPr>
              <w:t xml:space="preserve">. </w:t>
            </w:r>
            <w:r>
              <w:rPr>
                <w:rFonts w:ascii="Times New Roman" w:hAnsi="Times New Roman" w:eastAsia="Times New Roman" w:cs="Times New Roman"/>
                <w:b/>
                <w:i/>
                <w:color w:val="000000"/>
              </w:rPr>
              <w:t>Orfeu extático na metrópole</w:t>
            </w:r>
            <w:r>
              <w:rPr>
                <w:rFonts w:ascii="Times New Roman" w:hAnsi="Times New Roman" w:eastAsia="Times New Roman" w:cs="Times New Roman"/>
                <w:b/>
                <w:color w:val="000000"/>
              </w:rPr>
              <w:t xml:space="preserve">: </w:t>
            </w:r>
            <w:r>
              <w:rPr>
                <w:rFonts w:ascii="Times New Roman" w:hAnsi="Times New Roman" w:eastAsia="Times New Roman" w:cs="Times New Roman"/>
                <w:color w:val="000000"/>
              </w:rPr>
              <w:t>São Paulo, sociedade e cultura nos frementes anos 20. São Paulo: Companhia das Letras c1992. Call number: 981(815.6) S497o (MEDICINA) 2009 94(815.6) S497o (ICHS) c1992.</w:t>
            </w:r>
          </w:p>
        </w:tc>
      </w:tr>
    </w:tbl>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tbl>
      <w:tblPr>
        <w:tblStyle w:val="539"/>
        <w:tblW w:w="9021" w:type="dxa"/>
        <w:tblInd w:w="2" w:type="dxa"/>
        <w:tblLayout w:type="fixed"/>
        <w:tblCellMar>
          <w:top w:w="0" w:type="dxa"/>
          <w:left w:w="22" w:type="dxa"/>
          <w:bottom w:w="0" w:type="dxa"/>
          <w:right w:w="22" w:type="dxa"/>
        </w:tblCellMar>
      </w:tblPr>
      <w:tblGrid>
        <w:gridCol w:w="2723"/>
        <w:gridCol w:w="3066"/>
        <w:gridCol w:w="3232"/>
      </w:tblGrid>
      <w:tr>
        <w:tblPrEx>
          <w:tblCellMar>
            <w:top w:w="0" w:type="dxa"/>
            <w:left w:w="22" w:type="dxa"/>
            <w:bottom w:w="0" w:type="dxa"/>
            <w:right w:w="22" w:type="dxa"/>
          </w:tblCellMar>
        </w:tblPrEx>
        <w:trPr>
          <w:trHeight w:val="1655" w:hRule="atLeast"/>
        </w:trPr>
        <w:tc>
          <w:tcPr>
            <w:tcW w:w="5789"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Seminário em História Moderna e Contemporânea VI</w:t>
            </w:r>
          </w:p>
          <w:p>
            <w:pPr>
              <w:widowControl w:val="0"/>
              <w:pBdr>
                <w:top w:val="none" w:color="auto" w:sz="0" w:space="0"/>
                <w:left w:val="none" w:color="auto" w:sz="0" w:space="0"/>
                <w:bottom w:val="none" w:color="auto" w:sz="0" w:space="0"/>
                <w:right w:val="none" w:color="auto" w:sz="0" w:space="0"/>
                <w:between w:val="none" w:color="auto" w:sz="0" w:space="0"/>
              </w:pBdr>
              <w:spacing w:before="240"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Seminary in Modern and Contemporary History VI</w:t>
            </w:r>
          </w:p>
        </w:tc>
        <w:tc>
          <w:tcPr>
            <w:tcW w:w="3232"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HIS276</w:t>
            </w:r>
          </w:p>
        </w:tc>
      </w:tr>
      <w:tr>
        <w:tblPrEx>
          <w:tblCellMar>
            <w:top w:w="0" w:type="dxa"/>
            <w:left w:w="22" w:type="dxa"/>
            <w:bottom w:w="0" w:type="dxa"/>
            <w:right w:w="22" w:type="dxa"/>
          </w:tblCellMar>
        </w:tblPrEx>
        <w:trPr>
          <w:trHeight w:val="830" w:hRule="atLeast"/>
        </w:trPr>
        <w:tc>
          <w:tcPr>
            <w:tcW w:w="5789"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w:t>
            </w:r>
          </w:p>
          <w:p>
            <w:pPr>
              <w:widowControl w:val="0"/>
              <w:pBdr>
                <w:top w:val="none" w:color="auto" w:sz="0" w:space="0"/>
                <w:left w:val="none" w:color="auto" w:sz="0" w:space="0"/>
                <w:bottom w:val="none" w:color="auto" w:sz="0" w:space="0"/>
                <w:right w:val="none" w:color="auto" w:sz="0" w:space="0"/>
                <w:between w:val="none" w:color="auto" w:sz="0" w:space="0"/>
              </w:pBdr>
              <w:spacing w:before="14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Departamento de História – DEHIS</w:t>
            </w:r>
          </w:p>
        </w:tc>
        <w:tc>
          <w:tcPr>
            <w:tcW w:w="3232"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3" w:hRule="atLeast"/>
        </w:trPr>
        <w:tc>
          <w:tcPr>
            <w:tcW w:w="2723"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322"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318"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3066"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3232"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 02 horas/aula</w:t>
            </w:r>
          </w:p>
        </w:tc>
      </w:tr>
      <w:tr>
        <w:tblPrEx>
          <w:tblCellMar>
            <w:top w:w="0" w:type="dxa"/>
            <w:left w:w="22" w:type="dxa"/>
            <w:bottom w:w="0" w:type="dxa"/>
            <w:right w:w="22" w:type="dxa"/>
          </w:tblCellMar>
        </w:tblPrEx>
        <w:trPr>
          <w:trHeight w:val="825"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Correntes do pensamento político ocidental e sua organização em “ismos” a partir do século XIX”.</w:t>
            </w:r>
          </w:p>
        </w:tc>
      </w:tr>
      <w:tr>
        <w:tblPrEx>
          <w:tblCellMar>
            <w:top w:w="0" w:type="dxa"/>
            <w:left w:w="22" w:type="dxa"/>
            <w:bottom w:w="0" w:type="dxa"/>
            <w:right w:w="22" w:type="dxa"/>
          </w:tblCellMar>
        </w:tblPrEx>
        <w:trPr>
          <w:trHeight w:val="1935"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numPr>
                <w:ilvl w:val="0"/>
                <w:numId w:val="45"/>
              </w:numPr>
              <w:pBdr>
                <w:top w:val="none" w:color="auto" w:sz="0" w:space="0"/>
                <w:left w:val="none" w:color="auto" w:sz="0" w:space="0"/>
                <w:bottom w:val="none" w:color="auto" w:sz="0" w:space="0"/>
                <w:right w:val="none" w:color="auto" w:sz="0" w:space="0"/>
                <w:between w:val="none" w:color="auto" w:sz="0" w:space="0"/>
              </w:pBdr>
              <w:spacing w:before="14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História dos conceitos políticos;</w:t>
            </w:r>
          </w:p>
          <w:p>
            <w:pPr>
              <w:widowControl w:val="0"/>
              <w:numPr>
                <w:ilvl w:val="0"/>
                <w:numId w:val="45"/>
              </w:num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Liberalismo;</w:t>
            </w:r>
          </w:p>
          <w:p>
            <w:pPr>
              <w:widowControl w:val="0"/>
              <w:numPr>
                <w:ilvl w:val="0"/>
                <w:numId w:val="45"/>
              </w:num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Socialismos;</w:t>
            </w:r>
          </w:p>
          <w:p>
            <w:pPr>
              <w:widowControl w:val="0"/>
              <w:numPr>
                <w:ilvl w:val="0"/>
                <w:numId w:val="45"/>
              </w:num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Anarquismo.</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p>
        </w:tc>
      </w:tr>
      <w:tr>
        <w:tblPrEx>
          <w:tblCellMar>
            <w:top w:w="0" w:type="dxa"/>
            <w:left w:w="22" w:type="dxa"/>
            <w:bottom w:w="0" w:type="dxa"/>
            <w:right w:w="22" w:type="dxa"/>
          </w:tblCellMar>
        </w:tblPrEx>
        <w:trPr>
          <w:trHeight w:val="2848"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9"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KOSELLECK, Reinhart. </w:t>
            </w:r>
            <w:r>
              <w:rPr>
                <w:rFonts w:ascii="Times New Roman" w:hAnsi="Times New Roman" w:eastAsia="Times New Roman" w:cs="Times New Roman"/>
                <w:b/>
                <w:color w:val="000000"/>
              </w:rPr>
              <w:t xml:space="preserve">Futuro passado: contribuição à semântica dos tempos históricos. </w:t>
            </w:r>
            <w:r>
              <w:rPr>
                <w:rFonts w:ascii="Times New Roman" w:hAnsi="Times New Roman" w:eastAsia="Times New Roman" w:cs="Times New Roman"/>
                <w:color w:val="000000"/>
              </w:rPr>
              <w:t>Rio de Janeiro: Contraponto/ PUC-Rio de Janeiro, 2011.</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RÉMOND, René. </w:t>
            </w:r>
            <w:r>
              <w:rPr>
                <w:rFonts w:ascii="Times New Roman" w:hAnsi="Times New Roman" w:eastAsia="Times New Roman" w:cs="Times New Roman"/>
                <w:i/>
                <w:color w:val="000000"/>
              </w:rPr>
              <w:t xml:space="preserve">O </w:t>
            </w:r>
            <w:r>
              <w:rPr>
                <w:rFonts w:ascii="Times New Roman" w:hAnsi="Times New Roman" w:eastAsia="Times New Roman" w:cs="Times New Roman"/>
                <w:b/>
                <w:color w:val="000000"/>
              </w:rPr>
              <w:t>século XX: de 1914 aos nossos dias</w:t>
            </w:r>
            <w:r>
              <w:rPr>
                <w:rFonts w:ascii="Times New Roman" w:hAnsi="Times New Roman" w:eastAsia="Times New Roman" w:cs="Times New Roman"/>
                <w:color w:val="000000"/>
              </w:rPr>
              <w:t>. São Paulo: Cultrix,1993.</w:t>
            </w:r>
          </w:p>
          <w:p>
            <w:pPr>
              <w:widowControl w:val="0"/>
              <w:pBdr>
                <w:top w:val="none" w:color="auto" w:sz="0" w:space="0"/>
                <w:left w:val="none" w:color="auto" w:sz="0" w:space="0"/>
                <w:bottom w:val="none" w:color="auto" w:sz="0" w:space="0"/>
                <w:right w:val="none" w:color="auto" w:sz="0" w:space="0"/>
                <w:between w:val="none" w:color="auto" w:sz="0" w:space="0"/>
              </w:pBdr>
              <w:spacing w:before="2"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ROSANVALLON, Pierre. </w:t>
            </w:r>
            <w:r>
              <w:rPr>
                <w:rFonts w:ascii="Times New Roman" w:hAnsi="Times New Roman" w:eastAsia="Times New Roman" w:cs="Times New Roman"/>
                <w:b/>
                <w:color w:val="000000"/>
              </w:rPr>
              <w:t xml:space="preserve">O liberalismo econômico: história da idéia de mercado. </w:t>
            </w:r>
            <w:r>
              <w:rPr>
                <w:rFonts w:ascii="Times New Roman" w:hAnsi="Times New Roman" w:eastAsia="Times New Roman" w:cs="Times New Roman"/>
                <w:color w:val="000000"/>
              </w:rPr>
              <w:t>Baurú, SP: EDUSC, 2002.</w:t>
            </w:r>
          </w:p>
        </w:tc>
      </w:tr>
      <w:tr>
        <w:tblPrEx>
          <w:tblCellMar>
            <w:top w:w="0" w:type="dxa"/>
            <w:left w:w="22" w:type="dxa"/>
            <w:bottom w:w="0" w:type="dxa"/>
            <w:right w:w="22" w:type="dxa"/>
          </w:tblCellMar>
        </w:tblPrEx>
        <w:trPr>
          <w:trHeight w:val="829"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spacing w:before="240" w:line="360" w:lineRule="auto"/>
              <w:ind w:left="0" w:right="95" w:hanging="2"/>
              <w:rPr>
                <w:rFonts w:ascii="Times New Roman" w:hAnsi="Times New Roman" w:cs="Times New Roman"/>
              </w:rPr>
            </w:pPr>
            <w:r>
              <w:rPr>
                <w:rFonts w:ascii="Times New Roman" w:hAnsi="Times New Roman" w:eastAsia="Times New Roman" w:cs="Times New Roman"/>
              </w:rPr>
              <w:t xml:space="preserve">HOBSBAWM, E. J. </w:t>
            </w:r>
            <w:r>
              <w:rPr>
                <w:rFonts w:ascii="Times New Roman" w:hAnsi="Times New Roman" w:eastAsia="Times New Roman" w:cs="Times New Roman"/>
                <w:b/>
              </w:rPr>
              <w:t xml:space="preserve">A era do capital: 1848-1875. </w:t>
            </w:r>
            <w:r>
              <w:rPr>
                <w:rFonts w:ascii="Times New Roman" w:hAnsi="Times New Roman" w:eastAsia="Times New Roman" w:cs="Times New Roman"/>
              </w:rPr>
              <w:t>Rio de Janeiro: Paz e Terra 1979.</w:t>
            </w:r>
          </w:p>
          <w:p>
            <w:pPr>
              <w:spacing w:line="360" w:lineRule="auto"/>
              <w:ind w:left="0" w:right="95" w:hanging="2"/>
              <w:rPr>
                <w:rFonts w:ascii="Times New Roman" w:hAnsi="Times New Roman" w:cs="Times New Roman"/>
              </w:rPr>
            </w:pPr>
            <w:r>
              <w:rPr>
                <w:rFonts w:ascii="Times New Roman" w:hAnsi="Times New Roman" w:eastAsia="Times New Roman" w:cs="Times New Roman"/>
              </w:rPr>
              <w:t xml:space="preserve">MACPHERSON, C. B. </w:t>
            </w:r>
            <w:r>
              <w:rPr>
                <w:rFonts w:ascii="Times New Roman" w:hAnsi="Times New Roman" w:eastAsia="Times New Roman" w:cs="Times New Roman"/>
                <w:b/>
              </w:rPr>
              <w:t xml:space="preserve">A teoria política do individualismo possessivo de Hobbes até Locke. </w:t>
            </w:r>
            <w:r>
              <w:rPr>
                <w:rFonts w:ascii="Times New Roman" w:hAnsi="Times New Roman" w:eastAsia="Times New Roman" w:cs="Times New Roman"/>
              </w:rPr>
              <w:t>Rio de Janeiro: Paz e Terra, 1979.</w:t>
            </w:r>
          </w:p>
          <w:p>
            <w:pPr>
              <w:spacing w:before="1" w:line="360" w:lineRule="auto"/>
              <w:ind w:left="0" w:hanging="2"/>
              <w:rPr>
                <w:rFonts w:ascii="Times New Roman" w:hAnsi="Times New Roman" w:cs="Times New Roman"/>
              </w:rPr>
            </w:pPr>
            <w:r>
              <w:rPr>
                <w:rFonts w:ascii="Times New Roman" w:hAnsi="Times New Roman" w:eastAsia="Times New Roman" w:cs="Times New Roman"/>
              </w:rPr>
              <w:t xml:space="preserve">RÉMOND, René (Org.). </w:t>
            </w:r>
            <w:r>
              <w:rPr>
                <w:rFonts w:ascii="Times New Roman" w:hAnsi="Times New Roman" w:eastAsia="Times New Roman" w:cs="Times New Roman"/>
                <w:b/>
              </w:rPr>
              <w:t xml:space="preserve">Por uma história política. </w:t>
            </w:r>
            <w:r>
              <w:rPr>
                <w:rFonts w:ascii="Times New Roman" w:hAnsi="Times New Roman" w:eastAsia="Times New Roman" w:cs="Times New Roman"/>
              </w:rPr>
              <w:t>Rio de Janeiro: Ed. da FGV, 2003.</w:t>
            </w:r>
          </w:p>
          <w:p>
            <w:pPr>
              <w:tabs>
                <w:tab w:val="left" w:pos="5829"/>
              </w:tabs>
              <w:spacing w:line="360" w:lineRule="auto"/>
              <w:ind w:left="0" w:right="95" w:hanging="2"/>
              <w:rPr>
                <w:rFonts w:ascii="Times New Roman" w:hAnsi="Times New Roman" w:cs="Times New Roman"/>
              </w:rPr>
            </w:pPr>
            <w:r>
              <w:rPr>
                <w:rFonts w:ascii="Times New Roman" w:hAnsi="Times New Roman" w:eastAsia="Times New Roman" w:cs="Times New Roman"/>
              </w:rPr>
              <w:t xml:space="preserve">ROSANVALLON,  Pierre.   </w:t>
            </w:r>
            <w:r>
              <w:rPr>
                <w:rFonts w:ascii="Times New Roman" w:hAnsi="Times New Roman" w:eastAsia="Times New Roman" w:cs="Times New Roman"/>
                <w:b/>
              </w:rPr>
              <w:t>A   nova questão social:</w:t>
            </w:r>
            <w:r>
              <w:rPr>
                <w:rFonts w:ascii="Times New Roman" w:hAnsi="Times New Roman" w:eastAsia="Times New Roman" w:cs="Times New Roman"/>
                <w:b/>
              </w:rPr>
              <w:tab/>
            </w:r>
            <w:r>
              <w:rPr>
                <w:rFonts w:ascii="Times New Roman" w:hAnsi="Times New Roman" w:eastAsia="Times New Roman" w:cs="Times New Roman"/>
                <w:b/>
              </w:rPr>
              <w:t>repensando o estado providência. Brasilia</w:t>
            </w:r>
            <w:r>
              <w:rPr>
                <w:rFonts w:ascii="Times New Roman" w:hAnsi="Times New Roman" w:eastAsia="Times New Roman" w:cs="Times New Roman"/>
              </w:rPr>
              <w:t>, D.F.: Instituto Teotonio Vilela,1998.</w:t>
            </w:r>
          </w:p>
          <w:p>
            <w:pPr>
              <w:tabs>
                <w:tab w:val="left" w:pos="1106"/>
              </w:tabs>
              <w:spacing w:before="1" w:line="360" w:lineRule="auto"/>
              <w:ind w:left="0" w:hanging="2"/>
              <w:rPr>
                <w:rFonts w:ascii="Times New Roman" w:hAnsi="Times New Roman" w:cs="Times New Roman"/>
              </w:rPr>
            </w:pPr>
            <w:r>
              <w:rPr>
                <w:rFonts w:ascii="Times New Roman" w:hAnsi="Times New Roman" w:eastAsia="Times New Roman" w:cs="Times New Roman"/>
                <w:b/>
                <w:u w:val="single"/>
              </w:rPr>
              <w:tab/>
            </w:r>
            <w:r>
              <w:rPr>
                <w:rFonts w:ascii="Times New Roman" w:hAnsi="Times New Roman" w:eastAsia="Times New Roman" w:cs="Times New Roman"/>
                <w:b/>
              </w:rPr>
              <w:t>Por uma história do político</w:t>
            </w:r>
            <w:r>
              <w:rPr>
                <w:rFonts w:ascii="Times New Roman" w:hAnsi="Times New Roman" w:eastAsia="Times New Roman" w:cs="Times New Roman"/>
                <w:i/>
              </w:rPr>
              <w:t xml:space="preserve">. </w:t>
            </w:r>
            <w:r>
              <w:rPr>
                <w:rFonts w:ascii="Times New Roman" w:hAnsi="Times New Roman" w:eastAsia="Times New Roman" w:cs="Times New Roman"/>
              </w:rPr>
              <w:t>São Paulo: Alameda,2010.</w:t>
            </w:r>
          </w:p>
        </w:tc>
      </w:tr>
    </w:tbl>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tbl>
      <w:tblPr>
        <w:tblStyle w:val="540"/>
        <w:tblW w:w="9021" w:type="dxa"/>
        <w:tblInd w:w="2" w:type="dxa"/>
        <w:tblLayout w:type="fixed"/>
        <w:tblCellMar>
          <w:top w:w="0" w:type="dxa"/>
          <w:left w:w="22" w:type="dxa"/>
          <w:bottom w:w="0" w:type="dxa"/>
          <w:right w:w="22" w:type="dxa"/>
        </w:tblCellMar>
      </w:tblPr>
      <w:tblGrid>
        <w:gridCol w:w="2830"/>
        <w:gridCol w:w="3118"/>
        <w:gridCol w:w="3073"/>
      </w:tblGrid>
      <w:tr>
        <w:tblPrEx>
          <w:tblCellMar>
            <w:top w:w="0" w:type="dxa"/>
            <w:left w:w="22" w:type="dxa"/>
            <w:bottom w:w="0" w:type="dxa"/>
            <w:right w:w="22" w:type="dxa"/>
          </w:tblCellMar>
        </w:tblPrEx>
        <w:trPr>
          <w:trHeight w:val="829" w:hRule="atLeast"/>
        </w:trPr>
        <w:tc>
          <w:tcPr>
            <w:tcW w:w="5948"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Seminário em História Moderna e Contemporânea VII</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Seminar in Modern and Contemporary History VII</w:t>
            </w:r>
          </w:p>
        </w:tc>
        <w:tc>
          <w:tcPr>
            <w:tcW w:w="3073"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HIS277</w:t>
            </w:r>
          </w:p>
        </w:tc>
      </w:tr>
      <w:tr>
        <w:tblPrEx>
          <w:tblCellMar>
            <w:top w:w="0" w:type="dxa"/>
            <w:left w:w="22" w:type="dxa"/>
            <w:bottom w:w="0" w:type="dxa"/>
            <w:right w:w="22" w:type="dxa"/>
          </w:tblCellMar>
        </w:tblPrEx>
        <w:trPr>
          <w:trHeight w:val="825" w:hRule="atLeast"/>
        </w:trPr>
        <w:tc>
          <w:tcPr>
            <w:tcW w:w="5948"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Departamento de História - DEHIS</w:t>
            </w:r>
          </w:p>
        </w:tc>
        <w:tc>
          <w:tcPr>
            <w:tcW w:w="3073"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ICHS</w:t>
            </w:r>
          </w:p>
        </w:tc>
      </w:tr>
      <w:tr>
        <w:tblPrEx>
          <w:tblCellMar>
            <w:top w:w="0" w:type="dxa"/>
            <w:left w:w="22" w:type="dxa"/>
            <w:bottom w:w="0" w:type="dxa"/>
            <w:right w:w="22" w:type="dxa"/>
          </w:tblCellMar>
        </w:tblPrEx>
        <w:trPr>
          <w:trHeight w:val="1242" w:hRule="atLeast"/>
        </w:trPr>
        <w:tc>
          <w:tcPr>
            <w:tcW w:w="2830"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428"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2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3118"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3073"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42"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42"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02 horas/aula</w:t>
            </w:r>
          </w:p>
        </w:tc>
      </w:tr>
      <w:tr>
        <w:tblPrEx>
          <w:tblCellMar>
            <w:top w:w="0" w:type="dxa"/>
            <w:left w:w="22" w:type="dxa"/>
            <w:bottom w:w="0" w:type="dxa"/>
            <w:right w:w="22" w:type="dxa"/>
          </w:tblCellMar>
        </w:tblPrEx>
        <w:trPr>
          <w:trHeight w:val="830"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Ementa:</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Estudos do processo de construção da ordem aristocrática no Antigo Regime Europeu</w:t>
            </w:r>
          </w:p>
        </w:tc>
      </w:tr>
      <w:tr>
        <w:tblPrEx>
          <w:tblCellMar>
            <w:top w:w="0" w:type="dxa"/>
            <w:left w:w="22" w:type="dxa"/>
            <w:bottom w:w="0" w:type="dxa"/>
            <w:right w:w="22" w:type="dxa"/>
          </w:tblCellMar>
        </w:tblPrEx>
        <w:trPr>
          <w:trHeight w:val="1656"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numPr>
                <w:ilvl w:val="0"/>
                <w:numId w:val="46"/>
              </w:numPr>
              <w:pBdr>
                <w:top w:val="none" w:color="auto" w:sz="0" w:space="0"/>
                <w:left w:val="none" w:color="auto" w:sz="0" w:space="0"/>
                <w:bottom w:val="none" w:color="auto" w:sz="0" w:space="0"/>
                <w:right w:val="none" w:color="auto" w:sz="0" w:space="0"/>
                <w:between w:val="none" w:color="auto" w:sz="0" w:space="0"/>
              </w:pBdr>
              <w:spacing w:before="137" w:line="360" w:lineRule="auto"/>
              <w:ind w:left="0" w:right="4061"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Subjetividades e sociabilidades modernas </w:t>
            </w:r>
          </w:p>
          <w:p>
            <w:pPr>
              <w:widowControl w:val="0"/>
              <w:numPr>
                <w:ilvl w:val="0"/>
                <w:numId w:val="46"/>
              </w:numPr>
              <w:pBdr>
                <w:top w:val="none" w:color="auto" w:sz="0" w:space="0"/>
                <w:left w:val="none" w:color="auto" w:sz="0" w:space="0"/>
                <w:bottom w:val="none" w:color="auto" w:sz="0" w:space="0"/>
                <w:right w:val="none" w:color="auto" w:sz="0" w:space="0"/>
                <w:between w:val="none" w:color="auto" w:sz="0" w:space="0"/>
              </w:pBdr>
              <w:spacing w:line="360" w:lineRule="auto"/>
              <w:ind w:left="0" w:right="4061"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 O humanismo renascentista</w:t>
            </w:r>
          </w:p>
          <w:p>
            <w:pPr>
              <w:widowControl w:val="0"/>
              <w:numPr>
                <w:ilvl w:val="0"/>
                <w:numId w:val="46"/>
              </w:num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 cultura política renascentista: dilemas do poder</w:t>
            </w:r>
          </w:p>
        </w:tc>
      </w:tr>
      <w:tr>
        <w:tblPrEx>
          <w:tblCellMar>
            <w:top w:w="0" w:type="dxa"/>
            <w:left w:w="22" w:type="dxa"/>
            <w:bottom w:w="0" w:type="dxa"/>
            <w:right w:w="22" w:type="dxa"/>
          </w:tblCellMar>
        </w:tblPrEx>
        <w:trPr>
          <w:trHeight w:val="1988"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232"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HUIZINGA, Johan. </w:t>
            </w:r>
            <w:r>
              <w:rPr>
                <w:rFonts w:ascii="Times New Roman" w:hAnsi="Times New Roman" w:eastAsia="Times New Roman" w:cs="Times New Roman"/>
                <w:b/>
                <w:color w:val="000000"/>
              </w:rPr>
              <w:t xml:space="preserve">O declínio da Idade Média. Viseu: </w:t>
            </w:r>
            <w:r>
              <w:rPr>
                <w:rFonts w:ascii="Times New Roman" w:hAnsi="Times New Roman" w:eastAsia="Times New Roman" w:cs="Times New Roman"/>
                <w:color w:val="000000"/>
              </w:rPr>
              <w:t>Editora Ulissea, s.d.</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3"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ELIAS, Norbert. </w:t>
            </w:r>
            <w:r>
              <w:rPr>
                <w:rFonts w:ascii="Times New Roman" w:hAnsi="Times New Roman" w:eastAsia="Times New Roman" w:cs="Times New Roman"/>
                <w:b/>
                <w:color w:val="000000"/>
              </w:rPr>
              <w:t xml:space="preserve">O processo civilizador. </w:t>
            </w:r>
            <w:r>
              <w:rPr>
                <w:rFonts w:ascii="Times New Roman" w:hAnsi="Times New Roman" w:eastAsia="Times New Roman" w:cs="Times New Roman"/>
                <w:color w:val="000000"/>
              </w:rPr>
              <w:t>Volume 1. Rio de Janeiro: Jorge Zahar: 1994.</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BURCKHARDT, Jacob. </w:t>
            </w:r>
            <w:r>
              <w:rPr>
                <w:rFonts w:ascii="Times New Roman" w:hAnsi="Times New Roman" w:eastAsia="Times New Roman" w:cs="Times New Roman"/>
                <w:b/>
                <w:color w:val="000000"/>
              </w:rPr>
              <w:t xml:space="preserve">A cultura do Renascimento na Itália. </w:t>
            </w:r>
            <w:r>
              <w:rPr>
                <w:rFonts w:ascii="Times New Roman" w:hAnsi="Times New Roman" w:eastAsia="Times New Roman" w:cs="Times New Roman"/>
                <w:color w:val="000000"/>
              </w:rPr>
              <w:t>Brasília: Editora na UNB,</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1991.</w:t>
            </w:r>
          </w:p>
        </w:tc>
      </w:tr>
      <w:tr>
        <w:tblPrEx>
          <w:tblCellMar>
            <w:top w:w="0" w:type="dxa"/>
            <w:left w:w="22" w:type="dxa"/>
            <w:bottom w:w="0" w:type="dxa"/>
            <w:right w:w="22" w:type="dxa"/>
          </w:tblCellMar>
        </w:tblPrEx>
        <w:trPr>
          <w:trHeight w:val="1987"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right="53"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KRISTELER, Paul Oskar. </w:t>
            </w:r>
            <w:r>
              <w:rPr>
                <w:rFonts w:ascii="Times New Roman" w:hAnsi="Times New Roman" w:eastAsia="Times New Roman" w:cs="Times New Roman"/>
                <w:b/>
                <w:color w:val="000000"/>
              </w:rPr>
              <w:t xml:space="preserve">El pensamiento renacentista y sus fuentes. </w:t>
            </w:r>
            <w:r>
              <w:rPr>
                <w:rFonts w:ascii="Times New Roman" w:hAnsi="Times New Roman" w:eastAsia="Times New Roman" w:cs="Times New Roman"/>
                <w:color w:val="000000"/>
              </w:rPr>
              <w:t>Madrid: Fondo de Cultura Económica, 1993.</w:t>
            </w: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SKINNER, Quentin. </w:t>
            </w:r>
            <w:r>
              <w:rPr>
                <w:rFonts w:ascii="Times New Roman" w:hAnsi="Times New Roman" w:eastAsia="Times New Roman" w:cs="Times New Roman"/>
                <w:b/>
                <w:color w:val="000000"/>
              </w:rPr>
              <w:t xml:space="preserve">As fundações do pensamento político moderno. </w:t>
            </w:r>
            <w:r>
              <w:rPr>
                <w:rFonts w:ascii="Times New Roman" w:hAnsi="Times New Roman" w:eastAsia="Times New Roman" w:cs="Times New Roman"/>
                <w:color w:val="000000"/>
              </w:rPr>
              <w:t>São Paulo: Companhia das Letras, 1996.</w:t>
            </w: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HUIZINGA, Johan. </w:t>
            </w:r>
            <w:r>
              <w:rPr>
                <w:rFonts w:ascii="Times New Roman" w:hAnsi="Times New Roman" w:eastAsia="Times New Roman" w:cs="Times New Roman"/>
                <w:b/>
                <w:color w:val="000000"/>
              </w:rPr>
              <w:t xml:space="preserve">O declínio da Idade Média. </w:t>
            </w:r>
            <w:r>
              <w:rPr>
                <w:rFonts w:ascii="Times New Roman" w:hAnsi="Times New Roman" w:eastAsia="Times New Roman" w:cs="Times New Roman"/>
                <w:color w:val="000000"/>
              </w:rPr>
              <w:t>Viseu: Editora Ulissea, s.d.</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GARIN, Eugenio. </w:t>
            </w:r>
            <w:r>
              <w:rPr>
                <w:rFonts w:ascii="Times New Roman" w:hAnsi="Times New Roman" w:eastAsia="Times New Roman" w:cs="Times New Roman"/>
                <w:b/>
                <w:color w:val="000000"/>
              </w:rPr>
              <w:t xml:space="preserve">O Homem Renascentista. </w:t>
            </w:r>
            <w:r>
              <w:rPr>
                <w:rFonts w:ascii="Times New Roman" w:hAnsi="Times New Roman" w:eastAsia="Times New Roman" w:cs="Times New Roman"/>
                <w:color w:val="000000"/>
              </w:rPr>
              <w:t>Lisboa: Editorial Presença, 1990.</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DELUMEAU, Jean. </w:t>
            </w:r>
            <w:r>
              <w:rPr>
                <w:rFonts w:ascii="Times New Roman" w:hAnsi="Times New Roman" w:eastAsia="Times New Roman" w:cs="Times New Roman"/>
                <w:b/>
                <w:color w:val="000000"/>
              </w:rPr>
              <w:t>A civilização do Renascimento.</w:t>
            </w:r>
            <w:r>
              <w:rPr>
                <w:rFonts w:ascii="Times New Roman" w:hAnsi="Times New Roman" w:eastAsia="Times New Roman" w:cs="Times New Roman"/>
                <w:color w:val="000000"/>
              </w:rPr>
              <w:t>2 Volumes. Lisboa: Editorial Estampa, 1994.</w:t>
            </w:r>
          </w:p>
        </w:tc>
      </w:tr>
    </w:tbl>
    <w:p>
      <w:pPr>
        <w:pBdr>
          <w:top w:val="none" w:color="auto" w:sz="0" w:space="0"/>
          <w:left w:val="none" w:color="auto" w:sz="0" w:space="0"/>
          <w:bottom w:val="none" w:color="auto" w:sz="0" w:space="0"/>
          <w:right w:val="none" w:color="auto" w:sz="0" w:space="0"/>
          <w:between w:val="none" w:color="auto" w:sz="0" w:space="0"/>
        </w:pBdr>
        <w:tabs>
          <w:tab w:val="left" w:pos="6960"/>
        </w:tabs>
        <w:spacing w:after="12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b/>
      </w:r>
    </w:p>
    <w:p>
      <w:pPr>
        <w:pBdr>
          <w:top w:val="none" w:color="auto" w:sz="0" w:space="0"/>
          <w:left w:val="none" w:color="auto" w:sz="0" w:space="0"/>
          <w:bottom w:val="none" w:color="auto" w:sz="0" w:space="0"/>
          <w:right w:val="none" w:color="auto" w:sz="0" w:space="0"/>
          <w:between w:val="none" w:color="auto" w:sz="0" w:space="0"/>
        </w:pBdr>
        <w:spacing w:before="10" w:after="1"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10" w:after="1" w:line="288" w:lineRule="auto"/>
        <w:ind w:left="0" w:hanging="2"/>
        <w:rPr>
          <w:rFonts w:ascii="Times New Roman" w:hAnsi="Times New Roman" w:eastAsia="Times New Roman" w:cs="Times New Roman"/>
          <w:color w:val="000000"/>
        </w:rPr>
      </w:pPr>
    </w:p>
    <w:tbl>
      <w:tblPr>
        <w:tblStyle w:val="541"/>
        <w:tblW w:w="9021" w:type="dxa"/>
        <w:tblInd w:w="2" w:type="dxa"/>
        <w:tblLayout w:type="fixed"/>
        <w:tblCellMar>
          <w:top w:w="0" w:type="dxa"/>
          <w:left w:w="22" w:type="dxa"/>
          <w:bottom w:w="0" w:type="dxa"/>
          <w:right w:w="5" w:type="dxa"/>
        </w:tblCellMar>
      </w:tblPr>
      <w:tblGrid>
        <w:gridCol w:w="2830"/>
        <w:gridCol w:w="3118"/>
        <w:gridCol w:w="3073"/>
      </w:tblGrid>
      <w:tr>
        <w:tblPrEx>
          <w:tblCellMar>
            <w:top w:w="0" w:type="dxa"/>
            <w:left w:w="22" w:type="dxa"/>
            <w:bottom w:w="0" w:type="dxa"/>
            <w:right w:w="5" w:type="dxa"/>
          </w:tblCellMar>
        </w:tblPrEx>
        <w:trPr>
          <w:trHeight w:val="2072" w:hRule="atLeast"/>
        </w:trPr>
        <w:tc>
          <w:tcPr>
            <w:tcW w:w="5948"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96"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Seminário em História Moderna e Contemporânea VIII</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before="1" w:line="240" w:lineRule="auto"/>
              <w:ind w:left="0" w:right="422"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Seminary in Modern and Contemporary History VIII</w:t>
            </w:r>
          </w:p>
        </w:tc>
        <w:tc>
          <w:tcPr>
            <w:tcW w:w="3073"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HIS278</w:t>
            </w:r>
          </w:p>
        </w:tc>
      </w:tr>
      <w:tr>
        <w:tblPrEx>
          <w:tblCellMar>
            <w:top w:w="0" w:type="dxa"/>
            <w:left w:w="22" w:type="dxa"/>
            <w:bottom w:w="0" w:type="dxa"/>
            <w:right w:w="5" w:type="dxa"/>
          </w:tblCellMar>
        </w:tblPrEx>
        <w:trPr>
          <w:trHeight w:val="825" w:hRule="atLeast"/>
        </w:trPr>
        <w:tc>
          <w:tcPr>
            <w:tcW w:w="5948"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 História - DEHIS</w:t>
            </w:r>
          </w:p>
        </w:tc>
        <w:tc>
          <w:tcPr>
            <w:tcW w:w="3073"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ICHS</w:t>
            </w:r>
          </w:p>
        </w:tc>
      </w:tr>
      <w:tr>
        <w:tblPrEx>
          <w:tblCellMar>
            <w:top w:w="0" w:type="dxa"/>
            <w:left w:w="22" w:type="dxa"/>
            <w:bottom w:w="0" w:type="dxa"/>
            <w:right w:w="5" w:type="dxa"/>
          </w:tblCellMar>
        </w:tblPrEx>
        <w:trPr>
          <w:trHeight w:val="1243" w:hRule="atLeast"/>
        </w:trPr>
        <w:tc>
          <w:tcPr>
            <w:tcW w:w="2830"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3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3" w:line="240" w:lineRule="auto"/>
              <w:ind w:left="0" w:right="645"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semestral </w:t>
            </w:r>
          </w:p>
          <w:p>
            <w:pPr>
              <w:widowControl w:val="0"/>
              <w:pBdr>
                <w:top w:val="none" w:color="auto" w:sz="0" w:space="0"/>
                <w:left w:val="none" w:color="auto" w:sz="0" w:space="0"/>
                <w:bottom w:val="none" w:color="auto" w:sz="0" w:space="0"/>
                <w:right w:val="none" w:color="auto" w:sz="0" w:space="0"/>
                <w:between w:val="none" w:color="auto" w:sz="0" w:space="0"/>
              </w:pBdr>
              <w:spacing w:before="3" w:line="240" w:lineRule="auto"/>
              <w:ind w:left="0" w:right="645"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3118"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3073"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prática 02 horas/aula</w:t>
            </w:r>
          </w:p>
        </w:tc>
      </w:tr>
      <w:tr>
        <w:tblPrEx>
          <w:tblCellMar>
            <w:top w:w="0" w:type="dxa"/>
            <w:left w:w="22" w:type="dxa"/>
            <w:bottom w:w="0" w:type="dxa"/>
            <w:right w:w="5" w:type="dxa"/>
          </w:tblCellMar>
        </w:tblPrEx>
        <w:trPr>
          <w:trHeight w:val="2482"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Ementa:</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right="63"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Tópicos sobre a constituição das fronteiras políticas e territoriais ao longo dos séculos XVI-XVIII nos Reinos Ibéricos e as repercussões nas fronteiras de seus Impérios Ultramarinos na América, conferindo especial atenção ao Reino português. Estudo da formação das fronteiras políticas, territoriais, culturais e comerciais nos dois lados do Atlântico: Portugal / Espanha e seus respectivos Impérios Ultramarino.</w:t>
            </w:r>
          </w:p>
        </w:tc>
      </w:tr>
      <w:tr>
        <w:tblPrEx>
          <w:tblCellMar>
            <w:top w:w="0" w:type="dxa"/>
            <w:left w:w="22" w:type="dxa"/>
            <w:bottom w:w="0" w:type="dxa"/>
            <w:right w:w="5" w:type="dxa"/>
          </w:tblCellMar>
        </w:tblPrEx>
        <w:trPr>
          <w:trHeight w:val="5381"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numPr>
                <w:ilvl w:val="0"/>
                <w:numId w:val="47"/>
              </w:numPr>
              <w:pBdr>
                <w:top w:val="none" w:color="auto" w:sz="0" w:space="0"/>
                <w:left w:val="none" w:color="auto" w:sz="0" w:space="0"/>
                <w:bottom w:val="none" w:color="auto" w:sz="0" w:space="0"/>
                <w:right w:val="none" w:color="auto" w:sz="0" w:space="0"/>
                <w:between w:val="none" w:color="auto" w:sz="0" w:space="0"/>
              </w:pBdr>
              <w:tabs>
                <w:tab w:val="left" w:pos="0"/>
                <w:tab w:val="left" w:pos="256"/>
              </w:tabs>
              <w:spacing w:before="14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 União Ibérica (1580-1640) e o fim das Fronteiras entre os Reinos</w:t>
            </w:r>
          </w:p>
          <w:p>
            <w:pPr>
              <w:widowControl w:val="0"/>
              <w:numPr>
                <w:ilvl w:val="0"/>
                <w:numId w:val="47"/>
              </w:numPr>
              <w:pBdr>
                <w:top w:val="none" w:color="auto" w:sz="0" w:space="0"/>
                <w:left w:val="none" w:color="auto" w:sz="0" w:space="0"/>
                <w:bottom w:val="none" w:color="auto" w:sz="0" w:space="0"/>
                <w:right w:val="none" w:color="auto" w:sz="0" w:space="0"/>
                <w:between w:val="none" w:color="auto" w:sz="0" w:space="0"/>
              </w:pBdr>
              <w:tabs>
                <w:tab w:val="left" w:pos="0"/>
                <w:tab w:val="left" w:pos="256"/>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 União Ibérica e o fim das Fronteiras nas Américas / A ação dos bandeirantes</w:t>
            </w:r>
          </w:p>
          <w:p>
            <w:pPr>
              <w:widowControl w:val="0"/>
              <w:numPr>
                <w:ilvl w:val="0"/>
                <w:numId w:val="47"/>
              </w:numPr>
              <w:pBdr>
                <w:top w:val="none" w:color="auto" w:sz="0" w:space="0"/>
                <w:left w:val="none" w:color="auto" w:sz="0" w:space="0"/>
                <w:bottom w:val="none" w:color="auto" w:sz="0" w:space="0"/>
                <w:right w:val="none" w:color="auto" w:sz="0" w:space="0"/>
                <w:between w:val="none" w:color="auto" w:sz="0" w:space="0"/>
              </w:pBdr>
              <w:tabs>
                <w:tab w:val="left" w:pos="0"/>
                <w:tab w:val="left" w:pos="256"/>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O Comércio no Atlântico Sul. Os portos do Rio de Janeiro, Luanda e Buenos Aires.</w:t>
            </w:r>
          </w:p>
          <w:p>
            <w:pPr>
              <w:widowControl w:val="0"/>
              <w:numPr>
                <w:ilvl w:val="0"/>
                <w:numId w:val="47"/>
              </w:numPr>
              <w:pBdr>
                <w:top w:val="none" w:color="auto" w:sz="0" w:space="0"/>
                <w:left w:val="none" w:color="auto" w:sz="0" w:space="0"/>
                <w:bottom w:val="none" w:color="auto" w:sz="0" w:space="0"/>
                <w:right w:val="none" w:color="auto" w:sz="0" w:space="0"/>
                <w:between w:val="none" w:color="auto" w:sz="0" w:space="0"/>
              </w:pBdr>
              <w:tabs>
                <w:tab w:val="left" w:pos="0"/>
                <w:tab w:val="left" w:pos="256"/>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 Restauração da Monarquia Portuguesa (1640) / As novas Fronteiras na América</w:t>
            </w:r>
          </w:p>
          <w:p>
            <w:pPr>
              <w:widowControl w:val="0"/>
              <w:numPr>
                <w:ilvl w:val="0"/>
                <w:numId w:val="47"/>
              </w:numPr>
              <w:pBdr>
                <w:top w:val="none" w:color="auto" w:sz="0" w:space="0"/>
                <w:left w:val="none" w:color="auto" w:sz="0" w:space="0"/>
                <w:bottom w:val="none" w:color="auto" w:sz="0" w:space="0"/>
                <w:right w:val="none" w:color="auto" w:sz="0" w:space="0"/>
                <w:between w:val="none" w:color="auto" w:sz="0" w:space="0"/>
              </w:pBdr>
              <w:tabs>
                <w:tab w:val="left" w:pos="0"/>
                <w:tab w:val="left" w:pos="256"/>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 crise econômica de Portugal: Holandeses dominam Pernambuco e Angola</w:t>
            </w:r>
          </w:p>
          <w:p>
            <w:pPr>
              <w:widowControl w:val="0"/>
              <w:numPr>
                <w:ilvl w:val="0"/>
                <w:numId w:val="47"/>
              </w:numPr>
              <w:pBdr>
                <w:top w:val="none" w:color="auto" w:sz="0" w:space="0"/>
                <w:left w:val="none" w:color="auto" w:sz="0" w:space="0"/>
                <w:bottom w:val="none" w:color="auto" w:sz="0" w:space="0"/>
                <w:right w:val="none" w:color="auto" w:sz="0" w:space="0"/>
                <w:between w:val="none" w:color="auto" w:sz="0" w:space="0"/>
              </w:pBdr>
              <w:tabs>
                <w:tab w:val="left" w:pos="0"/>
                <w:tab w:val="left" w:pos="256"/>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Sertão, a esperança: pecuária/ouro/salitre</w:t>
            </w:r>
          </w:p>
          <w:p>
            <w:pPr>
              <w:widowControl w:val="0"/>
              <w:numPr>
                <w:ilvl w:val="0"/>
                <w:numId w:val="47"/>
              </w:numPr>
              <w:pBdr>
                <w:top w:val="none" w:color="auto" w:sz="0" w:space="0"/>
                <w:left w:val="none" w:color="auto" w:sz="0" w:space="0"/>
                <w:bottom w:val="none" w:color="auto" w:sz="0" w:space="0"/>
                <w:right w:val="none" w:color="auto" w:sz="0" w:space="0"/>
                <w:between w:val="none" w:color="auto" w:sz="0" w:space="0"/>
              </w:pBdr>
              <w:tabs>
                <w:tab w:val="left" w:pos="0"/>
                <w:tab w:val="left" w:pos="256"/>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Colônia do Sacramento: contrabando</w:t>
            </w:r>
          </w:p>
          <w:p>
            <w:pPr>
              <w:widowControl w:val="0"/>
              <w:numPr>
                <w:ilvl w:val="0"/>
                <w:numId w:val="47"/>
              </w:numPr>
              <w:pBdr>
                <w:top w:val="none" w:color="auto" w:sz="0" w:space="0"/>
                <w:left w:val="none" w:color="auto" w:sz="0" w:space="0"/>
                <w:bottom w:val="none" w:color="auto" w:sz="0" w:space="0"/>
                <w:right w:val="none" w:color="auto" w:sz="0" w:space="0"/>
                <w:between w:val="none" w:color="auto" w:sz="0" w:space="0"/>
              </w:pBdr>
              <w:tabs>
                <w:tab w:val="left" w:pos="0"/>
                <w:tab w:val="left" w:pos="261"/>
              </w:tabs>
              <w:spacing w:line="360" w:lineRule="auto"/>
              <w:ind w:left="0" w:right="68" w:hanging="2"/>
              <w:rPr>
                <w:rFonts w:ascii="Times New Roman" w:hAnsi="Times New Roman" w:eastAsia="Times New Roman" w:cs="Times New Roman"/>
                <w:color w:val="000000"/>
              </w:rPr>
            </w:pPr>
            <w:r>
              <w:rPr>
                <w:rFonts w:ascii="Times New Roman" w:hAnsi="Times New Roman" w:eastAsia="Times New Roman" w:cs="Times New Roman"/>
                <w:color w:val="000000"/>
              </w:rPr>
              <w:t>Guerra de Sucessão da Espanha (1701-1714): Os domínios ultramarinos no contexto do equilíbrio das potências</w:t>
            </w:r>
          </w:p>
          <w:p>
            <w:pPr>
              <w:widowControl w:val="0"/>
              <w:numPr>
                <w:ilvl w:val="0"/>
                <w:numId w:val="47"/>
              </w:num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 O Tratado de Madri de (1750) e o Pensamento de Alexandre de Gusmão</w:t>
            </w:r>
          </w:p>
          <w:p>
            <w:pPr>
              <w:widowControl w:val="0"/>
              <w:numPr>
                <w:ilvl w:val="0"/>
                <w:numId w:val="47"/>
              </w:numPr>
              <w:pBdr>
                <w:top w:val="none" w:color="auto" w:sz="0" w:space="0"/>
                <w:left w:val="none" w:color="auto" w:sz="0" w:space="0"/>
                <w:bottom w:val="none" w:color="auto" w:sz="0" w:space="0"/>
                <w:right w:val="none" w:color="auto" w:sz="0" w:space="0"/>
                <w:between w:val="none" w:color="auto" w:sz="0" w:space="0"/>
              </w:pBdr>
              <w:tabs>
                <w:tab w:val="left" w:pos="0"/>
                <w:tab w:val="left" w:pos="295"/>
              </w:tabs>
              <w:spacing w:line="240" w:lineRule="auto"/>
              <w:ind w:left="0" w:right="64" w:hanging="2"/>
              <w:rPr>
                <w:rFonts w:ascii="Times New Roman" w:hAnsi="Times New Roman" w:eastAsia="Times New Roman" w:cs="Times New Roman"/>
                <w:color w:val="000000"/>
              </w:rPr>
            </w:pPr>
            <w:r>
              <w:rPr>
                <w:rFonts w:ascii="Times New Roman" w:hAnsi="Times New Roman" w:eastAsia="Times New Roman" w:cs="Times New Roman"/>
                <w:color w:val="000000"/>
              </w:rPr>
              <w:t>O Tratado de Santo Idelfonso ou Tratado dos Limites, (1777) entre Portugal e a Espanha. Resolviam-se as contendas abertas pelo Tratado de Madrid de 1750.</w:t>
            </w:r>
          </w:p>
        </w:tc>
      </w:tr>
      <w:tr>
        <w:tblPrEx>
          <w:tblCellMar>
            <w:top w:w="0" w:type="dxa"/>
            <w:left w:w="22" w:type="dxa"/>
            <w:bottom w:w="0" w:type="dxa"/>
            <w:right w:w="5" w:type="dxa"/>
          </w:tblCellMar>
        </w:tblPrEx>
        <w:trPr>
          <w:trHeight w:val="4092"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SCHAUB, Jean-Frédéric, </w:t>
            </w:r>
            <w:r>
              <w:rPr>
                <w:rFonts w:ascii="Times New Roman" w:hAnsi="Times New Roman" w:eastAsia="Times New Roman" w:cs="Times New Roman"/>
                <w:b/>
                <w:color w:val="000000"/>
              </w:rPr>
              <w:t xml:space="preserve">Portugal na Monarquia Hispânica (1580-1640), </w:t>
            </w:r>
            <w:r>
              <w:rPr>
                <w:rFonts w:ascii="Times New Roman" w:hAnsi="Times New Roman" w:eastAsia="Times New Roman" w:cs="Times New Roman"/>
                <w:color w:val="000000"/>
              </w:rPr>
              <w:t>Lisboa, Livros Horizonte, 2001.</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ALENCASTRO, Luiz Felipe de. </w:t>
            </w:r>
            <w:r>
              <w:rPr>
                <w:rFonts w:ascii="Times New Roman" w:hAnsi="Times New Roman" w:eastAsia="Times New Roman" w:cs="Times New Roman"/>
                <w:b/>
                <w:color w:val="000000"/>
              </w:rPr>
              <w:t xml:space="preserve">O Trato dos Viventes: Formação do Brasil no Atlântico Sul. </w:t>
            </w:r>
            <w:r>
              <w:rPr>
                <w:rFonts w:ascii="Times New Roman" w:hAnsi="Times New Roman" w:eastAsia="Times New Roman" w:cs="Times New Roman"/>
                <w:color w:val="000000"/>
              </w:rPr>
              <w:t>São Paulo: Companhia das Letras, 2000.</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HESPANHA, António Manuel, </w:t>
            </w:r>
            <w:r>
              <w:rPr>
                <w:rFonts w:ascii="Times New Roman" w:hAnsi="Times New Roman" w:eastAsia="Times New Roman" w:cs="Times New Roman"/>
                <w:b/>
                <w:color w:val="000000"/>
              </w:rPr>
              <w:t>Poder e Instituições na Europa do Antigo Regime,</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Lisboa, Fundação Calustre Gulbenkian, 1982.</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MACEDO, Jorge Borges de. </w:t>
            </w:r>
            <w:r>
              <w:rPr>
                <w:rFonts w:ascii="Times New Roman" w:hAnsi="Times New Roman" w:eastAsia="Times New Roman" w:cs="Times New Roman"/>
                <w:b/>
                <w:color w:val="000000"/>
              </w:rPr>
              <w:t>História Diplomática Portuguesa</w:t>
            </w:r>
            <w:r>
              <w:rPr>
                <w:rFonts w:ascii="Times New Roman" w:hAnsi="Times New Roman" w:eastAsia="Times New Roman" w:cs="Times New Roman"/>
                <w:i/>
                <w:color w:val="000000"/>
              </w:rPr>
              <w:t xml:space="preserve">. </w:t>
            </w:r>
            <w:r>
              <w:rPr>
                <w:rFonts w:ascii="Times New Roman" w:hAnsi="Times New Roman" w:eastAsia="Times New Roman" w:cs="Times New Roman"/>
                <w:color w:val="000000"/>
              </w:rPr>
              <w:t>Constantes e Linhas de Força. Estudo de Geopolítica, Lisboa, Instituto de Defesa Nacional, s/d.</w:t>
            </w:r>
          </w:p>
        </w:tc>
      </w:tr>
      <w:tr>
        <w:tblPrEx>
          <w:tblCellMar>
            <w:top w:w="0" w:type="dxa"/>
            <w:left w:w="22" w:type="dxa"/>
            <w:bottom w:w="0" w:type="dxa"/>
            <w:right w:w="5" w:type="dxa"/>
          </w:tblCellMar>
        </w:tblPrEx>
        <w:trPr>
          <w:trHeight w:val="5937" w:hRule="atLeast"/>
        </w:trPr>
        <w:tc>
          <w:tcPr>
            <w:tcW w:w="9021" w:type="dxa"/>
            <w:gridSpan w:val="3"/>
            <w:tcBorders>
              <w:top w:val="single" w:color="000000" w:sz="4"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232" w:line="360" w:lineRule="auto"/>
              <w:ind w:left="0" w:right="69"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ALMEIDA, Fortunato, </w:t>
            </w:r>
            <w:r>
              <w:rPr>
                <w:rFonts w:ascii="Times New Roman" w:hAnsi="Times New Roman" w:eastAsia="Times New Roman" w:cs="Times New Roman"/>
                <w:b/>
                <w:color w:val="000000"/>
              </w:rPr>
              <w:t>História de Portugal</w:t>
            </w:r>
            <w:r>
              <w:rPr>
                <w:rFonts w:ascii="Times New Roman" w:hAnsi="Times New Roman" w:eastAsia="Times New Roman" w:cs="Times New Roman"/>
                <w:color w:val="000000"/>
              </w:rPr>
              <w:t>, Coimbra, Imp. da Universidade, vol.V, 1927.</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5"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CURTO, Diogo Ramada, </w:t>
            </w:r>
            <w:r>
              <w:rPr>
                <w:rFonts w:ascii="Times New Roman" w:hAnsi="Times New Roman" w:eastAsia="Times New Roman" w:cs="Times New Roman"/>
                <w:b/>
                <w:color w:val="000000"/>
              </w:rPr>
              <w:t xml:space="preserve">O Discurso Político em Portugal (1600-1650), </w:t>
            </w:r>
            <w:r>
              <w:rPr>
                <w:rFonts w:ascii="Times New Roman" w:hAnsi="Times New Roman" w:eastAsia="Times New Roman" w:cs="Times New Roman"/>
                <w:color w:val="000000"/>
              </w:rPr>
              <w:t>Lisboa, Universidade Aberta, 1988.</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AMADO, Janaina. </w:t>
            </w:r>
            <w:r>
              <w:rPr>
                <w:rFonts w:ascii="Times New Roman" w:hAnsi="Times New Roman" w:eastAsia="Times New Roman" w:cs="Times New Roman"/>
                <w:b/>
                <w:color w:val="000000"/>
              </w:rPr>
              <w:t xml:space="preserve">Região, Sertão, Nação. </w:t>
            </w:r>
            <w:r>
              <w:rPr>
                <w:rFonts w:ascii="Times New Roman" w:hAnsi="Times New Roman" w:eastAsia="Times New Roman" w:cs="Times New Roman"/>
                <w:color w:val="000000"/>
              </w:rPr>
              <w:t>Estudos Históricos, RJ, 1995</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8"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GIL, Tiago Luís. </w:t>
            </w:r>
            <w:r>
              <w:rPr>
                <w:rFonts w:ascii="Times New Roman" w:hAnsi="Times New Roman" w:eastAsia="Times New Roman" w:cs="Times New Roman"/>
                <w:b/>
                <w:color w:val="000000"/>
              </w:rPr>
              <w:t>Os embaraços da fronteira: guerreiros, peões e contrabandistas</w:t>
            </w:r>
            <w:r>
              <w:rPr>
                <w:rFonts w:ascii="Times New Roman" w:hAnsi="Times New Roman" w:eastAsia="Times New Roman" w:cs="Times New Roman"/>
                <w:color w:val="000000"/>
              </w:rPr>
              <w:t>. Infiéis Transgressores: os contrabandistas da fronteira (1760-1810), dissertação de mestrado, UFRJ, 2000.</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MONTEIRO, John. Os Guarani e a História do Brasil Meridional: séculos XVI-XVII. In CUNHA, M. (org.) </w:t>
            </w:r>
            <w:r>
              <w:rPr>
                <w:rFonts w:ascii="Times New Roman" w:hAnsi="Times New Roman" w:eastAsia="Times New Roman" w:cs="Times New Roman"/>
                <w:b/>
                <w:color w:val="000000"/>
              </w:rPr>
              <w:t xml:space="preserve">História dos Índios no Brasil. </w:t>
            </w:r>
            <w:r>
              <w:rPr>
                <w:rFonts w:ascii="Times New Roman" w:hAnsi="Times New Roman" w:eastAsia="Times New Roman" w:cs="Times New Roman"/>
                <w:color w:val="000000"/>
              </w:rPr>
              <w:t>Cia das Letras, SP,1992.</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MONTEIRO, Rodrigo Borges. </w:t>
            </w:r>
            <w:r>
              <w:rPr>
                <w:rFonts w:ascii="Times New Roman" w:hAnsi="Times New Roman" w:eastAsia="Times New Roman" w:cs="Times New Roman"/>
                <w:b/>
                <w:color w:val="000000"/>
              </w:rPr>
              <w:t xml:space="preserve">Nas Fronteiras do Antigo Regime: a Colônia do Sacramento no século XVII. </w:t>
            </w:r>
            <w:r>
              <w:rPr>
                <w:rFonts w:ascii="Times New Roman" w:hAnsi="Times New Roman" w:eastAsia="Times New Roman" w:cs="Times New Roman"/>
                <w:color w:val="000000"/>
              </w:rPr>
              <w:t>Congresso Internacional: O espaço atlântico de Antigo</w:t>
            </w:r>
          </w:p>
          <w:p>
            <w:pPr>
              <w:widowControl w:val="0"/>
              <w:pBdr>
                <w:top w:val="none" w:color="auto" w:sz="0" w:space="0"/>
                <w:left w:val="none" w:color="auto" w:sz="0" w:space="0"/>
                <w:bottom w:val="none" w:color="auto" w:sz="0" w:space="0"/>
                <w:right w:val="none" w:color="auto" w:sz="0" w:space="0"/>
                <w:between w:val="none" w:color="auto" w:sz="0" w:space="0"/>
              </w:pBdr>
              <w:spacing w:before="3"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Regime: poderes e sociedades, 2008.</w:t>
            </w:r>
          </w:p>
        </w:tc>
      </w:tr>
    </w:tbl>
    <w:p>
      <w:pPr>
        <w:pBdr>
          <w:top w:val="none" w:color="auto" w:sz="0" w:space="0"/>
          <w:left w:val="none" w:color="auto" w:sz="0" w:space="0"/>
          <w:bottom w:val="none" w:color="auto" w:sz="0" w:space="0"/>
          <w:right w:val="none" w:color="auto" w:sz="0" w:space="0"/>
          <w:between w:val="none" w:color="auto" w:sz="0" w:space="0"/>
        </w:pBdr>
        <w:spacing w:before="10" w:after="14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10" w:after="14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10" w:after="140" w:line="288" w:lineRule="auto"/>
        <w:ind w:left="0" w:hanging="2"/>
        <w:rPr>
          <w:rFonts w:ascii="Times New Roman" w:hAnsi="Times New Roman" w:eastAsia="Times New Roman" w:cs="Times New Roman"/>
          <w:color w:val="000000"/>
        </w:rPr>
      </w:pPr>
    </w:p>
    <w:tbl>
      <w:tblPr>
        <w:tblStyle w:val="542"/>
        <w:tblW w:w="8960" w:type="dxa"/>
        <w:tblInd w:w="2" w:type="dxa"/>
        <w:tblLayout w:type="fixed"/>
        <w:tblCellMar>
          <w:top w:w="0" w:type="dxa"/>
          <w:left w:w="0" w:type="dxa"/>
          <w:bottom w:w="0" w:type="dxa"/>
          <w:right w:w="0" w:type="dxa"/>
        </w:tblCellMar>
      </w:tblPr>
      <w:tblGrid>
        <w:gridCol w:w="2876"/>
        <w:gridCol w:w="3190"/>
        <w:gridCol w:w="2831"/>
        <w:gridCol w:w="43"/>
        <w:gridCol w:w="20"/>
      </w:tblGrid>
      <w:tr>
        <w:tblPrEx>
          <w:tblCellMar>
            <w:top w:w="0" w:type="dxa"/>
            <w:left w:w="0" w:type="dxa"/>
            <w:bottom w:w="0" w:type="dxa"/>
            <w:right w:w="0" w:type="dxa"/>
          </w:tblCellMar>
        </w:tblPrEx>
        <w:trPr>
          <w:trHeight w:val="2073" w:hRule="atLeast"/>
        </w:trPr>
        <w:tc>
          <w:tcPr>
            <w:tcW w:w="6066"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01"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Seminário em História Moderna e Contemporânea IX</w:t>
            </w:r>
          </w:p>
          <w:p>
            <w:pPr>
              <w:widowControl w:val="0"/>
              <w:pBdr>
                <w:top w:val="none" w:color="auto" w:sz="0" w:space="0"/>
                <w:left w:val="none" w:color="auto" w:sz="0" w:space="0"/>
                <w:bottom w:val="none" w:color="auto" w:sz="0" w:space="0"/>
                <w:right w:val="none" w:color="auto" w:sz="0" w:space="0"/>
                <w:between w:val="none" w:color="auto" w:sz="0" w:space="0"/>
              </w:pBdr>
              <w:spacing w:before="9"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627"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Seminary in Modern and Contemporary History IX</w:t>
            </w:r>
          </w:p>
        </w:tc>
        <w:tc>
          <w:tcPr>
            <w:tcW w:w="2831" w:type="dxa"/>
            <w:tcBorders>
              <w:top w:val="single" w:color="000000" w:sz="18"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HIS279</w:t>
            </w:r>
          </w:p>
        </w:tc>
        <w:tc>
          <w:tcPr>
            <w:tcW w:w="43" w:type="dxa"/>
            <w:tcBorders>
              <w:left w:val="single" w:color="000000" w:sz="18" w:space="0"/>
            </w:tcBorders>
          </w:tcPr>
          <w:p>
            <w:pPr>
              <w:ind w:left="0" w:hanging="2"/>
              <w:rPr>
                <w:rFonts w:ascii="Times New Roman" w:hAnsi="Times New Roman" w:cs="Times New Roman"/>
              </w:rPr>
            </w:pPr>
          </w:p>
        </w:tc>
        <w:tc>
          <w:tcPr>
            <w:tcW w:w="20" w:type="dxa"/>
          </w:tcPr>
          <w:p>
            <w:pPr>
              <w:ind w:left="0" w:hanging="2"/>
              <w:rPr>
                <w:rFonts w:ascii="Times New Roman" w:hAnsi="Times New Roman" w:cs="Times New Roman"/>
              </w:rPr>
            </w:pPr>
          </w:p>
        </w:tc>
      </w:tr>
      <w:tr>
        <w:tblPrEx>
          <w:tblCellMar>
            <w:top w:w="0" w:type="dxa"/>
            <w:left w:w="0" w:type="dxa"/>
            <w:bottom w:w="0" w:type="dxa"/>
            <w:right w:w="0" w:type="dxa"/>
          </w:tblCellMar>
        </w:tblPrEx>
        <w:trPr>
          <w:trHeight w:val="825" w:hRule="atLeast"/>
        </w:trPr>
        <w:tc>
          <w:tcPr>
            <w:tcW w:w="6066"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Departamento de História - DEHIS</w:t>
            </w:r>
          </w:p>
        </w:tc>
        <w:tc>
          <w:tcPr>
            <w:tcW w:w="2831"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ICHS</w:t>
            </w:r>
          </w:p>
        </w:tc>
        <w:tc>
          <w:tcPr>
            <w:tcW w:w="43" w:type="dxa"/>
            <w:tcBorders>
              <w:left w:val="single" w:color="000000" w:sz="18" w:space="0"/>
            </w:tcBorders>
          </w:tcPr>
          <w:p>
            <w:pPr>
              <w:ind w:left="0" w:hanging="2"/>
              <w:rPr>
                <w:rFonts w:ascii="Times New Roman" w:hAnsi="Times New Roman" w:cs="Times New Roman"/>
              </w:rPr>
            </w:pPr>
          </w:p>
        </w:tc>
        <w:tc>
          <w:tcPr>
            <w:tcW w:w="20" w:type="dxa"/>
          </w:tcPr>
          <w:p>
            <w:pPr>
              <w:ind w:left="0" w:hanging="2"/>
              <w:rPr>
                <w:rFonts w:ascii="Times New Roman" w:hAnsi="Times New Roman" w:cs="Times New Roman"/>
              </w:rPr>
            </w:pPr>
          </w:p>
        </w:tc>
      </w:tr>
      <w:tr>
        <w:tblPrEx>
          <w:tblCellMar>
            <w:top w:w="0" w:type="dxa"/>
            <w:left w:w="0" w:type="dxa"/>
            <w:bottom w:w="0" w:type="dxa"/>
            <w:right w:w="0" w:type="dxa"/>
          </w:tblCellMar>
        </w:tblPrEx>
        <w:trPr>
          <w:trHeight w:val="1243" w:hRule="atLeast"/>
        </w:trPr>
        <w:tc>
          <w:tcPr>
            <w:tcW w:w="2876"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502"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right="717"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Semestral</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right="717"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 90 horas</w:t>
            </w:r>
          </w:p>
        </w:tc>
        <w:tc>
          <w:tcPr>
            <w:tcW w:w="3190"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2831"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Carga horária semanal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02 horas/aula</w:t>
            </w:r>
          </w:p>
        </w:tc>
        <w:tc>
          <w:tcPr>
            <w:tcW w:w="43" w:type="dxa"/>
            <w:tcBorders>
              <w:left w:val="single" w:color="000000" w:sz="18" w:space="0"/>
            </w:tcBorders>
          </w:tcPr>
          <w:p>
            <w:pPr>
              <w:ind w:left="0" w:hanging="2"/>
              <w:rPr>
                <w:rFonts w:ascii="Times New Roman" w:hAnsi="Times New Roman" w:cs="Times New Roman"/>
              </w:rPr>
            </w:pPr>
          </w:p>
        </w:tc>
        <w:tc>
          <w:tcPr>
            <w:tcW w:w="20" w:type="dxa"/>
          </w:tcPr>
          <w:p>
            <w:pPr>
              <w:ind w:left="0" w:hanging="2"/>
              <w:rPr>
                <w:rFonts w:ascii="Times New Roman" w:hAnsi="Times New Roman" w:cs="Times New Roman"/>
              </w:rPr>
            </w:pPr>
          </w:p>
        </w:tc>
      </w:tr>
      <w:tr>
        <w:trPr>
          <w:trHeight w:val="1656" w:hRule="atLeast"/>
        </w:trPr>
        <w:tc>
          <w:tcPr>
            <w:tcW w:w="8897" w:type="dxa"/>
            <w:gridSpan w:val="3"/>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Ementa:</w:t>
            </w:r>
          </w:p>
          <w:p>
            <w:pPr>
              <w:widowControl w:val="0"/>
              <w:pBdr>
                <w:top w:val="none" w:color="auto" w:sz="0" w:space="0"/>
                <w:left w:val="none" w:color="auto" w:sz="0" w:space="0"/>
                <w:bottom w:val="none" w:color="auto" w:sz="0" w:space="0"/>
                <w:right w:val="none" w:color="auto" w:sz="0" w:space="0"/>
                <w:between w:val="none" w:color="auto" w:sz="0" w:space="0"/>
              </w:pBdr>
              <w:spacing w:before="14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Tópicos de estudos sobre a constituição e características da Europa moderna (séculos</w:t>
            </w:r>
          </w:p>
          <w:p>
            <w:pPr>
              <w:widowControl w:val="0"/>
              <w:pBdr>
                <w:top w:val="none" w:color="auto" w:sz="0" w:space="0"/>
                <w:left w:val="none" w:color="auto" w:sz="0" w:space="0"/>
                <w:bottom w:val="none" w:color="auto" w:sz="0" w:space="0"/>
                <w:right w:val="none" w:color="auto" w:sz="0" w:space="0"/>
                <w:between w:val="none" w:color="auto" w:sz="0" w:space="0"/>
              </w:pBdr>
              <w:spacing w:before="4" w:line="240" w:lineRule="auto"/>
              <w:ind w:left="0" w:right="59" w:hanging="2"/>
              <w:rPr>
                <w:rFonts w:ascii="Times New Roman" w:hAnsi="Times New Roman" w:eastAsia="Times New Roman" w:cs="Times New Roman"/>
                <w:color w:val="000000"/>
              </w:rPr>
            </w:pPr>
            <w:r>
              <w:rPr>
                <w:rFonts w:ascii="Times New Roman" w:hAnsi="Times New Roman" w:eastAsia="Times New Roman" w:cs="Times New Roman"/>
                <w:color w:val="000000"/>
              </w:rPr>
              <w:t>XV - XVIII) visando o aprofundamento de tema selecionado pelo professor ministrante e constante do programa da disciplina.</w:t>
            </w:r>
          </w:p>
        </w:tc>
        <w:tc>
          <w:tcPr>
            <w:tcW w:w="43" w:type="dxa"/>
            <w:tcBorders>
              <w:left w:val="single" w:color="000000" w:sz="18" w:space="0"/>
            </w:tcBorders>
          </w:tcPr>
          <w:p>
            <w:pPr>
              <w:ind w:left="0" w:hanging="2"/>
              <w:rPr>
                <w:rFonts w:ascii="Times New Roman" w:hAnsi="Times New Roman" w:cs="Times New Roman"/>
              </w:rPr>
            </w:pPr>
          </w:p>
        </w:tc>
        <w:tc>
          <w:tcPr>
            <w:tcW w:w="20" w:type="dxa"/>
          </w:tcPr>
          <w:p>
            <w:pPr>
              <w:ind w:left="0" w:hanging="2"/>
              <w:rPr>
                <w:rFonts w:ascii="Times New Roman" w:hAnsi="Times New Roman" w:cs="Times New Roman"/>
              </w:rPr>
            </w:pPr>
          </w:p>
        </w:tc>
      </w:tr>
      <w:tr>
        <w:trPr>
          <w:trHeight w:val="1656" w:hRule="atLeast"/>
        </w:trPr>
        <w:tc>
          <w:tcPr>
            <w:tcW w:w="8960" w:type="dxa"/>
            <w:gridSpan w:val="5"/>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numPr>
                <w:ilvl w:val="0"/>
                <w:numId w:val="48"/>
              </w:numPr>
              <w:pBdr>
                <w:top w:val="none" w:color="auto" w:sz="0" w:space="0"/>
                <w:left w:val="none" w:color="auto" w:sz="0" w:space="0"/>
                <w:bottom w:val="none" w:color="auto" w:sz="0" w:space="0"/>
                <w:right w:val="none" w:color="auto" w:sz="0" w:space="0"/>
                <w:between w:val="none" w:color="auto" w:sz="0" w:space="0"/>
              </w:pBdr>
              <w:tabs>
                <w:tab w:val="left" w:pos="0"/>
                <w:tab w:val="left" w:pos="256"/>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Cultura e ideias: Renascimento; Revolução Científica; Reformas Religiosas.</w:t>
            </w:r>
          </w:p>
          <w:p>
            <w:pPr>
              <w:widowControl w:val="0"/>
              <w:numPr>
                <w:ilvl w:val="0"/>
                <w:numId w:val="48"/>
              </w:numPr>
              <w:pBdr>
                <w:top w:val="none" w:color="auto" w:sz="0" w:space="0"/>
                <w:left w:val="none" w:color="auto" w:sz="0" w:space="0"/>
                <w:bottom w:val="none" w:color="auto" w:sz="0" w:space="0"/>
                <w:right w:val="none" w:color="auto" w:sz="0" w:space="0"/>
                <w:between w:val="none" w:color="auto" w:sz="0" w:space="0"/>
              </w:pBdr>
              <w:tabs>
                <w:tab w:val="left" w:pos="0"/>
                <w:tab w:val="left" w:pos="256"/>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Estado e política: Estado Moderno; Expansão europeia; Sociedade de Corte.</w:t>
            </w:r>
          </w:p>
          <w:p>
            <w:pPr>
              <w:widowControl w:val="0"/>
              <w:numPr>
                <w:ilvl w:val="0"/>
                <w:numId w:val="48"/>
              </w:numPr>
              <w:pBdr>
                <w:top w:val="none" w:color="auto" w:sz="0" w:space="0"/>
                <w:left w:val="none" w:color="auto" w:sz="0" w:space="0"/>
                <w:bottom w:val="none" w:color="auto" w:sz="0" w:space="0"/>
                <w:right w:val="none" w:color="auto" w:sz="0" w:space="0"/>
                <w:between w:val="none" w:color="auto" w:sz="0" w:space="0"/>
              </w:pBdr>
              <w:tabs>
                <w:tab w:val="left" w:pos="0"/>
                <w:tab w:val="left" w:pos="256"/>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Revoluções e conflitos: Revolução Inglesa; Revolução Industrial; Iluminismo</w:t>
            </w:r>
          </w:p>
        </w:tc>
      </w:tr>
      <w:tr>
        <w:tblPrEx>
          <w:tblCellMar>
            <w:top w:w="0" w:type="dxa"/>
            <w:left w:w="0" w:type="dxa"/>
            <w:bottom w:w="0" w:type="dxa"/>
            <w:right w:w="0" w:type="dxa"/>
          </w:tblCellMar>
        </w:tblPrEx>
        <w:trPr>
          <w:trHeight w:val="2767" w:hRule="atLeast"/>
        </w:trPr>
        <w:tc>
          <w:tcPr>
            <w:tcW w:w="8960" w:type="dxa"/>
            <w:gridSpan w:val="5"/>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9"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HAZARD, Paul. </w:t>
            </w:r>
            <w:r>
              <w:rPr>
                <w:rFonts w:ascii="Times New Roman" w:hAnsi="Times New Roman" w:eastAsia="Times New Roman" w:cs="Times New Roman"/>
                <w:b/>
                <w:color w:val="000000"/>
              </w:rPr>
              <w:t xml:space="preserve">O pensamento europeu no século XVIII. </w:t>
            </w:r>
            <w:r>
              <w:rPr>
                <w:rFonts w:ascii="Times New Roman" w:hAnsi="Times New Roman" w:eastAsia="Times New Roman" w:cs="Times New Roman"/>
                <w:color w:val="000000"/>
              </w:rPr>
              <w:t>Lisboa; Presença, 1983.</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3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HESPANHA, António Manuel. </w:t>
            </w:r>
            <w:r>
              <w:rPr>
                <w:rFonts w:ascii="Times New Roman" w:hAnsi="Times New Roman" w:eastAsia="Times New Roman" w:cs="Times New Roman"/>
                <w:b/>
                <w:color w:val="000000"/>
              </w:rPr>
              <w:t xml:space="preserve">História das instituições: épocas medieval e moderna. </w:t>
            </w:r>
            <w:r>
              <w:rPr>
                <w:rFonts w:ascii="Times New Roman" w:hAnsi="Times New Roman" w:eastAsia="Times New Roman" w:cs="Times New Roman"/>
                <w:color w:val="000000"/>
              </w:rPr>
              <w:t>Coimbra: Livraria Almedina, 1982.</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3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ANDERSON, Perry. </w:t>
            </w:r>
            <w:r>
              <w:rPr>
                <w:rFonts w:ascii="Times New Roman" w:hAnsi="Times New Roman" w:eastAsia="Times New Roman" w:cs="Times New Roman"/>
                <w:b/>
                <w:color w:val="000000"/>
              </w:rPr>
              <w:t xml:space="preserve">Linhagens do Estado absolutista. </w:t>
            </w:r>
            <w:r>
              <w:rPr>
                <w:rFonts w:ascii="Times New Roman" w:hAnsi="Times New Roman" w:eastAsia="Times New Roman" w:cs="Times New Roman"/>
                <w:color w:val="000000"/>
              </w:rPr>
              <w:t>Rio de Janeiro: Brasiliense, 1985.</w:t>
            </w:r>
          </w:p>
        </w:tc>
      </w:tr>
      <w:tr>
        <w:tblPrEx>
          <w:tblCellMar>
            <w:top w:w="0" w:type="dxa"/>
            <w:left w:w="0" w:type="dxa"/>
            <w:bottom w:w="0" w:type="dxa"/>
            <w:right w:w="0" w:type="dxa"/>
          </w:tblCellMar>
        </w:tblPrEx>
        <w:trPr>
          <w:trHeight w:val="2666" w:hRule="atLeast"/>
        </w:trPr>
        <w:tc>
          <w:tcPr>
            <w:tcW w:w="8960" w:type="dxa"/>
            <w:gridSpan w:val="5"/>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5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BAUMER, Franklin. </w:t>
            </w:r>
            <w:r>
              <w:rPr>
                <w:rFonts w:ascii="Times New Roman" w:hAnsi="Times New Roman" w:eastAsia="Times New Roman" w:cs="Times New Roman"/>
                <w:b/>
                <w:color w:val="000000"/>
              </w:rPr>
              <w:t>O pensamento europeu moderno</w:t>
            </w:r>
            <w:r>
              <w:rPr>
                <w:rFonts w:ascii="Times New Roman" w:hAnsi="Times New Roman" w:eastAsia="Times New Roman" w:cs="Times New Roman"/>
                <w:i/>
                <w:color w:val="000000"/>
              </w:rPr>
              <w:t xml:space="preserve">. </w:t>
            </w:r>
            <w:r>
              <w:rPr>
                <w:rFonts w:ascii="Times New Roman" w:hAnsi="Times New Roman" w:eastAsia="Times New Roman" w:cs="Times New Roman"/>
                <w:color w:val="000000"/>
              </w:rPr>
              <w:t xml:space="preserve">Lisboa: Ed. 70, 1990, vol.1. DARNTON, Robert. </w:t>
            </w:r>
            <w:r>
              <w:rPr>
                <w:rFonts w:ascii="Times New Roman" w:hAnsi="Times New Roman" w:eastAsia="Times New Roman" w:cs="Times New Roman"/>
                <w:b/>
                <w:color w:val="000000"/>
              </w:rPr>
              <w:t xml:space="preserve">O grande massacre dos gatos. </w:t>
            </w:r>
            <w:r>
              <w:rPr>
                <w:rFonts w:ascii="Times New Roman" w:hAnsi="Times New Roman" w:eastAsia="Times New Roman" w:cs="Times New Roman"/>
                <w:color w:val="000000"/>
              </w:rPr>
              <w:t>Rio de Janeiro: Graal, 1986.</w:t>
            </w:r>
          </w:p>
          <w:p>
            <w:pPr>
              <w:widowControl w:val="0"/>
              <w:pBdr>
                <w:top w:val="none" w:color="auto" w:sz="0" w:space="0"/>
                <w:left w:val="none" w:color="auto" w:sz="0" w:space="0"/>
                <w:bottom w:val="none" w:color="auto" w:sz="0" w:space="0"/>
                <w:right w:val="none" w:color="auto" w:sz="0" w:space="0"/>
                <w:between w:val="none" w:color="auto" w:sz="0" w:space="0"/>
              </w:pBdr>
              <w:spacing w:before="6"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VILLARI, R. </w:t>
            </w:r>
            <w:r>
              <w:rPr>
                <w:rFonts w:ascii="Times New Roman" w:hAnsi="Times New Roman" w:eastAsia="Times New Roman" w:cs="Times New Roman"/>
                <w:b/>
                <w:color w:val="000000"/>
              </w:rPr>
              <w:t xml:space="preserve">O homem barroco. </w:t>
            </w:r>
            <w:r>
              <w:rPr>
                <w:rFonts w:ascii="Times New Roman" w:hAnsi="Times New Roman" w:eastAsia="Times New Roman" w:cs="Times New Roman"/>
                <w:color w:val="000000"/>
              </w:rPr>
              <w:t>Lisboa: Presença, 1995.</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VENTURI, Franco. </w:t>
            </w:r>
            <w:r>
              <w:rPr>
                <w:rFonts w:ascii="Times New Roman" w:hAnsi="Times New Roman" w:eastAsia="Times New Roman" w:cs="Times New Roman"/>
                <w:b/>
                <w:color w:val="000000"/>
              </w:rPr>
              <w:t>Utopia e reforma no Iluminismo</w:t>
            </w:r>
            <w:r>
              <w:rPr>
                <w:rFonts w:ascii="Times New Roman" w:hAnsi="Times New Roman" w:eastAsia="Times New Roman" w:cs="Times New Roman"/>
                <w:color w:val="000000"/>
              </w:rPr>
              <w:t>. Bauru: Edusc,2003.</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THOMPSON, E. P</w:t>
            </w:r>
            <w:r>
              <w:rPr>
                <w:rFonts w:ascii="Times New Roman" w:hAnsi="Times New Roman" w:eastAsia="Times New Roman" w:cs="Times New Roman"/>
                <w:b/>
                <w:i/>
                <w:color w:val="000000"/>
              </w:rPr>
              <w:t xml:space="preserve">. Costumes em comum </w:t>
            </w:r>
            <w:r>
              <w:rPr>
                <w:rFonts w:ascii="Times New Roman" w:hAnsi="Times New Roman" w:eastAsia="Times New Roman" w:cs="Times New Roman"/>
                <w:color w:val="000000"/>
              </w:rPr>
              <w:t>São Paulo: Cia. das Letras,1998.</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543"/>
        <w:tblW w:w="8991" w:type="dxa"/>
        <w:tblInd w:w="14" w:type="dxa"/>
        <w:tblLayout w:type="fixed"/>
        <w:tblCellMar>
          <w:top w:w="0" w:type="dxa"/>
          <w:left w:w="22" w:type="dxa"/>
          <w:bottom w:w="0" w:type="dxa"/>
          <w:right w:w="22" w:type="dxa"/>
        </w:tblCellMar>
      </w:tblPr>
      <w:tblGrid>
        <w:gridCol w:w="2901"/>
        <w:gridCol w:w="3030"/>
        <w:gridCol w:w="3060"/>
      </w:tblGrid>
      <w:tr>
        <w:tblPrEx>
          <w:tblCellMar>
            <w:top w:w="0" w:type="dxa"/>
            <w:left w:w="22" w:type="dxa"/>
            <w:bottom w:w="0" w:type="dxa"/>
            <w:right w:w="22" w:type="dxa"/>
          </w:tblCellMar>
        </w:tblPrEx>
        <w:trPr>
          <w:trHeight w:val="1655" w:hRule="atLeast"/>
        </w:trPr>
        <w:tc>
          <w:tcPr>
            <w:tcW w:w="5931" w:type="dxa"/>
            <w:gridSpan w:val="2"/>
            <w:tcBorders>
              <w:top w:val="single" w:color="000000" w:sz="18" w:space="0"/>
              <w:left w:val="single" w:color="000000" w:sz="18" w:space="0"/>
              <w:bottom w:val="single" w:color="000000" w:sz="6"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4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Nome do Componente Curricular em português: Seminário em História Moderna e Contemporânea X </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14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4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Seminar in Modern and Contemporary History X</w:t>
            </w:r>
          </w:p>
        </w:tc>
        <w:tc>
          <w:tcPr>
            <w:tcW w:w="3060" w:type="dxa"/>
            <w:tcBorders>
              <w:top w:val="single" w:color="000000" w:sz="18" w:space="0"/>
              <w:left w:val="single" w:color="000000" w:sz="6" w:space="0"/>
              <w:bottom w:val="single" w:color="000000" w:sz="6"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HIS280</w:t>
            </w:r>
          </w:p>
        </w:tc>
      </w:tr>
      <w:tr>
        <w:tblPrEx>
          <w:tblCellMar>
            <w:top w:w="0" w:type="dxa"/>
            <w:left w:w="22" w:type="dxa"/>
            <w:bottom w:w="0" w:type="dxa"/>
            <w:right w:w="22" w:type="dxa"/>
          </w:tblCellMar>
        </w:tblPrEx>
        <w:trPr>
          <w:trHeight w:val="830" w:hRule="atLeast"/>
        </w:trPr>
        <w:tc>
          <w:tcPr>
            <w:tcW w:w="5931" w:type="dxa"/>
            <w:gridSpan w:val="2"/>
            <w:tcBorders>
              <w:top w:val="single" w:color="000000" w:sz="6" w:space="0"/>
              <w:left w:val="single" w:color="000000" w:sz="18" w:space="0"/>
              <w:bottom w:val="single" w:color="000000" w:sz="6"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Departamento de História - DEHIS</w:t>
            </w:r>
          </w:p>
        </w:tc>
        <w:tc>
          <w:tcPr>
            <w:tcW w:w="3060" w:type="dxa"/>
            <w:tcBorders>
              <w:top w:val="single" w:color="000000" w:sz="6" w:space="0"/>
              <w:left w:val="single" w:color="000000" w:sz="6" w:space="0"/>
              <w:bottom w:val="single" w:color="000000" w:sz="6"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100" w:hRule="atLeast"/>
        </w:trPr>
        <w:tc>
          <w:tcPr>
            <w:tcW w:w="2901" w:type="dxa"/>
            <w:tcBorders>
              <w:top w:val="single" w:color="000000" w:sz="6" w:space="0"/>
              <w:left w:val="single" w:color="000000" w:sz="18" w:space="0"/>
              <w:bottom w:val="single" w:color="000000" w:sz="6"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semestral</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3030" w:type="dxa"/>
            <w:tcBorders>
              <w:top w:val="single" w:color="000000" w:sz="6" w:space="0"/>
              <w:left w:val="single" w:color="000000" w:sz="6" w:space="0"/>
              <w:bottom w:val="single" w:color="000000" w:sz="6"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04 horas/aula</w:t>
            </w:r>
          </w:p>
        </w:tc>
        <w:tc>
          <w:tcPr>
            <w:tcW w:w="3060" w:type="dxa"/>
            <w:tcBorders>
              <w:top w:val="single" w:color="000000" w:sz="6" w:space="0"/>
              <w:left w:val="single" w:color="000000" w:sz="6" w:space="0"/>
              <w:bottom w:val="single" w:color="000000" w:sz="6"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02 horas/aula</w:t>
            </w:r>
          </w:p>
        </w:tc>
      </w:tr>
      <w:tr>
        <w:tblPrEx>
          <w:tblCellMar>
            <w:top w:w="0" w:type="dxa"/>
            <w:left w:w="22" w:type="dxa"/>
            <w:bottom w:w="0" w:type="dxa"/>
            <w:right w:w="22" w:type="dxa"/>
          </w:tblCellMar>
        </w:tblPrEx>
        <w:trPr>
          <w:trHeight w:val="1656" w:hRule="atLeast"/>
        </w:trPr>
        <w:tc>
          <w:tcPr>
            <w:tcW w:w="8991" w:type="dxa"/>
            <w:gridSpan w:val="3"/>
            <w:tcBorders>
              <w:top w:val="single" w:color="000000" w:sz="6" w:space="0"/>
              <w:left w:val="single" w:color="000000" w:sz="18" w:space="0"/>
              <w:bottom w:val="single" w:color="000000" w:sz="6"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3"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Imprensa como um “quarto poder” informando e difundindo notícias e ideias. A multiplicação dos suportes midiáticos e das possibilidades de produção e acesso aos conteúdos suas implicações em transformações importantes na sociedade. Análise</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desses mecanismos de (in)formação e a produção de sentidos.</w:t>
            </w:r>
          </w:p>
        </w:tc>
      </w:tr>
      <w:tr>
        <w:tblPrEx>
          <w:tblCellMar>
            <w:top w:w="0" w:type="dxa"/>
            <w:left w:w="22" w:type="dxa"/>
            <w:bottom w:w="0" w:type="dxa"/>
            <w:right w:w="22" w:type="dxa"/>
          </w:tblCellMar>
        </w:tblPrEx>
        <w:trPr>
          <w:trHeight w:val="2642" w:hRule="atLeast"/>
        </w:trPr>
        <w:tc>
          <w:tcPr>
            <w:tcW w:w="8991" w:type="dxa"/>
            <w:gridSpan w:val="3"/>
            <w:tcBorders>
              <w:top w:val="single" w:color="000000" w:sz="6" w:space="0"/>
              <w:left w:val="single" w:color="000000" w:sz="18" w:space="0"/>
              <w:bottom w:val="single" w:color="000000" w:sz="6"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numPr>
                <w:ilvl w:val="0"/>
                <w:numId w:val="49"/>
              </w:numPr>
              <w:pBdr>
                <w:top w:val="none" w:color="auto" w:sz="0" w:space="0"/>
                <w:left w:val="none" w:color="auto" w:sz="0" w:space="0"/>
                <w:bottom w:val="none" w:color="auto" w:sz="0" w:space="0"/>
                <w:right w:val="none" w:color="auto" w:sz="0" w:space="0"/>
                <w:between w:val="none" w:color="auto" w:sz="0" w:space="0"/>
              </w:pBdr>
              <w:spacing w:before="14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História da imprensa;</w:t>
            </w:r>
          </w:p>
          <w:p>
            <w:pPr>
              <w:widowControl w:val="0"/>
              <w:numPr>
                <w:ilvl w:val="0"/>
                <w:numId w:val="49"/>
              </w:num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Literatura e jornalismo;</w:t>
            </w:r>
          </w:p>
          <w:p>
            <w:pPr>
              <w:widowControl w:val="0"/>
              <w:numPr>
                <w:ilvl w:val="0"/>
                <w:numId w:val="49"/>
              </w:num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Jornalismo e indústria cultural;</w:t>
            </w:r>
          </w:p>
          <w:p>
            <w:pPr>
              <w:widowControl w:val="0"/>
              <w:numPr>
                <w:ilvl w:val="0"/>
                <w:numId w:val="49"/>
              </w:num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Jornalismo político;</w:t>
            </w:r>
          </w:p>
          <w:p>
            <w:pPr>
              <w:widowControl w:val="0"/>
              <w:numPr>
                <w:ilvl w:val="0"/>
                <w:numId w:val="49"/>
              </w:num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Interesses públicos e privados nas páginas da imprensa;</w:t>
            </w:r>
          </w:p>
        </w:tc>
      </w:tr>
      <w:tr>
        <w:tblPrEx>
          <w:tblCellMar>
            <w:top w:w="0" w:type="dxa"/>
            <w:left w:w="22" w:type="dxa"/>
            <w:bottom w:w="0" w:type="dxa"/>
            <w:right w:w="22" w:type="dxa"/>
          </w:tblCellMar>
        </w:tblPrEx>
        <w:trPr>
          <w:trHeight w:val="2953" w:hRule="atLeast"/>
        </w:trPr>
        <w:tc>
          <w:tcPr>
            <w:tcW w:w="8991" w:type="dxa"/>
            <w:gridSpan w:val="3"/>
            <w:tcBorders>
              <w:top w:val="single" w:color="000000" w:sz="6" w:space="0"/>
              <w:left w:val="single" w:color="000000" w:sz="18" w:space="0"/>
              <w:bottom w:val="single" w:color="000000" w:sz="6"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BURKE, Peter &amp; BRIGGS, Asa. </w:t>
            </w:r>
            <w:r>
              <w:rPr>
                <w:rFonts w:ascii="Times New Roman" w:hAnsi="Times New Roman" w:eastAsia="Times New Roman" w:cs="Times New Roman"/>
                <w:b/>
                <w:color w:val="000000"/>
              </w:rPr>
              <w:t xml:space="preserve">Uma história social da mídia. </w:t>
            </w:r>
            <w:r>
              <w:rPr>
                <w:rFonts w:ascii="Times New Roman" w:hAnsi="Times New Roman" w:eastAsia="Times New Roman" w:cs="Times New Roman"/>
                <w:color w:val="000000"/>
              </w:rPr>
              <w:t>Rio de Janeiro: Jorge Zahar, 2004.</w:t>
            </w: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right="136"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HABERMAS, Jürgen. </w:t>
            </w:r>
            <w:r>
              <w:rPr>
                <w:rFonts w:ascii="Times New Roman" w:hAnsi="Times New Roman" w:eastAsia="Times New Roman" w:cs="Times New Roman"/>
                <w:b/>
                <w:color w:val="000000"/>
              </w:rPr>
              <w:t xml:space="preserve">Mudança Estrutural da Esfera Pública. </w:t>
            </w:r>
            <w:r>
              <w:rPr>
                <w:rFonts w:ascii="Times New Roman" w:hAnsi="Times New Roman" w:eastAsia="Times New Roman" w:cs="Times New Roman"/>
                <w:color w:val="000000"/>
              </w:rPr>
              <w:t>Rio de Janeiro: Tempo Brasileiro, 1984.</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LUCA, T. &amp; MARTINS, A. L. </w:t>
            </w:r>
            <w:r>
              <w:rPr>
                <w:rFonts w:ascii="Times New Roman" w:hAnsi="Times New Roman" w:eastAsia="Times New Roman" w:cs="Times New Roman"/>
                <w:b/>
                <w:color w:val="000000"/>
              </w:rPr>
              <w:t xml:space="preserve">História da imprensa no Brasil. </w:t>
            </w:r>
            <w:r>
              <w:rPr>
                <w:rFonts w:ascii="Times New Roman" w:hAnsi="Times New Roman" w:eastAsia="Times New Roman" w:cs="Times New Roman"/>
                <w:color w:val="000000"/>
              </w:rPr>
              <w:t>2. ed. São Paulo: Contexto 2011.</w:t>
            </w:r>
          </w:p>
        </w:tc>
      </w:tr>
      <w:tr>
        <w:tblPrEx>
          <w:tblCellMar>
            <w:top w:w="0" w:type="dxa"/>
            <w:left w:w="22" w:type="dxa"/>
            <w:bottom w:w="0" w:type="dxa"/>
            <w:right w:w="22" w:type="dxa"/>
          </w:tblCellMar>
        </w:tblPrEx>
        <w:trPr>
          <w:trHeight w:val="690" w:hRule="atLeast"/>
        </w:trPr>
        <w:tc>
          <w:tcPr>
            <w:tcW w:w="8991" w:type="dxa"/>
            <w:gridSpan w:val="3"/>
            <w:tcBorders>
              <w:top w:val="single" w:color="000000" w:sz="6"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BAHIA, Juarez. </w:t>
            </w:r>
            <w:r>
              <w:rPr>
                <w:rFonts w:ascii="Times New Roman" w:hAnsi="Times New Roman" w:eastAsia="Times New Roman" w:cs="Times New Roman"/>
                <w:b/>
                <w:color w:val="000000"/>
              </w:rPr>
              <w:t xml:space="preserve">Jornal, história e técnica. </w:t>
            </w:r>
            <w:r>
              <w:rPr>
                <w:rFonts w:ascii="Times New Roman" w:hAnsi="Times New Roman" w:eastAsia="Times New Roman" w:cs="Times New Roman"/>
                <w:color w:val="000000"/>
              </w:rPr>
              <w:t>São Paulo, Ática, 1990.</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BARBOSA, Marialva. </w:t>
            </w:r>
            <w:r>
              <w:rPr>
                <w:rFonts w:ascii="Times New Roman" w:hAnsi="Times New Roman" w:eastAsia="Times New Roman" w:cs="Times New Roman"/>
                <w:b/>
                <w:color w:val="000000"/>
              </w:rPr>
              <w:t>História cultural da imprensa: Brasil, 1900-2000</w:t>
            </w:r>
            <w:r>
              <w:rPr>
                <w:rFonts w:ascii="Times New Roman" w:hAnsi="Times New Roman" w:eastAsia="Times New Roman" w:cs="Times New Roman"/>
                <w:color w:val="000000"/>
              </w:rPr>
              <w:t>. Rio de Janeiro: Mauad,2010.</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MELO, José Marques de. </w:t>
            </w:r>
            <w:r>
              <w:rPr>
                <w:rFonts w:ascii="Times New Roman" w:hAnsi="Times New Roman" w:eastAsia="Times New Roman" w:cs="Times New Roman"/>
                <w:b/>
                <w:color w:val="000000"/>
              </w:rPr>
              <w:t xml:space="preserve">História política das ciências da comunicação. </w:t>
            </w:r>
            <w:r>
              <w:rPr>
                <w:rFonts w:ascii="Times New Roman" w:hAnsi="Times New Roman" w:eastAsia="Times New Roman" w:cs="Times New Roman"/>
                <w:color w:val="000000"/>
              </w:rPr>
              <w:t>Rio de Janeiro: Mauad,2008.</w:t>
            </w:r>
          </w:p>
          <w:p>
            <w:pPr>
              <w:widowControl w:val="0"/>
              <w:pBdr>
                <w:top w:val="none" w:color="auto" w:sz="0" w:space="0"/>
                <w:left w:val="none" w:color="auto" w:sz="0" w:space="0"/>
                <w:bottom w:val="none" w:color="auto" w:sz="0" w:space="0"/>
                <w:right w:val="none" w:color="auto" w:sz="0" w:space="0"/>
                <w:between w:val="none" w:color="auto" w:sz="0" w:space="0"/>
              </w:pBdr>
              <w:tabs>
                <w:tab w:val="left" w:pos="1311"/>
              </w:tabs>
              <w:spacing w:line="360" w:lineRule="auto"/>
              <w:ind w:left="0" w:right="136" w:hanging="2"/>
              <w:rPr>
                <w:rFonts w:ascii="Times New Roman" w:hAnsi="Times New Roman" w:eastAsia="Times New Roman" w:cs="Times New Roman"/>
                <w:color w:val="000000"/>
              </w:rPr>
            </w:pPr>
            <w:r>
              <w:rPr>
                <w:rFonts w:ascii="Times New Roman" w:hAnsi="Times New Roman" w:eastAsia="Times New Roman" w:cs="Times New Roman"/>
                <w:color w:val="000000"/>
                <w:u w:val="single"/>
              </w:rPr>
              <w:tab/>
            </w:r>
            <w:r>
              <w:rPr>
                <w:rFonts w:ascii="Times New Roman" w:hAnsi="Times New Roman" w:eastAsia="Times New Roman" w:cs="Times New Roman"/>
                <w:color w:val="000000"/>
              </w:rPr>
              <w:t xml:space="preserve">. </w:t>
            </w:r>
            <w:r>
              <w:rPr>
                <w:rFonts w:ascii="Times New Roman" w:hAnsi="Times New Roman" w:eastAsia="Times New Roman" w:cs="Times New Roman"/>
                <w:b/>
                <w:color w:val="000000"/>
              </w:rPr>
              <w:t>Imprensa brasileira: personagens que fizeram história</w:t>
            </w:r>
            <w:r>
              <w:rPr>
                <w:rFonts w:ascii="Times New Roman" w:hAnsi="Times New Roman" w:eastAsia="Times New Roman" w:cs="Times New Roman"/>
                <w:color w:val="000000"/>
              </w:rPr>
              <w:t>. São Paulo: UMESP Imprensa Oficial2005.</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WAINER, Samuel. </w:t>
            </w:r>
            <w:r>
              <w:rPr>
                <w:rFonts w:ascii="Times New Roman" w:hAnsi="Times New Roman" w:eastAsia="Times New Roman" w:cs="Times New Roman"/>
                <w:b/>
                <w:color w:val="000000"/>
              </w:rPr>
              <w:t xml:space="preserve">Minha razão de viver: memórias de um repórter. </w:t>
            </w:r>
            <w:r>
              <w:rPr>
                <w:rFonts w:ascii="Times New Roman" w:hAnsi="Times New Roman" w:eastAsia="Times New Roman" w:cs="Times New Roman"/>
                <w:color w:val="000000"/>
              </w:rPr>
              <w:t>Rio de Janeiro: Record1989.</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544"/>
        <w:tblW w:w="9021" w:type="dxa"/>
        <w:tblInd w:w="2" w:type="dxa"/>
        <w:tblLayout w:type="fixed"/>
        <w:tblCellMar>
          <w:top w:w="0" w:type="dxa"/>
          <w:left w:w="22" w:type="dxa"/>
          <w:bottom w:w="0" w:type="dxa"/>
          <w:right w:w="5" w:type="dxa"/>
        </w:tblCellMar>
      </w:tblPr>
      <w:tblGrid>
        <w:gridCol w:w="2902"/>
        <w:gridCol w:w="3121"/>
        <w:gridCol w:w="2998"/>
      </w:tblGrid>
      <w:tr>
        <w:tblPrEx>
          <w:tblCellMar>
            <w:top w:w="0" w:type="dxa"/>
            <w:left w:w="22" w:type="dxa"/>
            <w:bottom w:w="0" w:type="dxa"/>
            <w:right w:w="5" w:type="dxa"/>
          </w:tblCellMar>
        </w:tblPrEx>
        <w:trPr>
          <w:trHeight w:val="2068" w:hRule="atLeast"/>
        </w:trPr>
        <w:tc>
          <w:tcPr>
            <w:tcW w:w="6023"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4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Seminário em História Moderna e Contemporânea XI</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627"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Seminar in Modern and Contemporary History XI</w:t>
            </w:r>
          </w:p>
        </w:tc>
        <w:tc>
          <w:tcPr>
            <w:tcW w:w="2998"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HIS281</w:t>
            </w:r>
          </w:p>
        </w:tc>
      </w:tr>
      <w:tr>
        <w:tblPrEx>
          <w:tblCellMar>
            <w:top w:w="0" w:type="dxa"/>
            <w:left w:w="22" w:type="dxa"/>
            <w:bottom w:w="0" w:type="dxa"/>
            <w:right w:w="5" w:type="dxa"/>
          </w:tblCellMar>
        </w:tblPrEx>
        <w:trPr>
          <w:trHeight w:val="830" w:hRule="atLeast"/>
        </w:trPr>
        <w:tc>
          <w:tcPr>
            <w:tcW w:w="6023"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Departamento de História - DEHIS</w:t>
            </w:r>
          </w:p>
        </w:tc>
        <w:tc>
          <w:tcPr>
            <w:tcW w:w="2998"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ICHS</w:t>
            </w:r>
          </w:p>
        </w:tc>
      </w:tr>
      <w:tr>
        <w:tblPrEx>
          <w:tblCellMar>
            <w:top w:w="0" w:type="dxa"/>
            <w:left w:w="22" w:type="dxa"/>
            <w:bottom w:w="0" w:type="dxa"/>
            <w:right w:w="5" w:type="dxa"/>
          </w:tblCellMar>
        </w:tblPrEx>
        <w:trPr>
          <w:trHeight w:val="1101" w:hRule="atLeast"/>
        </w:trPr>
        <w:tc>
          <w:tcPr>
            <w:tcW w:w="2902"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502"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3" w:line="240" w:lineRule="auto"/>
              <w:ind w:left="0" w:right="717"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semestral 90 horas</w:t>
            </w:r>
          </w:p>
        </w:tc>
        <w:tc>
          <w:tcPr>
            <w:tcW w:w="3121"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2998"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 02 horas/aula</w:t>
            </w:r>
          </w:p>
        </w:tc>
      </w:tr>
      <w:tr>
        <w:tblPrEx>
          <w:tblCellMar>
            <w:top w:w="0" w:type="dxa"/>
            <w:left w:w="22" w:type="dxa"/>
            <w:bottom w:w="0" w:type="dxa"/>
            <w:right w:w="5" w:type="dxa"/>
          </w:tblCellMar>
        </w:tblPrEx>
        <w:trPr>
          <w:trHeight w:val="1660"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Ementa:</w:t>
            </w:r>
          </w:p>
          <w:p>
            <w:pPr>
              <w:widowControl w:val="0"/>
              <w:pBdr>
                <w:top w:val="none" w:color="auto" w:sz="0" w:space="0"/>
                <w:left w:val="none" w:color="auto" w:sz="0" w:space="0"/>
                <w:bottom w:val="none" w:color="auto" w:sz="0" w:space="0"/>
                <w:right w:val="none" w:color="auto" w:sz="0" w:space="0"/>
                <w:between w:val="none" w:color="auto" w:sz="0" w:space="0"/>
              </w:pBdr>
              <w:spacing w:before="3" w:line="240" w:lineRule="auto"/>
              <w:ind w:left="0" w:right="68"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Estudo de Temas sobre a noção de modernidade, visando o aprofundamento de questões selecionadas pelo professor ministrante e constante do programa da disciplina de História Moderna.</w:t>
            </w:r>
          </w:p>
        </w:tc>
      </w:tr>
      <w:tr>
        <w:tblPrEx>
          <w:tblCellMar>
            <w:top w:w="0" w:type="dxa"/>
            <w:left w:w="22" w:type="dxa"/>
            <w:bottom w:w="0" w:type="dxa"/>
            <w:right w:w="5" w:type="dxa"/>
          </w:tblCellMar>
        </w:tblPrEx>
        <w:trPr>
          <w:trHeight w:val="2482"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numPr>
                <w:ilvl w:val="0"/>
                <w:numId w:val="50"/>
              </w:numPr>
              <w:pBdr>
                <w:top w:val="none" w:color="auto" w:sz="0" w:space="0"/>
                <w:left w:val="none" w:color="auto" w:sz="0" w:space="0"/>
                <w:bottom w:val="none" w:color="auto" w:sz="0" w:space="0"/>
                <w:right w:val="none" w:color="auto" w:sz="0" w:space="0"/>
                <w:between w:val="none" w:color="auto" w:sz="0" w:space="0"/>
              </w:pBdr>
              <w:tabs>
                <w:tab w:val="left" w:pos="0"/>
                <w:tab w:val="left" w:pos="376"/>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 formação dos Estados Nacionais Modernos.</w:t>
            </w:r>
          </w:p>
          <w:p>
            <w:pPr>
              <w:widowControl w:val="0"/>
              <w:numPr>
                <w:ilvl w:val="0"/>
                <w:numId w:val="50"/>
              </w:numPr>
              <w:pBdr>
                <w:top w:val="none" w:color="auto" w:sz="0" w:space="0"/>
                <w:left w:val="none" w:color="auto" w:sz="0" w:space="0"/>
                <w:bottom w:val="none" w:color="auto" w:sz="0" w:space="0"/>
                <w:right w:val="none" w:color="auto" w:sz="0" w:space="0"/>
                <w:between w:val="none" w:color="auto" w:sz="0" w:space="0"/>
              </w:pBdr>
              <w:tabs>
                <w:tab w:val="left" w:pos="0"/>
                <w:tab w:val="left" w:pos="376"/>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O conceito de modernidade.</w:t>
            </w:r>
          </w:p>
          <w:p>
            <w:pPr>
              <w:widowControl w:val="0"/>
              <w:numPr>
                <w:ilvl w:val="0"/>
                <w:numId w:val="50"/>
              </w:numPr>
              <w:pBdr>
                <w:top w:val="none" w:color="auto" w:sz="0" w:space="0"/>
                <w:left w:val="none" w:color="auto" w:sz="0" w:space="0"/>
                <w:bottom w:val="none" w:color="auto" w:sz="0" w:space="0"/>
                <w:right w:val="none" w:color="auto" w:sz="0" w:space="0"/>
                <w:between w:val="none" w:color="auto" w:sz="0" w:space="0"/>
              </w:pBdr>
              <w:tabs>
                <w:tab w:val="left" w:pos="0"/>
                <w:tab w:val="left" w:pos="376"/>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 expansão marítima e comercial.</w:t>
            </w:r>
          </w:p>
          <w:p>
            <w:pPr>
              <w:widowControl w:val="0"/>
              <w:numPr>
                <w:ilvl w:val="0"/>
                <w:numId w:val="50"/>
              </w:numPr>
              <w:pBdr>
                <w:top w:val="none" w:color="auto" w:sz="0" w:space="0"/>
                <w:left w:val="none" w:color="auto" w:sz="0" w:space="0"/>
                <w:bottom w:val="none" w:color="auto" w:sz="0" w:space="0"/>
                <w:right w:val="none" w:color="auto" w:sz="0" w:space="0"/>
                <w:between w:val="none" w:color="auto" w:sz="0" w:space="0"/>
              </w:pBdr>
              <w:tabs>
                <w:tab w:val="left" w:pos="0"/>
                <w:tab w:val="left" w:pos="376"/>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 Reforma e a Contra-Reforma.</w:t>
            </w:r>
          </w:p>
          <w:p>
            <w:pPr>
              <w:widowControl w:val="0"/>
              <w:numPr>
                <w:ilvl w:val="0"/>
                <w:numId w:val="50"/>
              </w:numPr>
              <w:pBdr>
                <w:top w:val="none" w:color="auto" w:sz="0" w:space="0"/>
                <w:left w:val="none" w:color="auto" w:sz="0" w:space="0"/>
                <w:bottom w:val="none" w:color="auto" w:sz="0" w:space="0"/>
                <w:right w:val="none" w:color="auto" w:sz="0" w:space="0"/>
                <w:between w:val="none" w:color="auto" w:sz="0" w:space="0"/>
              </w:pBdr>
              <w:tabs>
                <w:tab w:val="left" w:pos="0"/>
                <w:tab w:val="left" w:pos="376"/>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O Renascimento cultural.</w:t>
            </w:r>
          </w:p>
        </w:tc>
      </w:tr>
      <w:tr>
        <w:tblPrEx>
          <w:tblCellMar>
            <w:top w:w="0" w:type="dxa"/>
            <w:left w:w="22" w:type="dxa"/>
            <w:bottom w:w="0" w:type="dxa"/>
            <w:right w:w="5" w:type="dxa"/>
          </w:tblCellMar>
        </w:tblPrEx>
        <w:trPr>
          <w:trHeight w:val="2209"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ANDERSON, Perry. </w:t>
            </w:r>
            <w:r>
              <w:rPr>
                <w:rFonts w:ascii="Times New Roman" w:hAnsi="Times New Roman" w:eastAsia="Times New Roman" w:cs="Times New Roman"/>
                <w:b/>
                <w:color w:val="000000"/>
              </w:rPr>
              <w:t xml:space="preserve">Linhagens do estado absolutista. </w:t>
            </w:r>
            <w:r>
              <w:rPr>
                <w:rFonts w:ascii="Times New Roman" w:hAnsi="Times New Roman" w:eastAsia="Times New Roman" w:cs="Times New Roman"/>
                <w:color w:val="000000"/>
              </w:rPr>
              <w:t xml:space="preserve">São Paulo: Brasiliense, 1995. BAKHTIN, Mikhail. </w:t>
            </w:r>
            <w:r>
              <w:rPr>
                <w:rFonts w:ascii="Times New Roman" w:hAnsi="Times New Roman" w:eastAsia="Times New Roman" w:cs="Times New Roman"/>
                <w:b/>
                <w:color w:val="000000"/>
              </w:rPr>
              <w:t xml:space="preserve">A cultura popular na idade média e no Renascimento: o contexto de François rabelais. </w:t>
            </w:r>
            <w:r>
              <w:rPr>
                <w:rFonts w:ascii="Times New Roman" w:hAnsi="Times New Roman" w:eastAsia="Times New Roman" w:cs="Times New Roman"/>
                <w:color w:val="000000"/>
              </w:rPr>
              <w:t>São Paulo: Hucitec, 1987.</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BLOCH, Marc. </w:t>
            </w:r>
            <w:r>
              <w:rPr>
                <w:rFonts w:ascii="Times New Roman" w:hAnsi="Times New Roman" w:eastAsia="Times New Roman" w:cs="Times New Roman"/>
                <w:b/>
                <w:color w:val="000000"/>
              </w:rPr>
              <w:t xml:space="preserve">Os Reis Taumaturgos. </w:t>
            </w:r>
            <w:r>
              <w:rPr>
                <w:rFonts w:ascii="Times New Roman" w:hAnsi="Times New Roman" w:eastAsia="Times New Roman" w:cs="Times New Roman"/>
                <w:color w:val="000000"/>
              </w:rPr>
              <w:t>São Paulo: Companhia das Letras, 1993.</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p>
        </w:tc>
      </w:tr>
      <w:tr>
        <w:tblPrEx>
          <w:tblCellMar>
            <w:top w:w="0" w:type="dxa"/>
            <w:left w:w="22" w:type="dxa"/>
            <w:bottom w:w="0" w:type="dxa"/>
            <w:right w:w="5" w:type="dxa"/>
          </w:tblCellMar>
        </w:tblPrEx>
        <w:trPr>
          <w:trHeight w:val="1447"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7"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BURCKHARDT, Jacob. </w:t>
            </w:r>
            <w:r>
              <w:rPr>
                <w:rFonts w:ascii="Times New Roman" w:hAnsi="Times New Roman" w:eastAsia="Times New Roman" w:cs="Times New Roman"/>
                <w:b/>
                <w:color w:val="000000"/>
              </w:rPr>
              <w:t>A cultura do Renascimento na Itália</w:t>
            </w:r>
            <w:r>
              <w:rPr>
                <w:rFonts w:ascii="Times New Roman" w:hAnsi="Times New Roman" w:eastAsia="Times New Roman" w:cs="Times New Roman"/>
                <w:i/>
                <w:color w:val="000000"/>
              </w:rPr>
              <w:t xml:space="preserve">. </w:t>
            </w:r>
            <w:r>
              <w:rPr>
                <w:rFonts w:ascii="Times New Roman" w:hAnsi="Times New Roman" w:eastAsia="Times New Roman" w:cs="Times New Roman"/>
                <w:color w:val="000000"/>
              </w:rPr>
              <w:t>SP: Cias das Letras, 1991.</w:t>
            </w: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right="62"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BURKE, Peter. </w:t>
            </w:r>
            <w:r>
              <w:rPr>
                <w:rFonts w:ascii="Times New Roman" w:hAnsi="Times New Roman" w:eastAsia="Times New Roman" w:cs="Times New Roman"/>
                <w:b/>
                <w:color w:val="000000"/>
              </w:rPr>
              <w:t xml:space="preserve">A cultura popular na Idade Moderna: Europa 1500-1800. </w:t>
            </w:r>
            <w:r>
              <w:rPr>
                <w:rFonts w:ascii="Times New Roman" w:hAnsi="Times New Roman" w:eastAsia="Times New Roman" w:cs="Times New Roman"/>
                <w:color w:val="000000"/>
              </w:rPr>
              <w:t>São Paulo, Cia das Letras, 1991.</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8"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CHARTIER, Roger. </w:t>
            </w:r>
            <w:r>
              <w:rPr>
                <w:rFonts w:ascii="Times New Roman" w:hAnsi="Times New Roman" w:eastAsia="Times New Roman" w:cs="Times New Roman"/>
                <w:b/>
                <w:color w:val="000000"/>
              </w:rPr>
              <w:t xml:space="preserve">A história cultural: entrepráticas e representações. </w:t>
            </w:r>
            <w:r>
              <w:rPr>
                <w:rFonts w:ascii="Times New Roman" w:hAnsi="Times New Roman" w:eastAsia="Times New Roman" w:cs="Times New Roman"/>
                <w:color w:val="000000"/>
              </w:rPr>
              <w:t>Lisboa: DIFEL; Rio de Janeiro: Bertrand, 1990.</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4"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DARNTON, R. </w:t>
            </w:r>
            <w:r>
              <w:rPr>
                <w:rFonts w:ascii="Times New Roman" w:hAnsi="Times New Roman" w:eastAsia="Times New Roman" w:cs="Times New Roman"/>
                <w:b/>
                <w:color w:val="000000"/>
              </w:rPr>
              <w:t xml:space="preserve">Os dentes falsos de George Washington: um guia não convencional para o século XVIII. </w:t>
            </w:r>
            <w:r>
              <w:rPr>
                <w:rFonts w:ascii="Times New Roman" w:hAnsi="Times New Roman" w:eastAsia="Times New Roman" w:cs="Times New Roman"/>
                <w:color w:val="000000"/>
              </w:rPr>
              <w:t>Tradução de José Geraldo Couto. São Paulo: Companhia das Letras,2005.</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9"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DARNTON, Robert. </w:t>
            </w:r>
            <w:r>
              <w:rPr>
                <w:rFonts w:ascii="Times New Roman" w:hAnsi="Times New Roman" w:eastAsia="Times New Roman" w:cs="Times New Roman"/>
                <w:b/>
                <w:color w:val="000000"/>
              </w:rPr>
              <w:t>O grande massacre dos gatos e outros episódios da história cultural francesa</w:t>
            </w:r>
            <w:r>
              <w:rPr>
                <w:rFonts w:ascii="Times New Roman" w:hAnsi="Times New Roman" w:eastAsia="Times New Roman" w:cs="Times New Roman"/>
                <w:color w:val="000000"/>
              </w:rPr>
              <w:t>. Rio de Janeiro: Graal, 1986.</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DAVIS, Natalie Zemon. </w:t>
            </w:r>
            <w:r>
              <w:rPr>
                <w:rFonts w:ascii="Times New Roman" w:hAnsi="Times New Roman" w:eastAsia="Times New Roman" w:cs="Times New Roman"/>
                <w:b/>
                <w:color w:val="000000"/>
              </w:rPr>
              <w:t xml:space="preserve">Culturas do povo: sociedade e cultura no início da França Moderna. </w:t>
            </w:r>
            <w:r>
              <w:rPr>
                <w:rFonts w:ascii="Times New Roman" w:hAnsi="Times New Roman" w:eastAsia="Times New Roman" w:cs="Times New Roman"/>
                <w:color w:val="000000"/>
              </w:rPr>
              <w:t>Rio de Janeiro: Paz e Terra, 1990.</w:t>
            </w:r>
          </w:p>
        </w:tc>
      </w:tr>
    </w:tbl>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3" w:after="140" w:line="288" w:lineRule="auto"/>
        <w:ind w:left="0" w:hanging="2"/>
        <w:rPr>
          <w:rFonts w:ascii="Times New Roman" w:hAnsi="Times New Roman" w:eastAsia="Times New Roman" w:cs="Times New Roman"/>
          <w:color w:val="000000"/>
        </w:rPr>
      </w:pPr>
    </w:p>
    <w:tbl>
      <w:tblPr>
        <w:tblStyle w:val="545"/>
        <w:tblW w:w="9021" w:type="dxa"/>
        <w:tblInd w:w="2" w:type="dxa"/>
        <w:tblLayout w:type="fixed"/>
        <w:tblCellMar>
          <w:top w:w="0" w:type="dxa"/>
          <w:left w:w="22" w:type="dxa"/>
          <w:bottom w:w="0" w:type="dxa"/>
          <w:right w:w="5" w:type="dxa"/>
        </w:tblCellMar>
      </w:tblPr>
      <w:tblGrid>
        <w:gridCol w:w="2830"/>
        <w:gridCol w:w="2959"/>
        <w:gridCol w:w="3232"/>
      </w:tblGrid>
      <w:tr>
        <w:tblPrEx>
          <w:tblCellMar>
            <w:top w:w="0" w:type="dxa"/>
            <w:left w:w="22" w:type="dxa"/>
            <w:bottom w:w="0" w:type="dxa"/>
            <w:right w:w="5" w:type="dxa"/>
          </w:tblCellMar>
        </w:tblPrEx>
        <w:trPr>
          <w:trHeight w:val="2068" w:hRule="atLeast"/>
        </w:trPr>
        <w:tc>
          <w:tcPr>
            <w:tcW w:w="5789"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Seminário em História Moderna e Contemporânea XII</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502"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Seminary in Modern and Contemporary History XII</w:t>
            </w:r>
          </w:p>
        </w:tc>
        <w:tc>
          <w:tcPr>
            <w:tcW w:w="3232"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HIS282</w:t>
            </w:r>
          </w:p>
        </w:tc>
      </w:tr>
      <w:tr>
        <w:tblPrEx>
          <w:tblCellMar>
            <w:top w:w="0" w:type="dxa"/>
            <w:left w:w="22" w:type="dxa"/>
            <w:bottom w:w="0" w:type="dxa"/>
            <w:right w:w="5" w:type="dxa"/>
          </w:tblCellMar>
        </w:tblPrEx>
        <w:trPr>
          <w:trHeight w:val="830" w:hRule="atLeast"/>
        </w:trPr>
        <w:tc>
          <w:tcPr>
            <w:tcW w:w="5789"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w:t>
            </w:r>
          </w:p>
          <w:p>
            <w:pPr>
              <w:widowControl w:val="0"/>
              <w:pBdr>
                <w:top w:val="none" w:color="auto" w:sz="0" w:space="0"/>
                <w:left w:val="none" w:color="auto" w:sz="0" w:space="0"/>
                <w:bottom w:val="none" w:color="auto" w:sz="0" w:space="0"/>
                <w:right w:val="none" w:color="auto" w:sz="0" w:space="0"/>
                <w:between w:val="none" w:color="auto" w:sz="0" w:space="0"/>
              </w:pBdr>
              <w:spacing w:before="14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Departamento de História - DEHIS</w:t>
            </w:r>
          </w:p>
        </w:tc>
        <w:tc>
          <w:tcPr>
            <w:tcW w:w="3232"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w:t>
            </w:r>
          </w:p>
          <w:p>
            <w:pPr>
              <w:widowControl w:val="0"/>
              <w:pBdr>
                <w:top w:val="none" w:color="auto" w:sz="0" w:space="0"/>
                <w:left w:val="none" w:color="auto" w:sz="0" w:space="0"/>
                <w:bottom w:val="none" w:color="auto" w:sz="0" w:space="0"/>
                <w:right w:val="none" w:color="auto" w:sz="0" w:space="0"/>
                <w:between w:val="none" w:color="auto" w:sz="0" w:space="0"/>
              </w:pBdr>
              <w:spacing w:before="14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ICHS</w:t>
            </w:r>
          </w:p>
        </w:tc>
      </w:tr>
      <w:tr>
        <w:tblPrEx>
          <w:tblCellMar>
            <w:top w:w="0" w:type="dxa"/>
            <w:left w:w="22" w:type="dxa"/>
            <w:bottom w:w="0" w:type="dxa"/>
            <w:right w:w="5" w:type="dxa"/>
          </w:tblCellMar>
        </w:tblPrEx>
        <w:trPr>
          <w:trHeight w:val="1238" w:hRule="atLeast"/>
        </w:trPr>
        <w:tc>
          <w:tcPr>
            <w:tcW w:w="2830" w:type="dxa"/>
            <w:tcBorders>
              <w:top w:val="single" w:color="000000" w:sz="4" w:space="0"/>
              <w:left w:val="single" w:color="000000" w:sz="18"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3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3" w:line="240" w:lineRule="auto"/>
              <w:ind w:left="0" w:right="645"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semestral </w:t>
            </w:r>
          </w:p>
          <w:p>
            <w:pPr>
              <w:widowControl w:val="0"/>
              <w:pBdr>
                <w:top w:val="none" w:color="auto" w:sz="0" w:space="0"/>
                <w:left w:val="none" w:color="auto" w:sz="0" w:space="0"/>
                <w:bottom w:val="none" w:color="auto" w:sz="0" w:space="0"/>
                <w:right w:val="none" w:color="auto" w:sz="0" w:space="0"/>
                <w:between w:val="none" w:color="auto" w:sz="0" w:space="0"/>
              </w:pBdr>
              <w:spacing w:before="3" w:line="240" w:lineRule="auto"/>
              <w:ind w:left="0" w:right="645"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2959"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Carga horária semanal teórica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04 horas/aula</w:t>
            </w:r>
          </w:p>
        </w:tc>
        <w:tc>
          <w:tcPr>
            <w:tcW w:w="3232"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 prática 02 horas/aula</w:t>
            </w:r>
          </w:p>
        </w:tc>
      </w:tr>
      <w:tr>
        <w:tblPrEx>
          <w:tblCellMar>
            <w:top w:w="0" w:type="dxa"/>
            <w:left w:w="22" w:type="dxa"/>
            <w:bottom w:w="0" w:type="dxa"/>
            <w:right w:w="5" w:type="dxa"/>
          </w:tblCellMar>
        </w:tblPrEx>
        <w:trPr>
          <w:trHeight w:val="1660"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Ementa:</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Estudos sobre a Guerra e o Estado na Modernidade. As principais características dos</w:t>
            </w:r>
          </w:p>
          <w:p>
            <w:pPr>
              <w:widowControl w:val="0"/>
              <w:pBdr>
                <w:top w:val="none" w:color="auto" w:sz="0" w:space="0"/>
                <w:left w:val="none" w:color="auto" w:sz="0" w:space="0"/>
                <w:bottom w:val="none" w:color="auto" w:sz="0" w:space="0"/>
                <w:right w:val="none" w:color="auto" w:sz="0" w:space="0"/>
                <w:between w:val="none" w:color="auto" w:sz="0" w:space="0"/>
              </w:pBdr>
              <w:spacing w:before="3"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conflitos armados e suas consequências sociais, políticas e culturais, bem como as características essenciais dos exércitos ao longo desse período.</w:t>
            </w:r>
          </w:p>
        </w:tc>
      </w:tr>
      <w:tr>
        <w:tblPrEx>
          <w:tblCellMar>
            <w:top w:w="0" w:type="dxa"/>
            <w:left w:w="22" w:type="dxa"/>
            <w:bottom w:w="0" w:type="dxa"/>
            <w:right w:w="5" w:type="dxa"/>
          </w:tblCellMar>
        </w:tblPrEx>
        <w:trPr>
          <w:trHeight w:val="2895"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numPr>
                <w:ilvl w:val="0"/>
                <w:numId w:val="51"/>
              </w:numPr>
              <w:pBdr>
                <w:top w:val="none" w:color="auto" w:sz="0" w:space="0"/>
                <w:left w:val="none" w:color="auto" w:sz="0" w:space="0"/>
                <w:bottom w:val="none" w:color="auto" w:sz="0" w:space="0"/>
                <w:right w:val="none" w:color="auto" w:sz="0" w:space="0"/>
                <w:between w:val="none" w:color="auto" w:sz="0" w:space="0"/>
              </w:pBdr>
              <w:tabs>
                <w:tab w:val="left" w:pos="0"/>
                <w:tab w:val="left" w:pos="256"/>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Revolução militar e renascentista.</w:t>
            </w:r>
          </w:p>
          <w:p>
            <w:pPr>
              <w:widowControl w:val="0"/>
              <w:numPr>
                <w:ilvl w:val="0"/>
                <w:numId w:val="51"/>
              </w:num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Guerras de religião.</w:t>
            </w:r>
          </w:p>
          <w:p>
            <w:pPr>
              <w:widowControl w:val="0"/>
              <w:numPr>
                <w:ilvl w:val="0"/>
                <w:numId w:val="51"/>
              </w:numPr>
              <w:pBdr>
                <w:top w:val="none" w:color="auto" w:sz="0" w:space="0"/>
                <w:left w:val="none" w:color="auto" w:sz="0" w:space="0"/>
                <w:bottom w:val="none" w:color="auto" w:sz="0" w:space="0"/>
                <w:right w:val="none" w:color="auto" w:sz="0" w:space="0"/>
                <w:between w:val="none" w:color="auto" w:sz="0" w:space="0"/>
              </w:pBdr>
              <w:tabs>
                <w:tab w:val="left" w:pos="0"/>
                <w:tab w:val="left" w:pos="256"/>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 guerra dos Trinta Anos</w:t>
            </w:r>
          </w:p>
          <w:p>
            <w:pPr>
              <w:widowControl w:val="0"/>
              <w:numPr>
                <w:ilvl w:val="0"/>
                <w:numId w:val="51"/>
              </w:numPr>
              <w:pBdr>
                <w:top w:val="none" w:color="auto" w:sz="0" w:space="0"/>
                <w:left w:val="none" w:color="auto" w:sz="0" w:space="0"/>
                <w:bottom w:val="none" w:color="auto" w:sz="0" w:space="0"/>
                <w:right w:val="none" w:color="auto" w:sz="0" w:space="0"/>
                <w:between w:val="none" w:color="auto" w:sz="0" w:space="0"/>
              </w:pBdr>
              <w:tabs>
                <w:tab w:val="left" w:pos="0"/>
                <w:tab w:val="left" w:pos="256"/>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 paz de Westfalia e os novos ajustes europeus</w:t>
            </w:r>
          </w:p>
          <w:p>
            <w:pPr>
              <w:widowControl w:val="0"/>
              <w:numPr>
                <w:ilvl w:val="0"/>
                <w:numId w:val="51"/>
              </w:numPr>
              <w:pBdr>
                <w:top w:val="none" w:color="auto" w:sz="0" w:space="0"/>
                <w:left w:val="none" w:color="auto" w:sz="0" w:space="0"/>
                <w:bottom w:val="none" w:color="auto" w:sz="0" w:space="0"/>
                <w:right w:val="none" w:color="auto" w:sz="0" w:space="0"/>
                <w:between w:val="none" w:color="auto" w:sz="0" w:space="0"/>
              </w:pBdr>
              <w:tabs>
                <w:tab w:val="left" w:pos="0"/>
                <w:tab w:val="left" w:pos="252"/>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Transformações institucionais nas monarquias europeias</w:t>
            </w:r>
          </w:p>
          <w:p>
            <w:pPr>
              <w:widowControl w:val="0"/>
              <w:numPr>
                <w:ilvl w:val="0"/>
                <w:numId w:val="51"/>
              </w:num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Fortalezas e fronteiras.</w:t>
            </w:r>
          </w:p>
        </w:tc>
      </w:tr>
      <w:tr>
        <w:tblPrEx>
          <w:tblCellMar>
            <w:top w:w="0" w:type="dxa"/>
            <w:left w:w="22" w:type="dxa"/>
            <w:bottom w:w="0" w:type="dxa"/>
            <w:right w:w="5" w:type="dxa"/>
          </w:tblCellMar>
        </w:tblPrEx>
        <w:trPr>
          <w:trHeight w:val="2190" w:hRule="atLeast"/>
        </w:trPr>
        <w:tc>
          <w:tcPr>
            <w:tcW w:w="9021" w:type="dxa"/>
            <w:gridSpan w:val="3"/>
            <w:tcBorders>
              <w:top w:val="single" w:color="000000" w:sz="4"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93"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KEEGAN, John, </w:t>
            </w:r>
            <w:r>
              <w:rPr>
                <w:rFonts w:ascii="Times New Roman" w:hAnsi="Times New Roman" w:eastAsia="Times New Roman" w:cs="Times New Roman"/>
                <w:b/>
                <w:color w:val="000000"/>
              </w:rPr>
              <w:t>Uma História da Guerra</w:t>
            </w:r>
            <w:r>
              <w:rPr>
                <w:rFonts w:ascii="Times New Roman" w:hAnsi="Times New Roman" w:eastAsia="Times New Roman" w:cs="Times New Roman"/>
                <w:color w:val="000000"/>
              </w:rPr>
              <w:t xml:space="preserve">. Rio de Janeiro: Bibliex, 2001.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93"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TILLY, Charles, </w:t>
            </w:r>
            <w:r>
              <w:rPr>
                <w:rFonts w:ascii="Times New Roman" w:hAnsi="Times New Roman" w:eastAsia="Times New Roman" w:cs="Times New Roman"/>
                <w:b/>
                <w:color w:val="000000"/>
              </w:rPr>
              <w:t xml:space="preserve">Coerção, capital e Estados europeus, </w:t>
            </w:r>
            <w:r>
              <w:rPr>
                <w:rFonts w:ascii="Times New Roman" w:hAnsi="Times New Roman" w:eastAsia="Times New Roman" w:cs="Times New Roman"/>
                <w:color w:val="000000"/>
              </w:rPr>
              <w:t>Edusp, 1996.</w:t>
            </w:r>
          </w:p>
          <w:p>
            <w:pPr>
              <w:widowControl w:val="0"/>
              <w:pBdr>
                <w:top w:val="none" w:color="auto" w:sz="0" w:space="0"/>
                <w:left w:val="none" w:color="auto" w:sz="0" w:space="0"/>
                <w:bottom w:val="none" w:color="auto" w:sz="0" w:space="0"/>
                <w:right w:val="none" w:color="auto" w:sz="0" w:space="0"/>
                <w:between w:val="none" w:color="auto" w:sz="0" w:space="0"/>
              </w:pBdr>
              <w:tabs>
                <w:tab w:val="left" w:pos="3588"/>
              </w:tabs>
              <w:spacing w:before="6"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CASTILLO,FranciscoAndújar. </w:t>
            </w:r>
            <w:r>
              <w:rPr>
                <w:rFonts w:ascii="Times New Roman" w:hAnsi="Times New Roman" w:eastAsia="Times New Roman" w:cs="Times New Roman"/>
                <w:b/>
                <w:color w:val="000000"/>
              </w:rPr>
              <w:t>Ejércitos e militares en la Europamoderna</w:t>
            </w:r>
            <w:r>
              <w:rPr>
                <w:rFonts w:ascii="Times New Roman" w:hAnsi="Times New Roman" w:eastAsia="Times New Roman" w:cs="Times New Roman"/>
                <w:i/>
                <w:color w:val="000000"/>
              </w:rPr>
              <w:t>.</w:t>
            </w:r>
            <w:r>
              <w:rPr>
                <w:rFonts w:ascii="Times New Roman" w:hAnsi="Times New Roman" w:eastAsia="Times New Roman" w:cs="Times New Roman"/>
                <w:color w:val="000000"/>
              </w:rPr>
              <w:t>Madrid: Editorial Sintesis. 1999.</w:t>
            </w:r>
          </w:p>
        </w:tc>
      </w:tr>
      <w:tr>
        <w:tblPrEx>
          <w:tblCellMar>
            <w:top w:w="0" w:type="dxa"/>
            <w:left w:w="22" w:type="dxa"/>
            <w:bottom w:w="0" w:type="dxa"/>
            <w:right w:w="5" w:type="dxa"/>
          </w:tblCellMar>
        </w:tblPrEx>
        <w:trPr>
          <w:trHeight w:val="4142"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2" w:line="240" w:lineRule="auto"/>
              <w:ind w:left="0" w:hanging="2"/>
              <w:jc w:val="both"/>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PARKER Geoffrey, </w:t>
            </w:r>
            <w:r>
              <w:rPr>
                <w:rFonts w:ascii="Times New Roman" w:hAnsi="Times New Roman" w:eastAsia="Times New Roman" w:cs="Times New Roman"/>
                <w:b/>
                <w:color w:val="000000"/>
              </w:rPr>
              <w:t xml:space="preserve">"O Soldado", em O Homem Barroco, </w:t>
            </w:r>
            <w:r>
              <w:rPr>
                <w:rFonts w:ascii="Times New Roman" w:hAnsi="Times New Roman" w:eastAsia="Times New Roman" w:cs="Times New Roman"/>
                <w:color w:val="000000"/>
              </w:rPr>
              <w:t>dir. de RosárioVillari,Lisboa, Editorial Presença, 1995.</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BOBBITT, Philip. </w:t>
            </w:r>
            <w:r>
              <w:rPr>
                <w:rFonts w:ascii="Times New Roman" w:hAnsi="Times New Roman" w:eastAsia="Times New Roman" w:cs="Times New Roman"/>
                <w:b/>
                <w:color w:val="000000"/>
              </w:rPr>
              <w:t>A guerra e a paz na História moderna: o impacto dos grandesconflitos e da política na formação das nações</w:t>
            </w:r>
            <w:r>
              <w:rPr>
                <w:rFonts w:ascii="Times New Roman" w:hAnsi="Times New Roman" w:eastAsia="Times New Roman" w:cs="Times New Roman"/>
                <w:color w:val="000000"/>
              </w:rPr>
              <w:t>. Rio de Janeiro: Campus, 2003.</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ELIAS, Nobert. </w:t>
            </w:r>
            <w:r>
              <w:rPr>
                <w:rFonts w:ascii="Times New Roman" w:hAnsi="Times New Roman" w:eastAsia="Times New Roman" w:cs="Times New Roman"/>
                <w:b/>
                <w:color w:val="000000"/>
              </w:rPr>
              <w:t xml:space="preserve">O processo civilizador: Formação do estado e civilização. </w:t>
            </w:r>
            <w:r>
              <w:rPr>
                <w:rFonts w:ascii="Times New Roman" w:hAnsi="Times New Roman" w:eastAsia="Times New Roman" w:cs="Times New Roman"/>
                <w:color w:val="000000"/>
              </w:rPr>
              <w:t>2º ed. Rio de Janeiro: Jorge Zahar editores, 1993, vol. 2.</w:t>
            </w:r>
          </w:p>
          <w:p>
            <w:pPr>
              <w:widowControl w:val="0"/>
              <w:pBdr>
                <w:top w:val="none" w:color="auto" w:sz="0" w:space="0"/>
                <w:left w:val="none" w:color="auto" w:sz="0" w:space="0"/>
                <w:bottom w:val="none" w:color="auto" w:sz="0" w:space="0"/>
                <w:right w:val="none" w:color="auto" w:sz="0" w:space="0"/>
                <w:between w:val="none" w:color="auto" w:sz="0" w:space="0"/>
              </w:pBdr>
              <w:spacing w:before="9" w:line="240" w:lineRule="auto"/>
              <w:ind w:left="0" w:hanging="2"/>
              <w:jc w:val="both"/>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CLAUSEWITZ, Carl Von. </w:t>
            </w:r>
            <w:r>
              <w:rPr>
                <w:rFonts w:ascii="Times New Roman" w:hAnsi="Times New Roman" w:eastAsia="Times New Roman" w:cs="Times New Roman"/>
                <w:b/>
                <w:color w:val="000000"/>
              </w:rPr>
              <w:t>Da guerra</w:t>
            </w:r>
            <w:r>
              <w:rPr>
                <w:rFonts w:ascii="Times New Roman" w:hAnsi="Times New Roman" w:eastAsia="Times New Roman" w:cs="Times New Roman"/>
                <w:i/>
                <w:color w:val="000000"/>
              </w:rPr>
              <w:t xml:space="preserve">. </w:t>
            </w:r>
            <w:r>
              <w:rPr>
                <w:rFonts w:ascii="Times New Roman" w:hAnsi="Times New Roman" w:eastAsia="Times New Roman" w:cs="Times New Roman"/>
                <w:color w:val="000000"/>
              </w:rPr>
              <w:t>São Paulo: Martins Fontes, 2003.</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53"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BEBIANO,  Rui.  </w:t>
            </w:r>
            <w:r>
              <w:rPr>
                <w:rFonts w:ascii="Times New Roman" w:hAnsi="Times New Roman" w:eastAsia="Times New Roman" w:cs="Times New Roman"/>
                <w:b/>
                <w:color w:val="000000"/>
              </w:rPr>
              <w:t>A  penadeMarte.</w:t>
            </w:r>
            <w:r>
              <w:rPr>
                <w:rFonts w:ascii="Times New Roman" w:hAnsi="Times New Roman" w:eastAsia="Times New Roman" w:cs="Times New Roman"/>
                <w:b/>
                <w:color w:val="000000"/>
              </w:rPr>
              <w:tab/>
            </w:r>
            <w:r>
              <w:rPr>
                <w:rFonts w:ascii="Times New Roman" w:hAnsi="Times New Roman" w:eastAsia="Times New Roman" w:cs="Times New Roman"/>
                <w:color w:val="000000"/>
              </w:rPr>
              <w:t>Escrita da guerra em Portugal e na Europa. Séculos XVI– XVII. Coimbra: Edições Minerva Coimbra.2000.</w:t>
            </w:r>
          </w:p>
        </w:tc>
      </w:tr>
    </w:tbl>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3" w:after="14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3" w:after="140" w:line="288" w:lineRule="auto"/>
        <w:ind w:left="0" w:hanging="2"/>
        <w:rPr>
          <w:rFonts w:ascii="Times New Roman" w:hAnsi="Times New Roman" w:eastAsia="Times New Roman" w:cs="Times New Roman"/>
          <w:color w:val="000000"/>
        </w:rPr>
      </w:pPr>
    </w:p>
    <w:tbl>
      <w:tblPr>
        <w:tblStyle w:val="546"/>
        <w:tblW w:w="9323" w:type="dxa"/>
        <w:tblInd w:w="2" w:type="dxa"/>
        <w:tblLayout w:type="fixed"/>
        <w:tblCellMar>
          <w:top w:w="0" w:type="dxa"/>
          <w:left w:w="22" w:type="dxa"/>
          <w:bottom w:w="0" w:type="dxa"/>
          <w:right w:w="22" w:type="dxa"/>
        </w:tblCellMar>
      </w:tblPr>
      <w:tblGrid>
        <w:gridCol w:w="3803"/>
        <w:gridCol w:w="2702"/>
        <w:gridCol w:w="2818"/>
      </w:tblGrid>
      <w:tr>
        <w:tblPrEx>
          <w:tblCellMar>
            <w:top w:w="0" w:type="dxa"/>
            <w:left w:w="22" w:type="dxa"/>
            <w:bottom w:w="0" w:type="dxa"/>
            <w:right w:w="22" w:type="dxa"/>
          </w:tblCellMar>
        </w:tblPrEx>
        <w:trPr>
          <w:trHeight w:val="2068" w:hRule="atLeast"/>
        </w:trPr>
        <w:tc>
          <w:tcPr>
            <w:tcW w:w="6506"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885"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Seminário em História Antiga e Medieval VIII</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885"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Seminar in Ancient and Medieval History VIII</w:t>
            </w:r>
          </w:p>
        </w:tc>
        <w:tc>
          <w:tcPr>
            <w:tcW w:w="2818"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HIS283</w:t>
            </w:r>
          </w:p>
        </w:tc>
      </w:tr>
      <w:tr>
        <w:tblPrEx>
          <w:tblCellMar>
            <w:top w:w="0" w:type="dxa"/>
            <w:left w:w="22" w:type="dxa"/>
            <w:bottom w:w="0" w:type="dxa"/>
            <w:right w:w="22" w:type="dxa"/>
          </w:tblCellMar>
        </w:tblPrEx>
        <w:trPr>
          <w:trHeight w:val="830" w:hRule="atLeast"/>
        </w:trPr>
        <w:tc>
          <w:tcPr>
            <w:tcW w:w="6506"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Departamento de História - DEHIS</w:t>
            </w:r>
          </w:p>
        </w:tc>
        <w:tc>
          <w:tcPr>
            <w:tcW w:w="2818"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37" w:hRule="atLeast"/>
        </w:trPr>
        <w:tc>
          <w:tcPr>
            <w:tcW w:w="3804"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3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3" w:line="240" w:lineRule="auto"/>
              <w:ind w:left="0" w:right="645"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Semestral</w:t>
            </w:r>
          </w:p>
          <w:p>
            <w:pPr>
              <w:widowControl w:val="0"/>
              <w:pBdr>
                <w:top w:val="none" w:color="auto" w:sz="0" w:space="0"/>
                <w:left w:val="none" w:color="auto" w:sz="0" w:space="0"/>
                <w:bottom w:val="none" w:color="auto" w:sz="0" w:space="0"/>
                <w:right w:val="none" w:color="auto" w:sz="0" w:space="0"/>
                <w:between w:val="none" w:color="auto" w:sz="0" w:space="0"/>
              </w:pBdr>
              <w:spacing w:before="3" w:line="240" w:lineRule="auto"/>
              <w:ind w:left="0" w:right="645"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 90 horas</w:t>
            </w:r>
          </w:p>
        </w:tc>
        <w:tc>
          <w:tcPr>
            <w:tcW w:w="2702"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Carga horária semanal teórica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04 horas/aula</w:t>
            </w:r>
          </w:p>
        </w:tc>
        <w:tc>
          <w:tcPr>
            <w:tcW w:w="2818"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Carga horária semanal prática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02 horas/aula</w:t>
            </w:r>
          </w:p>
        </w:tc>
      </w:tr>
      <w:tr>
        <w:tblPrEx>
          <w:tblCellMar>
            <w:top w:w="0" w:type="dxa"/>
            <w:left w:w="22" w:type="dxa"/>
            <w:bottom w:w="0" w:type="dxa"/>
            <w:right w:w="22" w:type="dxa"/>
          </w:tblCellMar>
        </w:tblPrEx>
        <w:trPr>
          <w:trHeight w:val="1289" w:hRule="atLeast"/>
        </w:trPr>
        <w:tc>
          <w:tcPr>
            <w:tcW w:w="93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7"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Estudo da relação entre História, Cinema e Animação. Sentidos atribuídos aos temas relativos à Antiguidade e à Idade Média pela linguagem cinematográfica e da animação japonesa.</w:t>
            </w:r>
          </w:p>
        </w:tc>
      </w:tr>
      <w:tr>
        <w:tblPrEx>
          <w:tblCellMar>
            <w:top w:w="0" w:type="dxa"/>
            <w:left w:w="22" w:type="dxa"/>
            <w:bottom w:w="0" w:type="dxa"/>
            <w:right w:w="22" w:type="dxa"/>
          </w:tblCellMar>
        </w:tblPrEx>
        <w:trPr>
          <w:trHeight w:val="1890" w:hRule="atLeast"/>
        </w:trPr>
        <w:tc>
          <w:tcPr>
            <w:tcW w:w="93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before="9" w:line="240" w:lineRule="auto"/>
              <w:ind w:left="0" w:hanging="2"/>
              <w:rPr>
                <w:rFonts w:ascii="Times New Roman" w:hAnsi="Times New Roman" w:eastAsia="Times New Roman" w:cs="Times New Roman"/>
                <w:color w:val="000000"/>
              </w:rPr>
            </w:pPr>
          </w:p>
          <w:p>
            <w:pPr>
              <w:widowControl w:val="0"/>
              <w:numPr>
                <w:ilvl w:val="0"/>
                <w:numId w:val="52"/>
              </w:numPr>
              <w:pBdr>
                <w:top w:val="none" w:color="auto" w:sz="0" w:space="0"/>
                <w:left w:val="none" w:color="auto" w:sz="0" w:space="0"/>
                <w:bottom w:val="none" w:color="auto" w:sz="0" w:space="0"/>
                <w:right w:val="none" w:color="auto" w:sz="0" w:space="0"/>
                <w:between w:val="none" w:color="auto" w:sz="0" w:space="0"/>
              </w:pBdr>
              <w:tabs>
                <w:tab w:val="left" w:pos="0"/>
                <w:tab w:val="left" w:pos="256"/>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Como a Idade Média ganhou sentidos no cinema?</w:t>
            </w:r>
          </w:p>
          <w:p>
            <w:pPr>
              <w:widowControl w:val="0"/>
              <w:numPr>
                <w:ilvl w:val="1"/>
                <w:numId w:val="52"/>
              </w:numPr>
              <w:pBdr>
                <w:top w:val="none" w:color="auto" w:sz="0" w:space="0"/>
                <w:left w:val="none" w:color="auto" w:sz="0" w:space="0"/>
                <w:bottom w:val="none" w:color="auto" w:sz="0" w:space="0"/>
                <w:right w:val="none" w:color="auto" w:sz="0" w:space="0"/>
                <w:between w:val="none" w:color="auto" w:sz="0" w:space="0"/>
              </w:pBdr>
              <w:tabs>
                <w:tab w:val="left" w:pos="0"/>
                <w:tab w:val="left" w:pos="1542"/>
                <w:tab w:val="left" w:pos="1543"/>
              </w:tabs>
              <w:spacing w:before="139"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As Cruzadas e os Templários.</w:t>
            </w:r>
          </w:p>
          <w:p>
            <w:pPr>
              <w:widowControl w:val="0"/>
              <w:numPr>
                <w:ilvl w:val="1"/>
                <w:numId w:val="52"/>
              </w:numPr>
              <w:pBdr>
                <w:top w:val="none" w:color="auto" w:sz="0" w:space="0"/>
                <w:left w:val="none" w:color="auto" w:sz="0" w:space="0"/>
                <w:bottom w:val="none" w:color="auto" w:sz="0" w:space="0"/>
                <w:right w:val="none" w:color="auto" w:sz="0" w:space="0"/>
                <w:between w:val="none" w:color="auto" w:sz="0" w:space="0"/>
              </w:pBdr>
              <w:tabs>
                <w:tab w:val="left" w:pos="0"/>
                <w:tab w:val="left" w:pos="1542"/>
                <w:tab w:val="left" w:pos="1543"/>
              </w:tabs>
              <w:spacing w:before="138"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Joana D’Arc.</w:t>
            </w:r>
          </w:p>
          <w:p>
            <w:pPr>
              <w:widowControl w:val="0"/>
              <w:numPr>
                <w:ilvl w:val="0"/>
                <w:numId w:val="52"/>
              </w:numPr>
              <w:pBdr>
                <w:top w:val="none" w:color="auto" w:sz="0" w:space="0"/>
                <w:left w:val="none" w:color="auto" w:sz="0" w:space="0"/>
                <w:bottom w:val="none" w:color="auto" w:sz="0" w:space="0"/>
                <w:right w:val="none" w:color="auto" w:sz="0" w:space="0"/>
                <w:between w:val="none" w:color="auto" w:sz="0" w:space="0"/>
              </w:pBdr>
              <w:tabs>
                <w:tab w:val="left" w:pos="0"/>
                <w:tab w:val="left" w:pos="256"/>
              </w:tabs>
              <w:spacing w:before="136"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Como realizar uma análise fílmica?</w:t>
            </w:r>
          </w:p>
          <w:p>
            <w:pPr>
              <w:widowControl w:val="0"/>
              <w:numPr>
                <w:ilvl w:val="1"/>
                <w:numId w:val="52"/>
              </w:numPr>
              <w:pBdr>
                <w:top w:val="none" w:color="auto" w:sz="0" w:space="0"/>
                <w:left w:val="none" w:color="auto" w:sz="0" w:space="0"/>
                <w:bottom w:val="none" w:color="auto" w:sz="0" w:space="0"/>
                <w:right w:val="none" w:color="auto" w:sz="0" w:space="0"/>
                <w:between w:val="none" w:color="auto" w:sz="0" w:space="0"/>
              </w:pBdr>
              <w:tabs>
                <w:tab w:val="left" w:pos="0"/>
                <w:tab w:val="left" w:pos="1542"/>
                <w:tab w:val="left" w:pos="1543"/>
              </w:tabs>
              <w:spacing w:before="139"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O filme como portador de um discurso histórico.</w:t>
            </w:r>
          </w:p>
          <w:p>
            <w:pPr>
              <w:widowControl w:val="0"/>
              <w:numPr>
                <w:ilvl w:val="1"/>
                <w:numId w:val="52"/>
              </w:numPr>
              <w:pBdr>
                <w:top w:val="none" w:color="auto" w:sz="0" w:space="0"/>
                <w:left w:val="none" w:color="auto" w:sz="0" w:space="0"/>
                <w:bottom w:val="none" w:color="auto" w:sz="0" w:space="0"/>
                <w:right w:val="none" w:color="auto" w:sz="0" w:space="0"/>
                <w:between w:val="none" w:color="auto" w:sz="0" w:space="0"/>
              </w:pBdr>
              <w:tabs>
                <w:tab w:val="left" w:pos="0"/>
                <w:tab w:val="left" w:pos="1542"/>
                <w:tab w:val="left" w:pos="1543"/>
              </w:tabs>
              <w:spacing w:before="138"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Elementos para se pensar uma análise fílmica.</w:t>
            </w:r>
          </w:p>
          <w:p>
            <w:pPr>
              <w:widowControl w:val="0"/>
              <w:numPr>
                <w:ilvl w:val="0"/>
                <w:numId w:val="52"/>
              </w:numPr>
              <w:pBdr>
                <w:top w:val="none" w:color="auto" w:sz="0" w:space="0"/>
                <w:left w:val="none" w:color="auto" w:sz="0" w:space="0"/>
                <w:bottom w:val="none" w:color="auto" w:sz="0" w:space="0"/>
                <w:right w:val="none" w:color="auto" w:sz="0" w:space="0"/>
                <w:between w:val="none" w:color="auto" w:sz="0" w:space="0"/>
              </w:pBdr>
              <w:tabs>
                <w:tab w:val="left" w:pos="0"/>
                <w:tab w:val="left" w:pos="256"/>
              </w:tabs>
              <w:spacing w:before="136"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O que é Animação?</w:t>
            </w:r>
          </w:p>
          <w:p>
            <w:pPr>
              <w:widowControl w:val="0"/>
              <w:numPr>
                <w:ilvl w:val="1"/>
                <w:numId w:val="52"/>
              </w:numPr>
              <w:pBdr>
                <w:top w:val="none" w:color="auto" w:sz="0" w:space="0"/>
                <w:left w:val="none" w:color="auto" w:sz="0" w:space="0"/>
                <w:bottom w:val="none" w:color="auto" w:sz="0" w:space="0"/>
                <w:right w:val="none" w:color="auto" w:sz="0" w:space="0"/>
                <w:between w:val="none" w:color="auto" w:sz="0" w:space="0"/>
              </w:pBdr>
              <w:tabs>
                <w:tab w:val="left" w:pos="0"/>
                <w:tab w:val="left" w:pos="1542"/>
                <w:tab w:val="left" w:pos="1543"/>
              </w:tabs>
              <w:spacing w:before="139"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 História da Animação Japonesa.</w:t>
            </w:r>
          </w:p>
          <w:p>
            <w:pPr>
              <w:widowControl w:val="0"/>
              <w:numPr>
                <w:ilvl w:val="1"/>
                <w:numId w:val="52"/>
              </w:numPr>
              <w:pBdr>
                <w:top w:val="none" w:color="auto" w:sz="0" w:space="0"/>
                <w:left w:val="none" w:color="auto" w:sz="0" w:space="0"/>
                <w:bottom w:val="none" w:color="auto" w:sz="0" w:space="0"/>
                <w:right w:val="none" w:color="auto" w:sz="0" w:space="0"/>
                <w:between w:val="none" w:color="auto" w:sz="0" w:space="0"/>
              </w:pBdr>
              <w:tabs>
                <w:tab w:val="left" w:pos="0"/>
                <w:tab w:val="left" w:pos="1542"/>
                <w:tab w:val="left" w:pos="1543"/>
              </w:tabs>
              <w:spacing w:before="138"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 Idade Média segundo as animações japonesas.</w:t>
            </w:r>
          </w:p>
          <w:p>
            <w:pPr>
              <w:widowControl w:val="0"/>
              <w:numPr>
                <w:ilvl w:val="0"/>
                <w:numId w:val="53"/>
              </w:numPr>
              <w:pBdr>
                <w:top w:val="none" w:color="auto" w:sz="0" w:space="0"/>
                <w:left w:val="none" w:color="auto" w:sz="0" w:space="0"/>
                <w:bottom w:val="none" w:color="auto" w:sz="0" w:space="0"/>
                <w:right w:val="none" w:color="auto" w:sz="0" w:space="0"/>
                <w:between w:val="none" w:color="auto" w:sz="0" w:space="0"/>
              </w:pBdr>
              <w:tabs>
                <w:tab w:val="left" w:pos="0"/>
                <w:tab w:val="left" w:pos="256"/>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Cinema e Animação: Possibilidades para o Ensino e a Pesquisa.</w:t>
            </w:r>
          </w:p>
          <w:p>
            <w:pPr>
              <w:widowControl w:val="0"/>
              <w:numPr>
                <w:ilvl w:val="1"/>
                <w:numId w:val="53"/>
              </w:numPr>
              <w:pBdr>
                <w:top w:val="none" w:color="auto" w:sz="0" w:space="0"/>
                <w:left w:val="none" w:color="auto" w:sz="0" w:space="0"/>
                <w:bottom w:val="none" w:color="auto" w:sz="0" w:space="0"/>
                <w:right w:val="none" w:color="auto" w:sz="0" w:space="0"/>
                <w:between w:val="none" w:color="auto" w:sz="0" w:space="0"/>
              </w:pBdr>
              <w:tabs>
                <w:tab w:val="left" w:pos="0"/>
                <w:tab w:val="left" w:pos="1542"/>
                <w:tab w:val="left" w:pos="1543"/>
              </w:tabs>
              <w:spacing w:before="139"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 estética das Animações Japonesas.</w:t>
            </w:r>
          </w:p>
          <w:p>
            <w:pPr>
              <w:widowControl w:val="0"/>
              <w:numPr>
                <w:ilvl w:val="1"/>
                <w:numId w:val="53"/>
              </w:numPr>
              <w:pBdr>
                <w:top w:val="none" w:color="auto" w:sz="0" w:space="0"/>
                <w:left w:val="none" w:color="auto" w:sz="0" w:space="0"/>
                <w:bottom w:val="none" w:color="auto" w:sz="0" w:space="0"/>
                <w:right w:val="none" w:color="auto" w:sz="0" w:space="0"/>
                <w:between w:val="none" w:color="auto" w:sz="0" w:space="0"/>
              </w:pBdr>
              <w:tabs>
                <w:tab w:val="left" w:pos="0"/>
                <w:tab w:val="left" w:pos="1542"/>
                <w:tab w:val="left" w:pos="1543"/>
              </w:tabs>
              <w:spacing w:before="138"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Cinema, História e Animação: uma relação complicada?</w:t>
            </w:r>
          </w:p>
        </w:tc>
      </w:tr>
      <w:tr>
        <w:tblPrEx>
          <w:tblCellMar>
            <w:top w:w="0" w:type="dxa"/>
            <w:left w:w="22" w:type="dxa"/>
            <w:bottom w:w="0" w:type="dxa"/>
            <w:right w:w="22" w:type="dxa"/>
          </w:tblCellMar>
        </w:tblPrEx>
        <w:trPr>
          <w:trHeight w:val="1890" w:hRule="atLeast"/>
        </w:trPr>
        <w:tc>
          <w:tcPr>
            <w:tcW w:w="93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FERRO, Marc. </w:t>
            </w:r>
            <w:r>
              <w:rPr>
                <w:rFonts w:ascii="Times New Roman" w:hAnsi="Times New Roman" w:eastAsia="Times New Roman" w:cs="Times New Roman"/>
                <w:b/>
                <w:color w:val="000000"/>
              </w:rPr>
              <w:t>Cinema e História</w:t>
            </w:r>
            <w:r>
              <w:rPr>
                <w:rFonts w:ascii="Times New Roman" w:hAnsi="Times New Roman" w:eastAsia="Times New Roman" w:cs="Times New Roman"/>
                <w:color w:val="000000"/>
              </w:rPr>
              <w:t>. 2a.ed., rev. e ampl. São Paulo: Paz e Terra, 2010.</w:t>
            </w:r>
          </w:p>
          <w:p>
            <w:pPr>
              <w:widowControl w:val="0"/>
              <w:pBdr>
                <w:top w:val="none" w:color="auto" w:sz="0" w:space="0"/>
                <w:left w:val="none" w:color="auto" w:sz="0" w:space="0"/>
                <w:bottom w:val="none" w:color="auto" w:sz="0" w:space="0"/>
                <w:right w:val="none" w:color="auto" w:sz="0" w:space="0"/>
                <w:between w:val="none" w:color="auto" w:sz="0" w:space="0"/>
              </w:pBdr>
              <w:spacing w:before="233" w:line="360" w:lineRule="auto"/>
              <w:ind w:left="0" w:right="71"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KOCH, Adolar; PADROS,  Enrique  Serra;  GUAZZELLI,  Cesar  Augusto Barcello. </w:t>
            </w:r>
            <w:r>
              <w:rPr>
                <w:rFonts w:ascii="Times New Roman" w:hAnsi="Times New Roman" w:eastAsia="Times New Roman" w:cs="Times New Roman"/>
                <w:b/>
                <w:color w:val="000000"/>
              </w:rPr>
              <w:t>História e Cinema</w:t>
            </w:r>
            <w:r>
              <w:rPr>
                <w:rFonts w:ascii="Times New Roman" w:hAnsi="Times New Roman" w:eastAsia="Times New Roman" w:cs="Times New Roman"/>
                <w:color w:val="000000"/>
              </w:rPr>
              <w:t>. São Paulo: EST,2008.</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4"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LE GOFF, Jacques (org.); SCHMITT, Jean-Claude (org.). </w:t>
            </w:r>
            <w:r>
              <w:rPr>
                <w:rFonts w:ascii="Times New Roman" w:hAnsi="Times New Roman" w:eastAsia="Times New Roman" w:cs="Times New Roman"/>
                <w:b/>
                <w:color w:val="000000"/>
              </w:rPr>
              <w:t>Dicionário Temático do Ocidente Medieval</w:t>
            </w:r>
            <w:r>
              <w:rPr>
                <w:rFonts w:ascii="Times New Roman" w:hAnsi="Times New Roman" w:eastAsia="Times New Roman" w:cs="Times New Roman"/>
                <w:color w:val="000000"/>
              </w:rPr>
              <w:t>. Bauru, SP: São Paulo: EDUSC, Imprensa Oficial do Estado, 2006.</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MACEDO, José Rivair (org.). </w:t>
            </w:r>
            <w:r>
              <w:rPr>
                <w:rFonts w:ascii="Times New Roman" w:hAnsi="Times New Roman" w:eastAsia="Times New Roman" w:cs="Times New Roman"/>
                <w:b/>
                <w:color w:val="000000"/>
              </w:rPr>
              <w:t>A Idade Média no Cinema</w:t>
            </w:r>
            <w:r>
              <w:rPr>
                <w:rFonts w:ascii="Times New Roman" w:hAnsi="Times New Roman" w:eastAsia="Times New Roman" w:cs="Times New Roman"/>
                <w:color w:val="000000"/>
              </w:rPr>
              <w:t xml:space="preserve">. Cadernos IHU em formação Ano 2 – Nº. 11 – 2006. Disponível em: </w:t>
            </w:r>
            <w:r>
              <w:fldChar w:fldCharType="begin"/>
            </w:r>
            <w:r>
              <w:instrText xml:space="preserve"> HYPERLINK "http://www.ihu.unisinos.br/images/stories/cadernos/formacao/011cadernosihuemformacao.pdf" \h </w:instrText>
            </w:r>
            <w:r>
              <w:fldChar w:fldCharType="separate"/>
            </w:r>
            <w:r>
              <w:rPr>
                <w:rFonts w:ascii="Times New Roman" w:hAnsi="Times New Roman" w:eastAsia="Times New Roman" w:cs="Times New Roman"/>
                <w:color w:val="0000FF"/>
                <w:u w:val="single"/>
              </w:rPr>
              <w:t>http://www.ihu.unisinos.br/images/stories/cadernos/formacao/011cadernosihuemformacao.pdf</w:t>
            </w:r>
            <w:r>
              <w:rPr>
                <w:rFonts w:ascii="Times New Roman" w:hAnsi="Times New Roman" w:eastAsia="Times New Roman" w:cs="Times New Roman"/>
                <w:color w:val="0000FF"/>
                <w:u w:val="single"/>
              </w:rPr>
              <w:fldChar w:fldCharType="end"/>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ROSENSTONE, Robert A. </w:t>
            </w:r>
            <w:r>
              <w:rPr>
                <w:rFonts w:ascii="Times New Roman" w:hAnsi="Times New Roman" w:eastAsia="Times New Roman" w:cs="Times New Roman"/>
                <w:b/>
                <w:color w:val="000000"/>
              </w:rPr>
              <w:t>AHistória nos Filmes / Os Filmes na História</w:t>
            </w:r>
            <w:r>
              <w:rPr>
                <w:rFonts w:ascii="Times New Roman" w:hAnsi="Times New Roman" w:eastAsia="Times New Roman" w:cs="Times New Roman"/>
                <w:color w:val="000000"/>
              </w:rPr>
              <w:t>. 2ª. Edição. Rio de Janeiro: Paz e Terra, 2015.</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tc>
      </w:tr>
      <w:tr>
        <w:tblPrEx>
          <w:tblCellMar>
            <w:top w:w="0" w:type="dxa"/>
            <w:left w:w="22" w:type="dxa"/>
            <w:bottom w:w="0" w:type="dxa"/>
            <w:right w:w="22" w:type="dxa"/>
          </w:tblCellMar>
        </w:tblPrEx>
        <w:trPr>
          <w:trHeight w:val="974" w:hRule="atLeast"/>
        </w:trPr>
        <w:tc>
          <w:tcPr>
            <w:tcW w:w="93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2"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CARVALHO, Vinicius Marino. </w:t>
            </w:r>
            <w:r>
              <w:rPr>
                <w:rFonts w:ascii="Times New Roman" w:hAnsi="Times New Roman" w:eastAsia="Times New Roman" w:cs="Times New Roman"/>
                <w:color w:val="000000"/>
                <w:u w:val="single"/>
              </w:rPr>
              <w:t>Videogames as Tools for Social Science History</w:t>
            </w:r>
            <w:r>
              <w:rPr>
                <w:rFonts w:ascii="Times New Roman" w:hAnsi="Times New Roman" w:eastAsia="Times New Roman" w:cs="Times New Roman"/>
                <w:color w:val="000000"/>
              </w:rPr>
              <w:t xml:space="preserve">. In: </w:t>
            </w:r>
            <w:r>
              <w:rPr>
                <w:rFonts w:ascii="Times New Roman" w:hAnsi="Times New Roman" w:eastAsia="Times New Roman" w:cs="Times New Roman"/>
                <w:b/>
                <w:color w:val="000000"/>
              </w:rPr>
              <w:t>The Historian</w:t>
            </w:r>
            <w:r>
              <w:rPr>
                <w:rFonts w:ascii="Times New Roman" w:hAnsi="Times New Roman" w:eastAsia="Times New Roman" w:cs="Times New Roman"/>
                <w:color w:val="000000"/>
              </w:rPr>
              <w:t xml:space="preserve">.Volume 79, Issue4, Winter, 2017, p. 794-819. Disponível em: </w:t>
            </w:r>
            <w:r>
              <w:fldChar w:fldCharType="begin"/>
            </w:r>
            <w:r>
              <w:instrText xml:space="preserve"> HYPERLINK "https://onlinelibrary.wiley.com/doi/epdf/10.1111/hisn.12674" \h </w:instrText>
            </w:r>
            <w:r>
              <w:fldChar w:fldCharType="separate"/>
            </w:r>
            <w:r>
              <w:rPr>
                <w:rFonts w:ascii="Times New Roman" w:hAnsi="Times New Roman" w:eastAsia="Times New Roman" w:cs="Times New Roman"/>
                <w:color w:val="0000FF"/>
                <w:u w:val="single"/>
              </w:rPr>
              <w:t>https://onlinelibrary.wiley.com/doi/epdf/10.1111/hisn.12674</w:t>
            </w:r>
            <w:r>
              <w:rPr>
                <w:rFonts w:ascii="Times New Roman" w:hAnsi="Times New Roman" w:eastAsia="Times New Roman" w:cs="Times New Roman"/>
                <w:color w:val="0000FF"/>
                <w:u w:val="single"/>
              </w:rPr>
              <w:fldChar w:fldCharType="end"/>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34"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FARIA, Mônica Lima de. </w:t>
            </w:r>
            <w:r>
              <w:rPr>
                <w:rFonts w:ascii="Times New Roman" w:hAnsi="Times New Roman" w:eastAsia="Times New Roman" w:cs="Times New Roman"/>
                <w:color w:val="000000"/>
                <w:u w:val="single"/>
              </w:rPr>
              <w:t>História e Narrativa das Animações Nipônicas: AlgumasCaracterísticas dos Animês</w:t>
            </w:r>
            <w:r>
              <w:rPr>
                <w:rFonts w:ascii="Times New Roman" w:hAnsi="Times New Roman" w:eastAsia="Times New Roman" w:cs="Times New Roman"/>
                <w:color w:val="000000"/>
              </w:rPr>
              <w:t xml:space="preserve">. In: </w:t>
            </w:r>
            <w:r>
              <w:rPr>
                <w:rFonts w:ascii="Times New Roman" w:hAnsi="Times New Roman" w:eastAsia="Times New Roman" w:cs="Times New Roman"/>
                <w:b/>
                <w:color w:val="000000"/>
              </w:rPr>
              <w:t>Actas de Diseño</w:t>
            </w:r>
            <w:r>
              <w:rPr>
                <w:rFonts w:ascii="Times New Roman" w:hAnsi="Times New Roman" w:eastAsia="Times New Roman" w:cs="Times New Roman"/>
                <w:color w:val="000000"/>
              </w:rPr>
              <w:t>, 2008, v. 5, p. 150-157. Disponível em:</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fldChar w:fldCharType="begin"/>
            </w:r>
            <w:r>
              <w:instrText xml:space="preserve"> HYPERLINK "http://fido.palermo.edu/servicios_dyc/publicacionesdc/archivos/1_libro.pdf" \h </w:instrText>
            </w:r>
            <w:r>
              <w:fldChar w:fldCharType="separate"/>
            </w:r>
            <w:r>
              <w:rPr>
                <w:rFonts w:ascii="Times New Roman" w:hAnsi="Times New Roman" w:eastAsia="Times New Roman" w:cs="Times New Roman"/>
                <w:color w:val="0000FF"/>
                <w:u w:val="single"/>
              </w:rPr>
              <w:t>http://fido.palermo.edu/servicios_dyc/publicacionesdc/archivos/1_libro.pdf</w:t>
            </w:r>
            <w:r>
              <w:rPr>
                <w:rFonts w:ascii="Times New Roman" w:hAnsi="Times New Roman" w:eastAsia="Times New Roman" w:cs="Times New Roman"/>
                <w:color w:val="0000FF"/>
                <w:u w:val="single"/>
              </w:rPr>
              <w:fldChar w:fldCharType="end"/>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2"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FRANÇOIS, Amy de la Bretèque. </w:t>
            </w:r>
            <w:r>
              <w:rPr>
                <w:rFonts w:ascii="Times New Roman" w:hAnsi="Times New Roman" w:eastAsia="Times New Roman" w:cs="Times New Roman"/>
                <w:b/>
                <w:color w:val="000000"/>
              </w:rPr>
              <w:t>Le Moyen Âge au Cinéma: Panorama Historique et Artistique</w:t>
            </w:r>
            <w:r>
              <w:rPr>
                <w:rFonts w:ascii="Times New Roman" w:hAnsi="Times New Roman" w:eastAsia="Times New Roman" w:cs="Times New Roman"/>
                <w:color w:val="000000"/>
              </w:rPr>
              <w:t>. Paris: Armand Colin, 2015.</w:t>
            </w: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KOYAMA-RICHARD, Brigitte. </w:t>
            </w:r>
            <w:r>
              <w:rPr>
                <w:rFonts w:ascii="Times New Roman" w:hAnsi="Times New Roman" w:eastAsia="Times New Roman" w:cs="Times New Roman"/>
                <w:b/>
                <w:color w:val="000000"/>
              </w:rPr>
              <w:t>Japanese Animation</w:t>
            </w:r>
            <w:r>
              <w:rPr>
                <w:rFonts w:ascii="Times New Roman" w:hAnsi="Times New Roman" w:eastAsia="Times New Roman" w:cs="Times New Roman"/>
                <w:color w:val="000000"/>
              </w:rPr>
              <w:t>: from painted scrolls to Pokémon. Paris: Flammarion, 2010.</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MIRANDA, Carlos Alberto. </w:t>
            </w:r>
            <w:r>
              <w:rPr>
                <w:rFonts w:ascii="Times New Roman" w:hAnsi="Times New Roman" w:eastAsia="Times New Roman" w:cs="Times New Roman"/>
                <w:b/>
                <w:color w:val="000000"/>
              </w:rPr>
              <w:t>Cinema de Animação</w:t>
            </w:r>
            <w:r>
              <w:rPr>
                <w:rFonts w:ascii="Times New Roman" w:hAnsi="Times New Roman" w:eastAsia="Times New Roman" w:cs="Times New Roman"/>
                <w:color w:val="000000"/>
              </w:rPr>
              <w:t>: arte nova, arte livre. Petrópolis: Vozes 1971.</w:t>
            </w:r>
          </w:p>
          <w:p>
            <w:pPr>
              <w:widowControl w:val="0"/>
              <w:pBdr>
                <w:top w:val="none" w:color="auto" w:sz="0" w:space="0"/>
                <w:left w:val="none" w:color="auto" w:sz="0" w:space="0"/>
                <w:bottom w:val="none" w:color="auto" w:sz="0" w:space="0"/>
                <w:right w:val="none" w:color="auto" w:sz="0" w:space="0"/>
                <w:between w:val="none" w:color="auto" w:sz="0" w:space="0"/>
              </w:pBdr>
              <w:spacing w:line="348" w:lineRule="auto"/>
              <w:ind w:left="0" w:right="16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SILVA, Edilene Oliveira. </w:t>
            </w:r>
            <w:r>
              <w:rPr>
                <w:rFonts w:ascii="Times New Roman" w:hAnsi="Times New Roman" w:eastAsia="Times New Roman" w:cs="Times New Roman"/>
                <w:color w:val="000000"/>
                <w:u w:val="single"/>
              </w:rPr>
              <w:t>O Cinema na Sala de Aula: imagens da Idade Média no Filme "Cruzada", de Ridley Scott</w:t>
            </w:r>
            <w:r>
              <w:rPr>
                <w:rFonts w:ascii="Times New Roman" w:hAnsi="Times New Roman" w:eastAsia="Times New Roman" w:cs="Times New Roman"/>
                <w:color w:val="000000"/>
              </w:rPr>
              <w:t xml:space="preserve">. In: </w:t>
            </w:r>
            <w:r>
              <w:rPr>
                <w:rFonts w:ascii="Times New Roman" w:hAnsi="Times New Roman" w:eastAsia="Times New Roman" w:cs="Times New Roman"/>
                <w:b/>
                <w:color w:val="000000"/>
              </w:rPr>
              <w:t>História: Questões &amp; Debates</w:t>
            </w:r>
            <w:r>
              <w:rPr>
                <w:rFonts w:ascii="Times New Roman" w:hAnsi="Times New Roman" w:eastAsia="Times New Roman" w:cs="Times New Roman"/>
                <w:color w:val="000000"/>
              </w:rPr>
              <w:t xml:space="preserve">, Curitiba, no. 57, jul./dez. 2012. p. 213-237. Disponível em: </w:t>
            </w:r>
            <w:r>
              <w:fldChar w:fldCharType="begin"/>
            </w:r>
            <w:r>
              <w:instrText xml:space="preserve"> HYPERLINK "https://revistas.ufpr.br/historia/article/view/30561/19757" \h </w:instrText>
            </w:r>
            <w:r>
              <w:fldChar w:fldCharType="separate"/>
            </w:r>
            <w:r>
              <w:rPr>
                <w:rFonts w:ascii="Times New Roman" w:hAnsi="Times New Roman" w:eastAsia="Times New Roman" w:cs="Times New Roman"/>
                <w:color w:val="0000FF"/>
                <w:u w:val="single"/>
              </w:rPr>
              <w:t>https://revistas.ufpr.br/historia/article/view/30561/19757</w:t>
            </w:r>
            <w:r>
              <w:rPr>
                <w:rFonts w:ascii="Times New Roman" w:hAnsi="Times New Roman" w:eastAsia="Times New Roman" w:cs="Times New Roman"/>
                <w:color w:val="0000FF"/>
                <w:u w:val="single"/>
              </w:rPr>
              <w:fldChar w:fldCharType="end"/>
            </w:r>
          </w:p>
          <w:p>
            <w:pPr>
              <w:widowControl w:val="0"/>
              <w:pBdr>
                <w:top w:val="none" w:color="auto" w:sz="0" w:space="0"/>
                <w:left w:val="none" w:color="auto" w:sz="0" w:space="0"/>
                <w:bottom w:val="none" w:color="auto" w:sz="0" w:space="0"/>
                <w:right w:val="none" w:color="auto" w:sz="0" w:space="0"/>
                <w:between w:val="none" w:color="auto" w:sz="0" w:space="0"/>
              </w:pBdr>
              <w:tabs>
                <w:tab w:val="left" w:pos="142"/>
              </w:tabs>
              <w:spacing w:line="360" w:lineRule="auto"/>
              <w:ind w:left="0" w:right="5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URSINI, Francesco-Alessio. </w:t>
            </w:r>
            <w:r>
              <w:rPr>
                <w:rFonts w:ascii="Times New Roman" w:hAnsi="Times New Roman" w:eastAsia="Times New Roman" w:cs="Times New Roman"/>
                <w:color w:val="000000"/>
                <w:u w:val="single"/>
              </w:rPr>
              <w:t>Themes, Focalization and the Flow of Information: The Case of Shingeki no Kyojin</w:t>
            </w:r>
            <w:r>
              <w:rPr>
                <w:rFonts w:ascii="Times New Roman" w:hAnsi="Times New Roman" w:eastAsia="Times New Roman" w:cs="Times New Roman"/>
                <w:color w:val="000000"/>
              </w:rPr>
              <w:t xml:space="preserve">. In: </w:t>
            </w:r>
            <w:r>
              <w:rPr>
                <w:rFonts w:ascii="Times New Roman" w:hAnsi="Times New Roman" w:eastAsia="Times New Roman" w:cs="Times New Roman"/>
                <w:b/>
                <w:color w:val="000000"/>
              </w:rPr>
              <w:t>The Comics Grid</w:t>
            </w:r>
            <w:r>
              <w:rPr>
                <w:rFonts w:ascii="Times New Roman" w:hAnsi="Times New Roman" w:eastAsia="Times New Roman" w:cs="Times New Roman"/>
                <w:color w:val="000000"/>
              </w:rPr>
              <w:t xml:space="preserve">: Journal of Comics Scholarship, (2017) 7(1): 2, p. 1-19. Disponível em:  </w:t>
            </w:r>
            <w:r>
              <w:fldChar w:fldCharType="begin"/>
            </w:r>
            <w:r>
              <w:instrText xml:space="preserve"> HYPERLINK "https://www.comicsgrid.com/articles/10.16995/cg.83/" \h </w:instrText>
            </w:r>
            <w:r>
              <w:fldChar w:fldCharType="separate"/>
            </w:r>
            <w:r>
              <w:rPr>
                <w:rFonts w:ascii="Times New Roman" w:hAnsi="Times New Roman" w:eastAsia="Times New Roman" w:cs="Times New Roman"/>
                <w:color w:val="0000FF"/>
                <w:u w:val="single"/>
              </w:rPr>
              <w:t>https://www.comicsgrid.com/articles/10.16995/cg.83/</w:t>
            </w:r>
            <w:r>
              <w:rPr>
                <w:rFonts w:ascii="Times New Roman" w:hAnsi="Times New Roman" w:eastAsia="Times New Roman" w:cs="Times New Roman"/>
                <w:color w:val="0000FF"/>
                <w:u w:val="single"/>
              </w:rPr>
              <w:fldChar w:fldCharType="end"/>
            </w:r>
          </w:p>
        </w:tc>
      </w:tr>
    </w:tbl>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tbl>
      <w:tblPr>
        <w:tblStyle w:val="547"/>
        <w:tblW w:w="9323" w:type="dxa"/>
        <w:tblInd w:w="2" w:type="dxa"/>
        <w:tblLayout w:type="fixed"/>
        <w:tblCellMar>
          <w:top w:w="0" w:type="dxa"/>
          <w:left w:w="22" w:type="dxa"/>
          <w:bottom w:w="0" w:type="dxa"/>
          <w:right w:w="22" w:type="dxa"/>
        </w:tblCellMar>
      </w:tblPr>
      <w:tblGrid>
        <w:gridCol w:w="3803"/>
        <w:gridCol w:w="2702"/>
        <w:gridCol w:w="2818"/>
      </w:tblGrid>
      <w:tr>
        <w:tblPrEx>
          <w:tblCellMar>
            <w:top w:w="0" w:type="dxa"/>
            <w:left w:w="22" w:type="dxa"/>
            <w:bottom w:w="0" w:type="dxa"/>
            <w:right w:w="22" w:type="dxa"/>
          </w:tblCellMar>
        </w:tblPrEx>
        <w:trPr>
          <w:trHeight w:val="2068" w:hRule="atLeast"/>
        </w:trPr>
        <w:tc>
          <w:tcPr>
            <w:tcW w:w="6506"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885"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Seminário em História Antiga e Medieval IX</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885"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Seminar in Ancient and Medieval History IX</w:t>
            </w:r>
          </w:p>
        </w:tc>
        <w:tc>
          <w:tcPr>
            <w:tcW w:w="2818"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HIS284</w:t>
            </w:r>
          </w:p>
        </w:tc>
      </w:tr>
      <w:tr>
        <w:tblPrEx>
          <w:tblCellMar>
            <w:top w:w="0" w:type="dxa"/>
            <w:left w:w="22" w:type="dxa"/>
            <w:bottom w:w="0" w:type="dxa"/>
            <w:right w:w="22" w:type="dxa"/>
          </w:tblCellMar>
        </w:tblPrEx>
        <w:trPr>
          <w:trHeight w:val="830" w:hRule="atLeast"/>
        </w:trPr>
        <w:tc>
          <w:tcPr>
            <w:tcW w:w="6506"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Departamento de História - DEHIS</w:t>
            </w:r>
          </w:p>
        </w:tc>
        <w:tc>
          <w:tcPr>
            <w:tcW w:w="2818"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37" w:hRule="atLeast"/>
        </w:trPr>
        <w:tc>
          <w:tcPr>
            <w:tcW w:w="3804"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3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3" w:line="240" w:lineRule="auto"/>
              <w:ind w:left="0" w:right="645"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Semestral</w:t>
            </w:r>
          </w:p>
          <w:p>
            <w:pPr>
              <w:widowControl w:val="0"/>
              <w:pBdr>
                <w:top w:val="none" w:color="auto" w:sz="0" w:space="0"/>
                <w:left w:val="none" w:color="auto" w:sz="0" w:space="0"/>
                <w:bottom w:val="none" w:color="auto" w:sz="0" w:space="0"/>
                <w:right w:val="none" w:color="auto" w:sz="0" w:space="0"/>
                <w:between w:val="none" w:color="auto" w:sz="0" w:space="0"/>
              </w:pBdr>
              <w:spacing w:before="3" w:line="240" w:lineRule="auto"/>
              <w:ind w:left="0" w:right="645"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2702"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04 horas/aula</w:t>
            </w:r>
          </w:p>
        </w:tc>
        <w:tc>
          <w:tcPr>
            <w:tcW w:w="2818"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02 horas/aula</w:t>
            </w:r>
          </w:p>
        </w:tc>
      </w:tr>
      <w:tr>
        <w:tblPrEx>
          <w:tblCellMar>
            <w:top w:w="0" w:type="dxa"/>
            <w:left w:w="22" w:type="dxa"/>
            <w:bottom w:w="0" w:type="dxa"/>
            <w:right w:w="22" w:type="dxa"/>
          </w:tblCellMar>
        </w:tblPrEx>
        <w:trPr>
          <w:trHeight w:val="1289" w:hRule="atLeast"/>
        </w:trPr>
        <w:tc>
          <w:tcPr>
            <w:tcW w:w="93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Os cavaleiros Templários como elemento de integração do espaço mediterrânico. A Comendadoria: espinha dorsal da Ordem do Templo. As Cruzadas revisitadas. Os Templários e suas relações com os muçulmanos: convívio e interação. A Historiografia das Cruzadas no século XXI: propostas e abordagens.</w:t>
            </w:r>
          </w:p>
        </w:tc>
      </w:tr>
      <w:tr>
        <w:tblPrEx>
          <w:tblCellMar>
            <w:top w:w="0" w:type="dxa"/>
            <w:left w:w="22" w:type="dxa"/>
            <w:bottom w:w="0" w:type="dxa"/>
            <w:right w:w="22" w:type="dxa"/>
          </w:tblCellMar>
        </w:tblPrEx>
        <w:trPr>
          <w:trHeight w:val="1890" w:hRule="atLeast"/>
        </w:trPr>
        <w:tc>
          <w:tcPr>
            <w:tcW w:w="93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numPr>
                <w:ilvl w:val="0"/>
                <w:numId w:val="54"/>
              </w:numPr>
              <w:pBdr>
                <w:top w:val="none" w:color="auto" w:sz="0" w:space="0"/>
                <w:left w:val="none" w:color="auto" w:sz="0" w:space="0"/>
                <w:bottom w:val="none" w:color="auto" w:sz="0" w:space="0"/>
                <w:right w:val="none" w:color="auto" w:sz="0" w:space="0"/>
                <w:between w:val="none" w:color="auto" w:sz="0" w:space="0"/>
              </w:pBdr>
              <w:tabs>
                <w:tab w:val="left" w:pos="0"/>
                <w:tab w:val="left" w:pos="831"/>
                <w:tab w:val="left" w:pos="832"/>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I: Mitos Templários.</w:t>
            </w:r>
          </w:p>
          <w:p>
            <w:pPr>
              <w:widowControl w:val="0"/>
              <w:numPr>
                <w:ilvl w:val="0"/>
                <w:numId w:val="54"/>
              </w:numPr>
              <w:pBdr>
                <w:top w:val="none" w:color="auto" w:sz="0" w:space="0"/>
                <w:left w:val="none" w:color="auto" w:sz="0" w:space="0"/>
                <w:bottom w:val="none" w:color="auto" w:sz="0" w:space="0"/>
                <w:right w:val="none" w:color="auto" w:sz="0" w:space="0"/>
                <w:between w:val="none" w:color="auto" w:sz="0" w:space="0"/>
              </w:pBdr>
              <w:tabs>
                <w:tab w:val="left" w:pos="0"/>
                <w:tab w:val="left" w:pos="831"/>
                <w:tab w:val="left" w:pos="832"/>
              </w:tabs>
              <w:spacing w:before="138"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II: Perspectivas sobre as Cruzadas.</w:t>
            </w:r>
          </w:p>
          <w:p>
            <w:pPr>
              <w:widowControl w:val="0"/>
              <w:numPr>
                <w:ilvl w:val="0"/>
                <w:numId w:val="54"/>
              </w:numPr>
              <w:pBdr>
                <w:top w:val="none" w:color="auto" w:sz="0" w:space="0"/>
                <w:left w:val="none" w:color="auto" w:sz="0" w:space="0"/>
                <w:bottom w:val="none" w:color="auto" w:sz="0" w:space="0"/>
                <w:right w:val="none" w:color="auto" w:sz="0" w:space="0"/>
                <w:between w:val="none" w:color="auto" w:sz="0" w:space="0"/>
              </w:pBdr>
              <w:tabs>
                <w:tab w:val="left" w:pos="0"/>
                <w:tab w:val="left" w:pos="831"/>
                <w:tab w:val="left" w:pos="832"/>
              </w:tabs>
              <w:spacing w:before="138"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III: A Organização das Ordens Militares no Mediterrâneo Oriental.</w:t>
            </w:r>
          </w:p>
          <w:p>
            <w:pPr>
              <w:widowControl w:val="0"/>
              <w:numPr>
                <w:ilvl w:val="0"/>
                <w:numId w:val="54"/>
              </w:numPr>
              <w:pBdr>
                <w:top w:val="none" w:color="auto" w:sz="0" w:space="0"/>
                <w:left w:val="none" w:color="auto" w:sz="0" w:space="0"/>
                <w:bottom w:val="none" w:color="auto" w:sz="0" w:space="0"/>
                <w:right w:val="none" w:color="auto" w:sz="0" w:space="0"/>
                <w:between w:val="none" w:color="auto" w:sz="0" w:space="0"/>
              </w:pBdr>
              <w:tabs>
                <w:tab w:val="left" w:pos="0"/>
                <w:tab w:val="left" w:pos="831"/>
                <w:tab w:val="left" w:pos="832"/>
              </w:tabs>
              <w:spacing w:before="138" w:line="348" w:lineRule="auto"/>
              <w:ind w:left="0" w:right="71" w:hanging="2"/>
              <w:rPr>
                <w:rFonts w:ascii="Times New Roman" w:hAnsi="Times New Roman" w:eastAsia="Times New Roman" w:cs="Times New Roman"/>
                <w:color w:val="000000"/>
              </w:rPr>
            </w:pPr>
            <w:r>
              <w:rPr>
                <w:rFonts w:ascii="Times New Roman" w:hAnsi="Times New Roman" w:eastAsia="Times New Roman" w:cs="Times New Roman"/>
                <w:color w:val="000000"/>
              </w:rPr>
              <w:t>Unidade IV: Considerações sobre a organização militar muçulmana e franca nos séculos XII e XIII</w:t>
            </w:r>
          </w:p>
          <w:p>
            <w:pPr>
              <w:widowControl w:val="0"/>
              <w:numPr>
                <w:ilvl w:val="0"/>
                <w:numId w:val="54"/>
              </w:numPr>
              <w:pBdr>
                <w:top w:val="none" w:color="auto" w:sz="0" w:space="0"/>
                <w:left w:val="none" w:color="auto" w:sz="0" w:space="0"/>
                <w:bottom w:val="none" w:color="auto" w:sz="0" w:space="0"/>
                <w:right w:val="none" w:color="auto" w:sz="0" w:space="0"/>
                <w:between w:val="none" w:color="auto" w:sz="0" w:space="0"/>
              </w:pBdr>
              <w:tabs>
                <w:tab w:val="left" w:pos="0"/>
                <w:tab w:val="left" w:pos="831"/>
                <w:tab w:val="left" w:pos="832"/>
              </w:tabs>
              <w:spacing w:before="138" w:line="348" w:lineRule="auto"/>
              <w:ind w:left="0" w:right="71" w:hanging="2"/>
              <w:rPr>
                <w:rFonts w:ascii="Times New Roman" w:hAnsi="Times New Roman" w:eastAsia="Times New Roman" w:cs="Times New Roman"/>
                <w:color w:val="000000"/>
              </w:rPr>
            </w:pPr>
            <w:r>
              <w:rPr>
                <w:rFonts w:ascii="Times New Roman" w:hAnsi="Times New Roman" w:eastAsia="Times New Roman" w:cs="Times New Roman"/>
                <w:color w:val="000000"/>
              </w:rPr>
              <w:t>Unidade V: Templários, Ayubidas e Mamelucos: as ambiguidades de um conflito.</w:t>
            </w:r>
          </w:p>
        </w:tc>
      </w:tr>
      <w:tr>
        <w:tblPrEx>
          <w:tblCellMar>
            <w:top w:w="0" w:type="dxa"/>
            <w:left w:w="22" w:type="dxa"/>
            <w:bottom w:w="0" w:type="dxa"/>
            <w:right w:w="22" w:type="dxa"/>
          </w:tblCellMar>
        </w:tblPrEx>
        <w:trPr>
          <w:trHeight w:val="1890" w:hRule="atLeast"/>
        </w:trPr>
        <w:tc>
          <w:tcPr>
            <w:tcW w:w="93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tabs>
                <w:tab w:val="left" w:pos="1699"/>
                <w:tab w:val="left" w:pos="2663"/>
                <w:tab w:val="left" w:pos="4001"/>
                <w:tab w:val="left" w:pos="5863"/>
                <w:tab w:val="left" w:pos="8052"/>
              </w:tabs>
              <w:spacing w:line="360" w:lineRule="auto"/>
              <w:ind w:left="0" w:right="63" w:hanging="2"/>
              <w:rPr>
                <w:rFonts w:ascii="Times New Roman" w:hAnsi="Times New Roman" w:eastAsia="Times New Roman" w:cs="Times New Roman"/>
                <w:color w:val="000000"/>
              </w:rPr>
            </w:pPr>
            <w:r>
              <w:rPr>
                <w:rFonts w:ascii="Times New Roman" w:hAnsi="Times New Roman" w:eastAsia="Times New Roman" w:cs="Times New Roman"/>
                <w:color w:val="000000"/>
              </w:rPr>
              <w:t>ABULAFIA,</w:t>
            </w:r>
            <w:r>
              <w:rPr>
                <w:rFonts w:ascii="Times New Roman" w:hAnsi="Times New Roman" w:eastAsia="Times New Roman" w:cs="Times New Roman"/>
                <w:color w:val="000000"/>
              </w:rPr>
              <w:tab/>
            </w:r>
            <w:r>
              <w:rPr>
                <w:rFonts w:ascii="Times New Roman" w:hAnsi="Times New Roman" w:eastAsia="Times New Roman" w:cs="Times New Roman"/>
                <w:color w:val="000000"/>
              </w:rPr>
              <w:t>David;</w:t>
            </w:r>
            <w:r>
              <w:rPr>
                <w:rFonts w:ascii="Times New Roman" w:hAnsi="Times New Roman" w:eastAsia="Times New Roman" w:cs="Times New Roman"/>
                <w:color w:val="000000"/>
              </w:rPr>
              <w:tab/>
            </w:r>
            <w:r>
              <w:rPr>
                <w:rFonts w:ascii="Times New Roman" w:hAnsi="Times New Roman" w:eastAsia="Times New Roman" w:cs="Times New Roman"/>
                <w:color w:val="000000"/>
              </w:rPr>
              <w:t>BEREND,</w:t>
            </w:r>
            <w:r>
              <w:rPr>
                <w:rFonts w:ascii="Times New Roman" w:hAnsi="Times New Roman" w:eastAsia="Times New Roman" w:cs="Times New Roman"/>
                <w:color w:val="000000"/>
              </w:rPr>
              <w:tab/>
            </w:r>
            <w:r>
              <w:rPr>
                <w:rFonts w:ascii="Times New Roman" w:hAnsi="Times New Roman" w:eastAsia="Times New Roman" w:cs="Times New Roman"/>
                <w:color w:val="000000"/>
              </w:rPr>
              <w:t xml:space="preserve">Nora. </w:t>
            </w:r>
            <w:r>
              <w:rPr>
                <w:rFonts w:ascii="Times New Roman" w:hAnsi="Times New Roman" w:eastAsia="Times New Roman" w:cs="Times New Roman"/>
                <w:b/>
                <w:color w:val="000000"/>
              </w:rPr>
              <w:t>Medieval</w:t>
            </w:r>
            <w:r>
              <w:rPr>
                <w:rFonts w:ascii="Times New Roman" w:hAnsi="Times New Roman" w:eastAsia="Times New Roman" w:cs="Times New Roman"/>
                <w:b/>
                <w:color w:val="000000"/>
              </w:rPr>
              <w:tab/>
            </w:r>
            <w:r>
              <w:rPr>
                <w:rFonts w:ascii="Times New Roman" w:hAnsi="Times New Roman" w:eastAsia="Times New Roman" w:cs="Times New Roman"/>
                <w:b/>
                <w:color w:val="000000"/>
              </w:rPr>
              <w:t xml:space="preserve">frontiers: </w:t>
            </w:r>
            <w:r>
              <w:rPr>
                <w:rFonts w:ascii="Times New Roman" w:hAnsi="Times New Roman" w:eastAsia="Times New Roman" w:cs="Times New Roman"/>
                <w:color w:val="000000"/>
              </w:rPr>
              <w:t>concepts</w:t>
            </w:r>
            <w:r>
              <w:rPr>
                <w:rFonts w:ascii="Times New Roman" w:hAnsi="Times New Roman" w:eastAsia="Times New Roman" w:cs="Times New Roman"/>
                <w:color w:val="000000"/>
              </w:rPr>
              <w:tab/>
            </w:r>
            <w:r>
              <w:rPr>
                <w:rFonts w:ascii="Times New Roman" w:hAnsi="Times New Roman" w:eastAsia="Times New Roman" w:cs="Times New Roman"/>
                <w:color w:val="000000"/>
              </w:rPr>
              <w:t>and practices. Aldershot: Burlington: Ashgate, c2002.</w:t>
            </w: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right="72"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ABULAFIA, David. </w:t>
            </w:r>
            <w:r>
              <w:rPr>
                <w:rFonts w:ascii="Times New Roman" w:hAnsi="Times New Roman" w:eastAsia="Times New Roman" w:cs="Times New Roman"/>
                <w:b/>
                <w:color w:val="000000"/>
              </w:rPr>
              <w:t xml:space="preserve">Mediterranean Encounters, economic, religious, political, 1100-1550. </w:t>
            </w:r>
            <w:r>
              <w:rPr>
                <w:rFonts w:ascii="Times New Roman" w:hAnsi="Times New Roman" w:eastAsia="Times New Roman" w:cs="Times New Roman"/>
                <w:color w:val="000000"/>
              </w:rPr>
              <w:t>Aldershot: Burlington, USA: Ashgate, c2000.</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CARRAZ, Damien. </w:t>
            </w:r>
            <w:r>
              <w:rPr>
                <w:rFonts w:ascii="Times New Roman" w:hAnsi="Times New Roman" w:eastAsia="Times New Roman" w:cs="Times New Roman"/>
                <w:b/>
                <w:color w:val="000000"/>
              </w:rPr>
              <w:t>L'Ordre du Temple dans la Basse Vallée du Rhône (1124- 1312)</w:t>
            </w:r>
            <w:r>
              <w:rPr>
                <w:rFonts w:ascii="Times New Roman" w:hAnsi="Times New Roman" w:eastAsia="Times New Roman" w:cs="Times New Roman"/>
                <w:color w:val="000000"/>
              </w:rPr>
              <w:t xml:space="preserve">: </w:t>
            </w:r>
            <w:r>
              <w:rPr>
                <w:rFonts w:ascii="Times New Roman" w:hAnsi="Times New Roman" w:eastAsia="Times New Roman" w:cs="Times New Roman"/>
                <w:b/>
                <w:color w:val="000000"/>
              </w:rPr>
              <w:t>Ordres militaires, croisades et sociétés méridionales</w:t>
            </w:r>
            <w:r>
              <w:rPr>
                <w:rFonts w:ascii="Times New Roman" w:hAnsi="Times New Roman" w:eastAsia="Times New Roman" w:cs="Times New Roman"/>
                <w:color w:val="000000"/>
              </w:rPr>
              <w:t>. Lyon: PUL, 2005.</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DEMURGER, Alain. </w:t>
            </w:r>
            <w:r>
              <w:rPr>
                <w:rFonts w:ascii="Times New Roman" w:hAnsi="Times New Roman" w:eastAsia="Times New Roman" w:cs="Times New Roman"/>
                <w:b/>
                <w:color w:val="000000"/>
              </w:rPr>
              <w:t>Os Templários</w:t>
            </w:r>
            <w:r>
              <w:rPr>
                <w:rFonts w:ascii="Times New Roman" w:hAnsi="Times New Roman" w:eastAsia="Times New Roman" w:cs="Times New Roman"/>
                <w:color w:val="000000"/>
              </w:rPr>
              <w:t>: uma cavalaria cristã na Idade Média. 2ªed. Trad.: Karina Jannini. Rio de Janeiro: Difel, 2010.</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JACOBY, David. </w:t>
            </w:r>
            <w:r>
              <w:rPr>
                <w:rFonts w:ascii="Times New Roman" w:hAnsi="Times New Roman" w:eastAsia="Times New Roman" w:cs="Times New Roman"/>
                <w:b/>
                <w:color w:val="000000"/>
              </w:rPr>
              <w:t>Byzantium, Latin Romania and the Mediterranean</w:t>
            </w:r>
            <w:r>
              <w:rPr>
                <w:rFonts w:ascii="Times New Roman" w:hAnsi="Times New Roman" w:eastAsia="Times New Roman" w:cs="Times New Roman"/>
                <w:color w:val="000000"/>
              </w:rPr>
              <w:t>. Aldershot: Burlington: Ashgate, c 2001.</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tc>
      </w:tr>
      <w:tr>
        <w:tblPrEx>
          <w:tblCellMar>
            <w:top w:w="0" w:type="dxa"/>
            <w:left w:w="22" w:type="dxa"/>
            <w:bottom w:w="0" w:type="dxa"/>
            <w:right w:w="22" w:type="dxa"/>
          </w:tblCellMar>
        </w:tblPrEx>
        <w:trPr>
          <w:trHeight w:val="1890" w:hRule="atLeast"/>
        </w:trPr>
        <w:tc>
          <w:tcPr>
            <w:tcW w:w="93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2"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4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ABU-MUNSHAR, Maher Y. Fāṭimids, Crusaders and the Fall of Islamic Jerusalem: Foes or Allies? In: </w:t>
            </w:r>
            <w:r>
              <w:rPr>
                <w:rFonts w:ascii="Times New Roman" w:hAnsi="Times New Roman" w:eastAsia="Times New Roman" w:cs="Times New Roman"/>
                <w:b/>
                <w:color w:val="000000"/>
              </w:rPr>
              <w:t>Al-Masaq</w:t>
            </w:r>
            <w:r>
              <w:rPr>
                <w:rFonts w:ascii="Times New Roman" w:hAnsi="Times New Roman" w:eastAsia="Times New Roman" w:cs="Times New Roman"/>
                <w:color w:val="000000"/>
              </w:rPr>
              <w:t>, Vol. 22, No. 1, April 2010, p. 45-56. Disponível em: https://www.academia.edu/17672079/Fatimids_Crusaders_and_the_Fall_of_Islamic_ _Jerusalem_Foes_or_Allies</w:t>
            </w:r>
          </w:p>
          <w:p>
            <w:pPr>
              <w:widowControl w:val="0"/>
              <w:pBdr>
                <w:top w:val="none" w:color="auto" w:sz="0" w:space="0"/>
                <w:left w:val="none" w:color="auto" w:sz="0" w:space="0"/>
                <w:bottom w:val="none" w:color="auto" w:sz="0" w:space="0"/>
                <w:right w:val="none" w:color="auto" w:sz="0" w:space="0"/>
                <w:between w:val="none" w:color="auto" w:sz="0" w:space="0"/>
              </w:pBdr>
              <w:spacing w:before="1" w:line="34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BALLAN, Mohammad. Fraxinetum: an islamic frontier state in tenth-century </w:t>
            </w:r>
            <w:r>
              <w:rPr>
                <w:rFonts w:ascii="Times New Roman" w:hAnsi="Times New Roman" w:eastAsia="Times New Roman" w:cs="Times New Roman"/>
                <w:color w:val="000000"/>
                <w:u w:val="single"/>
              </w:rPr>
              <w:t>Provence</w:t>
            </w:r>
            <w:r>
              <w:rPr>
                <w:rFonts w:ascii="Times New Roman" w:hAnsi="Times New Roman" w:eastAsia="Times New Roman" w:cs="Times New Roman"/>
                <w:color w:val="000000"/>
              </w:rPr>
              <w:t xml:space="preserve">. In: </w:t>
            </w:r>
            <w:r>
              <w:rPr>
                <w:rFonts w:ascii="Times New Roman" w:hAnsi="Times New Roman" w:eastAsia="Times New Roman" w:cs="Times New Roman"/>
                <w:b/>
                <w:color w:val="000000"/>
              </w:rPr>
              <w:t>Comitatus</w:t>
            </w:r>
            <w:r>
              <w:rPr>
                <w:rFonts w:ascii="Times New Roman" w:hAnsi="Times New Roman" w:eastAsia="Times New Roman" w:cs="Times New Roman"/>
                <w:color w:val="000000"/>
              </w:rPr>
              <w:t xml:space="preserve">, no. 41, p. 23-76. Disponível em: https://www.history.ubc.ca/sites/default/files/users/cbooker/docs/Ballan_Fraxinetum.pdf </w:t>
            </w:r>
          </w:p>
          <w:p>
            <w:pPr>
              <w:widowControl w:val="0"/>
              <w:pBdr>
                <w:top w:val="none" w:color="auto" w:sz="0" w:space="0"/>
                <w:left w:val="none" w:color="auto" w:sz="0" w:space="0"/>
                <w:bottom w:val="none" w:color="auto" w:sz="0" w:space="0"/>
                <w:right w:val="none" w:color="auto" w:sz="0" w:space="0"/>
                <w:between w:val="none" w:color="auto" w:sz="0" w:space="0"/>
              </w:pBdr>
              <w:spacing w:line="348" w:lineRule="auto"/>
              <w:ind w:left="0" w:right="6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CARRAZ, Damien. “Causa Defendende et Extollende Christianitatis”. La Vocation Maritime des Ordres Militraires en Provence (XIIe-XIIIe siècles). In: BALARD, Michel (dir.). </w:t>
            </w:r>
            <w:r>
              <w:rPr>
                <w:rFonts w:ascii="Times New Roman" w:hAnsi="Times New Roman" w:eastAsia="Times New Roman" w:cs="Times New Roman"/>
                <w:b/>
                <w:color w:val="000000"/>
              </w:rPr>
              <w:t>Les Ordres Militaires et la Mer</w:t>
            </w:r>
            <w:r>
              <w:rPr>
                <w:rFonts w:ascii="Times New Roman" w:hAnsi="Times New Roman" w:eastAsia="Times New Roman" w:cs="Times New Roman"/>
                <w:color w:val="000000"/>
              </w:rPr>
              <w:t>. Actes du 130e congrès national des sociétés historiques et scientifiques, 2005. La Rochelle: Éditions du CTHS, 2009, p. 21-46. Disponível em: http://cths.fr/ed/edition.php?id=4254</w:t>
            </w:r>
          </w:p>
          <w:p>
            <w:pPr>
              <w:widowControl w:val="0"/>
              <w:pBdr>
                <w:top w:val="none" w:color="auto" w:sz="0" w:space="0"/>
                <w:left w:val="none" w:color="auto" w:sz="0" w:space="0"/>
                <w:bottom w:val="none" w:color="auto" w:sz="0" w:space="0"/>
                <w:right w:val="none" w:color="auto" w:sz="0" w:space="0"/>
                <w:between w:val="none" w:color="auto" w:sz="0" w:space="0"/>
              </w:pBdr>
              <w:spacing w:line="348" w:lineRule="auto"/>
              <w:ind w:left="0" w:right="65"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JOSSERAND, Philippe. </w:t>
            </w:r>
            <w:r>
              <w:rPr>
                <w:rFonts w:ascii="Times New Roman" w:hAnsi="Times New Roman" w:eastAsia="Times New Roman" w:cs="Times New Roman"/>
                <w:color w:val="000000"/>
                <w:u w:val="single"/>
              </w:rPr>
              <w:t>The Templars in France: Between History, Heritage, andMemory</w:t>
            </w:r>
            <w:r>
              <w:rPr>
                <w:rFonts w:ascii="Times New Roman" w:hAnsi="Times New Roman" w:eastAsia="Times New Roman" w:cs="Times New Roman"/>
                <w:color w:val="000000"/>
              </w:rPr>
              <w:t xml:space="preserve">. In: </w:t>
            </w:r>
            <w:r>
              <w:rPr>
                <w:rFonts w:ascii="Times New Roman" w:hAnsi="Times New Roman" w:eastAsia="Times New Roman" w:cs="Times New Roman"/>
                <w:b/>
                <w:color w:val="000000"/>
              </w:rPr>
              <w:t>Mirabilia</w:t>
            </w:r>
            <w:r>
              <w:rPr>
                <w:rFonts w:ascii="Times New Roman" w:hAnsi="Times New Roman" w:eastAsia="Times New Roman" w:cs="Times New Roman"/>
                <w:color w:val="000000"/>
              </w:rPr>
              <w:t xml:space="preserve">. no. 21 (2015/2), p. 445-481. Disponível em: https://ddd.uab.cat/pub/mirabilia/mirabilia_a2015m6-12n21/mirabilia_a2015n21p445.pdf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PARTNER, Peter. </w:t>
            </w:r>
            <w:r>
              <w:rPr>
                <w:rFonts w:ascii="Times New Roman" w:hAnsi="Times New Roman" w:eastAsia="Times New Roman" w:cs="Times New Roman"/>
                <w:b/>
                <w:color w:val="000000"/>
              </w:rPr>
              <w:t>O assassinato dos Magos</w:t>
            </w:r>
            <w:r>
              <w:rPr>
                <w:rFonts w:ascii="Times New Roman" w:hAnsi="Times New Roman" w:eastAsia="Times New Roman" w:cs="Times New Roman"/>
                <w:color w:val="000000"/>
              </w:rPr>
              <w:t>: os Templários e seus mitos. Rio de Janeiro: Campus 1991.</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39"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ZOUACHE, Abbès. </w:t>
            </w:r>
            <w:r>
              <w:rPr>
                <w:rFonts w:ascii="Times New Roman" w:hAnsi="Times New Roman" w:eastAsia="Times New Roman" w:cs="Times New Roman"/>
                <w:b/>
                <w:color w:val="000000"/>
              </w:rPr>
              <w:t>Armées et Combats en Syrie de 491/1098 à 569/1174</w:t>
            </w:r>
            <w:r>
              <w:rPr>
                <w:rFonts w:ascii="Times New Roman" w:hAnsi="Times New Roman" w:eastAsia="Times New Roman" w:cs="Times New Roman"/>
                <w:color w:val="000000"/>
              </w:rPr>
              <w:t>: analyse comparée des chroniques médiévales latines et arabes. Damas: IFPO, 2008. Disponível em: https://www.academia.edu/1509362/Arm%C3%A9es_et_combats_en_Syrie</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39" w:hanging="2"/>
              <w:rPr>
                <w:rFonts w:ascii="Times New Roman" w:hAnsi="Times New Roman" w:eastAsia="Times New Roman" w:cs="Times New Roman"/>
                <w:color w:val="000000"/>
              </w:rPr>
            </w:pPr>
            <w:r>
              <w:rPr>
                <w:rFonts w:ascii="Times New Roman" w:hAnsi="Times New Roman" w:eastAsia="Times New Roman" w:cs="Times New Roman"/>
                <w:color w:val="000000"/>
              </w:rPr>
              <w:t>_de_1098_%C3%A0_1174._Analyse_compar%C3%A9e_des_sources_latines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39" w:hanging="2"/>
              <w:rPr>
                <w:rFonts w:ascii="Times New Roman" w:hAnsi="Times New Roman" w:eastAsia="Times New Roman" w:cs="Times New Roman"/>
                <w:color w:val="000000"/>
              </w:rPr>
            </w:pPr>
            <w:r>
              <w:rPr>
                <w:rFonts w:ascii="Times New Roman" w:hAnsi="Times New Roman" w:eastAsia="Times New Roman" w:cs="Times New Roman"/>
                <w:color w:val="000000"/>
              </w:rPr>
              <w:t>_et_arabes_m%C3%A9di%C3%A9vales.</w:t>
            </w:r>
          </w:p>
        </w:tc>
      </w:tr>
    </w:tbl>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tbl>
      <w:tblPr>
        <w:tblStyle w:val="548"/>
        <w:tblW w:w="9305" w:type="dxa"/>
        <w:tblInd w:w="22" w:type="dxa"/>
        <w:tblLayout w:type="fixed"/>
        <w:tblCellMar>
          <w:top w:w="0" w:type="dxa"/>
          <w:left w:w="22" w:type="dxa"/>
          <w:bottom w:w="0" w:type="dxa"/>
          <w:right w:w="22" w:type="dxa"/>
        </w:tblCellMar>
      </w:tblPr>
      <w:tblGrid>
        <w:gridCol w:w="2829"/>
        <w:gridCol w:w="3119"/>
        <w:gridCol w:w="3357"/>
      </w:tblGrid>
      <w:tr>
        <w:tblPrEx>
          <w:tblCellMar>
            <w:top w:w="0" w:type="dxa"/>
            <w:left w:w="22" w:type="dxa"/>
            <w:bottom w:w="0" w:type="dxa"/>
            <w:right w:w="22" w:type="dxa"/>
          </w:tblCellMar>
        </w:tblPrEx>
        <w:trPr>
          <w:trHeight w:val="2068" w:hRule="atLeast"/>
        </w:trPr>
        <w:tc>
          <w:tcPr>
            <w:tcW w:w="5948"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885"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Seminário em História Antiga e Medieval X</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1265"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Seminar in Ancient and Medieval History X</w:t>
            </w:r>
          </w:p>
        </w:tc>
        <w:tc>
          <w:tcPr>
            <w:tcW w:w="3357"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HIS285</w:t>
            </w:r>
          </w:p>
        </w:tc>
      </w:tr>
      <w:tr>
        <w:tblPrEx>
          <w:tblCellMar>
            <w:top w:w="0" w:type="dxa"/>
            <w:left w:w="22" w:type="dxa"/>
            <w:bottom w:w="0" w:type="dxa"/>
            <w:right w:w="22" w:type="dxa"/>
          </w:tblCellMar>
        </w:tblPrEx>
        <w:trPr>
          <w:trHeight w:val="830" w:hRule="atLeast"/>
        </w:trPr>
        <w:tc>
          <w:tcPr>
            <w:tcW w:w="5948"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w:t>
            </w:r>
          </w:p>
          <w:p>
            <w:pPr>
              <w:widowControl w:val="0"/>
              <w:pBdr>
                <w:top w:val="none" w:color="auto" w:sz="0" w:space="0"/>
                <w:left w:val="none" w:color="auto" w:sz="0" w:space="0"/>
                <w:bottom w:val="none" w:color="auto" w:sz="0" w:space="0"/>
                <w:right w:val="none" w:color="auto" w:sz="0" w:space="0"/>
                <w:between w:val="none" w:color="auto" w:sz="0" w:space="0"/>
              </w:pBdr>
              <w:spacing w:before="14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Departamento de História - DEHIS</w:t>
            </w:r>
          </w:p>
        </w:tc>
        <w:tc>
          <w:tcPr>
            <w:tcW w:w="3357"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3" w:hRule="atLeast"/>
        </w:trPr>
        <w:tc>
          <w:tcPr>
            <w:tcW w:w="2829"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428"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2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3119"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3357"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02 horas/aula</w:t>
            </w:r>
          </w:p>
        </w:tc>
      </w:tr>
      <w:tr>
        <w:tblPrEx>
          <w:tblCellMar>
            <w:top w:w="0" w:type="dxa"/>
            <w:left w:w="22" w:type="dxa"/>
            <w:bottom w:w="0" w:type="dxa"/>
            <w:right w:w="22" w:type="dxa"/>
          </w:tblCellMar>
        </w:tblPrEx>
        <w:trPr>
          <w:trHeight w:val="960" w:hRule="atLeast"/>
        </w:trPr>
        <w:tc>
          <w:tcPr>
            <w:tcW w:w="9305"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Ementa: Estudo das relações e dos equilíbrios de poder no Mundo Mediterrânico. Especificidades relativas aos contatos entre Oriente, Provença, norte de África e</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Península Ibérica.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tc>
      </w:tr>
      <w:tr>
        <w:tblPrEx>
          <w:tblCellMar>
            <w:top w:w="0" w:type="dxa"/>
            <w:left w:w="22" w:type="dxa"/>
            <w:bottom w:w="0" w:type="dxa"/>
            <w:right w:w="22" w:type="dxa"/>
          </w:tblCellMar>
        </w:tblPrEx>
        <w:trPr>
          <w:trHeight w:val="960" w:hRule="atLeast"/>
        </w:trPr>
        <w:tc>
          <w:tcPr>
            <w:tcW w:w="9305"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I: As dinâmicas do poder no espaço mediterrânico (séculos IV-VIII).</w:t>
            </w:r>
          </w:p>
          <w:p>
            <w:pPr>
              <w:widowControl w:val="0"/>
              <w:numPr>
                <w:ilvl w:val="0"/>
                <w:numId w:val="55"/>
              </w:numPr>
              <w:pBdr>
                <w:top w:val="none" w:color="auto" w:sz="0" w:space="0"/>
                <w:left w:val="none" w:color="auto" w:sz="0" w:space="0"/>
                <w:bottom w:val="none" w:color="auto" w:sz="0" w:space="0"/>
                <w:right w:val="none" w:color="auto" w:sz="0" w:space="0"/>
                <w:between w:val="none" w:color="auto" w:sz="0" w:space="0"/>
              </w:pBdr>
              <w:tabs>
                <w:tab w:val="left" w:pos="0"/>
                <w:tab w:val="left" w:pos="937"/>
                <w:tab w:val="left" w:pos="938"/>
              </w:tabs>
              <w:spacing w:before="139"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O Império Romano do Oriente.</w:t>
            </w:r>
          </w:p>
          <w:p>
            <w:pPr>
              <w:widowControl w:val="0"/>
              <w:numPr>
                <w:ilvl w:val="0"/>
                <w:numId w:val="55"/>
              </w:numPr>
              <w:pBdr>
                <w:top w:val="none" w:color="auto" w:sz="0" w:space="0"/>
                <w:left w:val="none" w:color="auto" w:sz="0" w:space="0"/>
                <w:bottom w:val="none" w:color="auto" w:sz="0" w:space="0"/>
                <w:right w:val="none" w:color="auto" w:sz="0" w:space="0"/>
                <w:between w:val="none" w:color="auto" w:sz="0" w:space="0"/>
              </w:pBdr>
              <w:tabs>
                <w:tab w:val="left" w:pos="0"/>
                <w:tab w:val="left" w:pos="937"/>
                <w:tab w:val="left" w:pos="938"/>
              </w:tabs>
              <w:spacing w:before="138"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 Espanha Visigótica.</w:t>
            </w:r>
          </w:p>
          <w:p>
            <w:pPr>
              <w:widowControl w:val="0"/>
              <w:numPr>
                <w:ilvl w:val="0"/>
                <w:numId w:val="55"/>
              </w:numPr>
              <w:pBdr>
                <w:top w:val="none" w:color="auto" w:sz="0" w:space="0"/>
                <w:left w:val="none" w:color="auto" w:sz="0" w:space="0"/>
                <w:bottom w:val="none" w:color="auto" w:sz="0" w:space="0"/>
                <w:right w:val="none" w:color="auto" w:sz="0" w:space="0"/>
                <w:between w:val="none" w:color="auto" w:sz="0" w:space="0"/>
              </w:pBdr>
              <w:tabs>
                <w:tab w:val="left" w:pos="0"/>
                <w:tab w:val="left" w:pos="937"/>
                <w:tab w:val="left" w:pos="938"/>
              </w:tabs>
              <w:spacing w:before="138"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Constantinopla e a ascensão do Islã.</w:t>
            </w:r>
          </w:p>
          <w:p>
            <w:pPr>
              <w:widowControl w:val="0"/>
              <w:pBdr>
                <w:top w:val="none" w:color="auto" w:sz="0" w:space="0"/>
                <w:left w:val="none" w:color="auto" w:sz="0" w:space="0"/>
                <w:bottom w:val="none" w:color="auto" w:sz="0" w:space="0"/>
                <w:right w:val="none" w:color="auto" w:sz="0" w:space="0"/>
                <w:between w:val="none" w:color="auto" w:sz="0" w:space="0"/>
              </w:pBdr>
              <w:spacing w:before="227" w:line="360" w:lineRule="auto"/>
              <w:ind w:left="0" w:right="-11"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Unidade II: Equilíbrios, disputas e acordos: o Mediterrâneo como espaço de </w:t>
            </w:r>
            <w:r>
              <w:rPr>
                <w:rFonts w:ascii="Times New Roman" w:hAnsi="Times New Roman" w:eastAsia="Times New Roman" w:cs="Times New Roman"/>
              </w:rPr>
              <w:t>integração de fronteiras</w:t>
            </w:r>
            <w:r>
              <w:rPr>
                <w:rFonts w:ascii="Times New Roman" w:hAnsi="Times New Roman" w:eastAsia="Times New Roman" w:cs="Times New Roman"/>
                <w:color w:val="000000"/>
              </w:rPr>
              <w:t xml:space="preserve"> (séculos IX-XIV).</w:t>
            </w:r>
          </w:p>
          <w:p>
            <w:pPr>
              <w:widowControl w:val="0"/>
              <w:numPr>
                <w:ilvl w:val="0"/>
                <w:numId w:val="55"/>
              </w:numPr>
              <w:pBdr>
                <w:top w:val="none" w:color="auto" w:sz="0" w:space="0"/>
                <w:left w:val="none" w:color="auto" w:sz="0" w:space="0"/>
                <w:bottom w:val="none" w:color="auto" w:sz="0" w:space="0"/>
                <w:right w:val="none" w:color="auto" w:sz="0" w:space="0"/>
                <w:between w:val="none" w:color="auto" w:sz="0" w:space="0"/>
              </w:pBdr>
              <w:tabs>
                <w:tab w:val="left" w:pos="0"/>
                <w:tab w:val="left" w:pos="937"/>
                <w:tab w:val="left" w:pos="938"/>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 conquista muçulmana da Península Ibérica.</w:t>
            </w:r>
          </w:p>
          <w:p>
            <w:pPr>
              <w:widowControl w:val="0"/>
              <w:numPr>
                <w:ilvl w:val="0"/>
                <w:numId w:val="55"/>
              </w:numPr>
              <w:pBdr>
                <w:top w:val="none" w:color="auto" w:sz="0" w:space="0"/>
                <w:left w:val="none" w:color="auto" w:sz="0" w:space="0"/>
                <w:bottom w:val="none" w:color="auto" w:sz="0" w:space="0"/>
                <w:right w:val="none" w:color="auto" w:sz="0" w:space="0"/>
                <w:between w:val="none" w:color="auto" w:sz="0" w:space="0"/>
              </w:pBdr>
              <w:tabs>
                <w:tab w:val="left" w:pos="0"/>
                <w:tab w:val="left" w:pos="937"/>
                <w:tab w:val="left" w:pos="938"/>
              </w:tabs>
              <w:spacing w:before="138"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O Norte de África muçulmano e o espaço mediterrânico.</w:t>
            </w:r>
          </w:p>
          <w:p>
            <w:pPr>
              <w:widowControl w:val="0"/>
              <w:numPr>
                <w:ilvl w:val="0"/>
                <w:numId w:val="55"/>
              </w:numPr>
              <w:pBdr>
                <w:top w:val="none" w:color="auto" w:sz="0" w:space="0"/>
                <w:left w:val="none" w:color="auto" w:sz="0" w:space="0"/>
                <w:bottom w:val="none" w:color="auto" w:sz="0" w:space="0"/>
                <w:right w:val="none" w:color="auto" w:sz="0" w:space="0"/>
                <w:between w:val="none" w:color="auto" w:sz="0" w:space="0"/>
              </w:pBdr>
              <w:tabs>
                <w:tab w:val="left" w:pos="0"/>
                <w:tab w:val="left" w:pos="937"/>
                <w:tab w:val="left" w:pos="938"/>
              </w:tabs>
              <w:spacing w:before="138"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Bizâncio e Al-Andaluz: diplomacia, disputas e influências culturais.</w:t>
            </w:r>
          </w:p>
          <w:p>
            <w:pPr>
              <w:widowControl w:val="0"/>
              <w:numPr>
                <w:ilvl w:val="0"/>
                <w:numId w:val="55"/>
              </w:numPr>
              <w:pBdr>
                <w:top w:val="none" w:color="auto" w:sz="0" w:space="0"/>
                <w:left w:val="none" w:color="auto" w:sz="0" w:space="0"/>
                <w:bottom w:val="none" w:color="auto" w:sz="0" w:space="0"/>
                <w:right w:val="none" w:color="auto" w:sz="0" w:space="0"/>
                <w:between w:val="none" w:color="auto" w:sz="0" w:space="0"/>
              </w:pBdr>
              <w:tabs>
                <w:tab w:val="left" w:pos="0"/>
                <w:tab w:val="left" w:pos="937"/>
                <w:tab w:val="left" w:pos="938"/>
              </w:tabs>
              <w:spacing w:before="138"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Muçulmanos e Cristãos no espaço provençal.</w:t>
            </w:r>
          </w:p>
        </w:tc>
      </w:tr>
      <w:tr>
        <w:tblPrEx>
          <w:tblCellMar>
            <w:top w:w="0" w:type="dxa"/>
            <w:left w:w="22" w:type="dxa"/>
            <w:bottom w:w="0" w:type="dxa"/>
            <w:right w:w="22" w:type="dxa"/>
          </w:tblCellMar>
        </w:tblPrEx>
        <w:trPr>
          <w:trHeight w:val="2280" w:hRule="atLeast"/>
        </w:trPr>
        <w:tc>
          <w:tcPr>
            <w:tcW w:w="9305"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3"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72"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ABULAFIA, David. </w:t>
            </w:r>
            <w:r>
              <w:rPr>
                <w:rFonts w:ascii="Times New Roman" w:hAnsi="Times New Roman" w:eastAsia="Times New Roman" w:cs="Times New Roman"/>
                <w:b/>
                <w:color w:val="000000"/>
              </w:rPr>
              <w:t xml:space="preserve">Mediterranean Encounters, Economic, Religious, Political, 1100-1550. </w:t>
            </w:r>
            <w:r>
              <w:rPr>
                <w:rFonts w:ascii="Times New Roman" w:hAnsi="Times New Roman" w:eastAsia="Times New Roman" w:cs="Times New Roman"/>
                <w:color w:val="000000"/>
              </w:rPr>
              <w:t>Aldershot: Burlington, USA: Ashgate c2000.</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JACOBY, David. </w:t>
            </w:r>
            <w:r>
              <w:rPr>
                <w:rFonts w:ascii="Times New Roman" w:hAnsi="Times New Roman" w:eastAsia="Times New Roman" w:cs="Times New Roman"/>
                <w:b/>
                <w:color w:val="000000"/>
              </w:rPr>
              <w:t xml:space="preserve">Byzantium, Latin Romania and the Mediterranean. </w:t>
            </w:r>
            <w:r>
              <w:rPr>
                <w:rFonts w:ascii="Times New Roman" w:hAnsi="Times New Roman" w:eastAsia="Times New Roman" w:cs="Times New Roman"/>
                <w:color w:val="000000"/>
              </w:rPr>
              <w:t>Aldershot: Burlington: Ashgate, c2001.</w:t>
            </w:r>
            <w:r>
              <w:rPr>
                <w:rFonts w:ascii="Times New Roman" w:hAnsi="Times New Roman" w:cs="Times New Roman"/>
                <w:lang w:eastAsia="pt-BR" w:bidi="ar-SA"/>
              </w:rPr>
              <mc:AlternateContent>
                <mc:Choice Requires="wps">
                  <w:drawing>
                    <wp:anchor distT="0" distB="0" distL="114300" distR="114300" simplePos="0" relativeHeight="251665408" behindDoc="0" locked="0" layoutInCell="1" allowOverlap="1">
                      <wp:simplePos x="0" y="0"/>
                      <wp:positionH relativeFrom="column">
                        <wp:posOffset>3086100</wp:posOffset>
                      </wp:positionH>
                      <wp:positionV relativeFrom="paragraph">
                        <wp:posOffset>8115300</wp:posOffset>
                      </wp:positionV>
                      <wp:extent cx="4445" cy="36830"/>
                      <wp:effectExtent l="0" t="0" r="0" b="0"/>
                      <wp:wrapNone/>
                      <wp:docPr id="1053" name="Conector de Seta Reta 1053"/>
                      <wp:cNvGraphicFramePr/>
                      <a:graphic xmlns:a="http://schemas.openxmlformats.org/drawingml/2006/main">
                        <a:graphicData uri="http://schemas.microsoft.com/office/word/2010/wordprocessingShape">
                          <wps:wsp>
                            <wps:cNvCnPr/>
                            <wps:spPr>
                              <a:xfrm>
                                <a:off x="5234240" y="3777778"/>
                                <a:ext cx="223520" cy="4445"/>
                              </a:xfrm>
                              <a:prstGeom prst="straightConnector1">
                                <a:avLst/>
                              </a:prstGeom>
                              <a:noFill/>
                              <a:ln w="36700" cap="flat" cmpd="sng">
                                <a:solidFill>
                                  <a:srgbClr val="F7F7F7"/>
                                </a:solidFill>
                                <a:prstDash val="solid"/>
                                <a:miter lim="800000"/>
                                <a:headEnd type="none" w="med" len="med"/>
                                <a:tailEnd type="none" w="med" len="med"/>
                              </a:ln>
                            </wps:spPr>
                            <wps:bodyPr/>
                          </wps:wsp>
                        </a:graphicData>
                      </a:graphic>
                    </wp:anchor>
                  </w:drawing>
                </mc:Choice>
                <mc:Fallback>
                  <w:pict>
                    <v:shape id="_x0000_s1026" o:spid="_x0000_s1026" o:spt="32" type="#_x0000_t32" style="position:absolute;left:0pt;margin-left:243pt;margin-top:639pt;height:2.9pt;width:0.35pt;z-index:251665408;mso-width-relative:page;mso-height-relative:page;" filled="f" stroked="t" coordsize="21600,21600" o:gfxdata="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oTWGHaAAAADQEAAA8AAAAAAAAAAQAgAAAAIgAA&#10;AGRycy9kb3ducmV2LnhtbFBLAQIUABQAAAAIAIdO4kCzbhQjBgIAACMEAAAOAAAAAAAAAAEAIAAA&#10;ACkBAABkcnMvZTJvRG9jLnhtbFBLBQYAAAAABgAGAFkBAAChBQAAAAA=&#10;">
                      <v:fill on="f" focussize="0,0"/>
                      <v:stroke weight="2.88976377952756pt" color="#F7F7F7" miterlimit="8" joinstyle="miter"/>
                      <v:imagedata o:title=""/>
                      <o:lock v:ext="edit" aspectratio="f"/>
                    </v:shape>
                  </w:pict>
                </mc:Fallback>
              </mc:AlternateConten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HERRIN, Judith. </w:t>
            </w:r>
            <w:r>
              <w:rPr>
                <w:rFonts w:ascii="Times New Roman" w:hAnsi="Times New Roman" w:eastAsia="Times New Roman" w:cs="Times New Roman"/>
                <w:b/>
                <w:color w:val="000000"/>
              </w:rPr>
              <w:t>Byzantium</w:t>
            </w:r>
            <w:r>
              <w:rPr>
                <w:rFonts w:ascii="Times New Roman" w:hAnsi="Times New Roman" w:eastAsia="Times New Roman" w:cs="Times New Roman"/>
                <w:color w:val="000000"/>
              </w:rPr>
              <w:t>: the surprising life of a medieval empire. London; Penguin Books, 2008.</w:t>
            </w:r>
          </w:p>
        </w:tc>
      </w:tr>
      <w:tr>
        <w:tblPrEx>
          <w:tblCellMar>
            <w:top w:w="0" w:type="dxa"/>
            <w:left w:w="22" w:type="dxa"/>
            <w:bottom w:w="0" w:type="dxa"/>
            <w:right w:w="22" w:type="dxa"/>
          </w:tblCellMar>
        </w:tblPrEx>
        <w:trPr>
          <w:trHeight w:val="553" w:hRule="atLeast"/>
        </w:trPr>
        <w:tc>
          <w:tcPr>
            <w:tcW w:w="9305"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tabs>
                <w:tab w:val="left" w:pos="1699"/>
                <w:tab w:val="left" w:pos="2663"/>
                <w:tab w:val="left" w:pos="4001"/>
                <w:tab w:val="left" w:pos="5863"/>
                <w:tab w:val="left" w:pos="8052"/>
              </w:tabs>
              <w:spacing w:line="360" w:lineRule="auto"/>
              <w:ind w:left="0" w:right="63"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tabs>
                <w:tab w:val="left" w:pos="1699"/>
                <w:tab w:val="left" w:pos="2663"/>
                <w:tab w:val="left" w:pos="4001"/>
                <w:tab w:val="left" w:pos="5863"/>
                <w:tab w:val="left" w:pos="8052"/>
              </w:tabs>
              <w:spacing w:line="360" w:lineRule="auto"/>
              <w:ind w:left="0" w:right="63" w:hanging="2"/>
              <w:rPr>
                <w:rFonts w:ascii="Times New Roman" w:hAnsi="Times New Roman" w:eastAsia="Times New Roman" w:cs="Times New Roman"/>
                <w:color w:val="000000"/>
              </w:rPr>
            </w:pPr>
            <w:r>
              <w:rPr>
                <w:rFonts w:ascii="Times New Roman" w:hAnsi="Times New Roman" w:eastAsia="Times New Roman" w:cs="Times New Roman"/>
                <w:color w:val="000000"/>
              </w:rPr>
              <w:t>ABULAFIA,</w:t>
            </w:r>
            <w:r>
              <w:rPr>
                <w:rFonts w:ascii="Times New Roman" w:hAnsi="Times New Roman" w:eastAsia="Times New Roman" w:cs="Times New Roman"/>
                <w:color w:val="000000"/>
              </w:rPr>
              <w:tab/>
            </w:r>
            <w:r>
              <w:rPr>
                <w:rFonts w:ascii="Times New Roman" w:hAnsi="Times New Roman" w:eastAsia="Times New Roman" w:cs="Times New Roman"/>
                <w:color w:val="000000"/>
              </w:rPr>
              <w:t>David;</w:t>
            </w:r>
            <w:r>
              <w:rPr>
                <w:rFonts w:ascii="Times New Roman" w:hAnsi="Times New Roman" w:eastAsia="Times New Roman" w:cs="Times New Roman"/>
                <w:color w:val="000000"/>
              </w:rPr>
              <w:tab/>
            </w:r>
            <w:r>
              <w:rPr>
                <w:rFonts w:ascii="Times New Roman" w:hAnsi="Times New Roman" w:eastAsia="Times New Roman" w:cs="Times New Roman"/>
                <w:color w:val="000000"/>
              </w:rPr>
              <w:t xml:space="preserve">BEREND, Nora. </w:t>
            </w:r>
            <w:r>
              <w:rPr>
                <w:rFonts w:ascii="Times New Roman" w:hAnsi="Times New Roman" w:eastAsia="Times New Roman" w:cs="Times New Roman"/>
                <w:b/>
                <w:color w:val="000000"/>
              </w:rPr>
              <w:t xml:space="preserve">Medieval frontiers: </w:t>
            </w:r>
            <w:r>
              <w:rPr>
                <w:rFonts w:ascii="Times New Roman" w:hAnsi="Times New Roman" w:eastAsia="Times New Roman" w:cs="Times New Roman"/>
                <w:color w:val="000000"/>
              </w:rPr>
              <w:t>concepts</w:t>
            </w:r>
            <w:r>
              <w:rPr>
                <w:rFonts w:ascii="Times New Roman" w:hAnsi="Times New Roman" w:eastAsia="Times New Roman" w:cs="Times New Roman"/>
                <w:color w:val="000000"/>
              </w:rPr>
              <w:tab/>
            </w:r>
            <w:r>
              <w:rPr>
                <w:rFonts w:ascii="Times New Roman" w:hAnsi="Times New Roman" w:eastAsia="Times New Roman" w:cs="Times New Roman"/>
                <w:color w:val="000000"/>
              </w:rPr>
              <w:t>and practices. Aldershot: Burlington: Ashgatec2002.</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ANGOLD, Michael. </w:t>
            </w:r>
            <w:r>
              <w:rPr>
                <w:rFonts w:ascii="Times New Roman" w:hAnsi="Times New Roman" w:eastAsia="Times New Roman" w:cs="Times New Roman"/>
                <w:b/>
                <w:color w:val="000000"/>
              </w:rPr>
              <w:t>Bizâncio</w:t>
            </w:r>
            <w:r>
              <w:rPr>
                <w:rFonts w:ascii="Times New Roman" w:hAnsi="Times New Roman" w:eastAsia="Times New Roman" w:cs="Times New Roman"/>
                <w:color w:val="000000"/>
              </w:rPr>
              <w:t>: a ponte da Antiguidade para a Idade Média. Rio de Janeiro: Imago, 2002.</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EL FASI, Mohammed (ed.). </w:t>
            </w:r>
            <w:r>
              <w:rPr>
                <w:rFonts w:ascii="Times New Roman" w:hAnsi="Times New Roman" w:eastAsia="Times New Roman" w:cs="Times New Roman"/>
                <w:b/>
                <w:color w:val="000000"/>
              </w:rPr>
              <w:t>História Geral da África</w:t>
            </w:r>
            <w:r>
              <w:rPr>
                <w:rFonts w:ascii="Times New Roman" w:hAnsi="Times New Roman" w:eastAsia="Times New Roman" w:cs="Times New Roman"/>
                <w:color w:val="000000"/>
              </w:rPr>
              <w:t>. v. 3: África do Século VII ao</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XI. Brasília: UNESCO, 2010.</w:t>
            </w:r>
          </w:p>
          <w:p>
            <w:pPr>
              <w:widowControl w:val="0"/>
              <w:pBdr>
                <w:top w:val="none" w:color="auto" w:sz="0" w:space="0"/>
                <w:left w:val="none" w:color="auto" w:sz="0" w:space="0"/>
                <w:bottom w:val="none" w:color="auto" w:sz="0" w:space="0"/>
                <w:right w:val="none" w:color="auto" w:sz="0" w:space="0"/>
                <w:between w:val="none" w:color="auto" w:sz="0" w:space="0"/>
              </w:pBdr>
              <w:spacing w:before="11"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GARCÍA DE CORTAZAR, José Angel. </w:t>
            </w:r>
            <w:r>
              <w:rPr>
                <w:rFonts w:ascii="Times New Roman" w:hAnsi="Times New Roman" w:eastAsia="Times New Roman" w:cs="Times New Roman"/>
                <w:b/>
                <w:color w:val="000000"/>
              </w:rPr>
              <w:t>La Época Medieval</w:t>
            </w:r>
            <w:r>
              <w:rPr>
                <w:rFonts w:ascii="Times New Roman" w:hAnsi="Times New Roman" w:eastAsia="Times New Roman" w:cs="Times New Roman"/>
                <w:color w:val="000000"/>
              </w:rPr>
              <w:t>. 8a.ed. Madrid: Alianza Editorial Alfaguara, 1981.</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GIORDANI, Mario Curtis. </w:t>
            </w:r>
            <w:r>
              <w:rPr>
                <w:rFonts w:ascii="Times New Roman" w:hAnsi="Times New Roman" w:eastAsia="Times New Roman" w:cs="Times New Roman"/>
                <w:b/>
                <w:color w:val="000000"/>
              </w:rPr>
              <w:t>História do Mundo Árabe Medieval</w:t>
            </w:r>
            <w:r>
              <w:rPr>
                <w:rFonts w:ascii="Times New Roman" w:hAnsi="Times New Roman" w:eastAsia="Times New Roman" w:cs="Times New Roman"/>
                <w:color w:val="000000"/>
              </w:rPr>
              <w:t>. Petropolis, RJ: Vozes 1976.</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MCKITTERICK, Rosamond; REUTER, Timothy; LUSCOMBRE, David; RILEY-</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SMITH, Jonathan; ABULAFIA, David;  JONES,  Michael;  ALLMAND, Christopher. </w:t>
            </w:r>
            <w:r>
              <w:rPr>
                <w:rFonts w:ascii="Times New Roman" w:hAnsi="Times New Roman" w:eastAsia="Times New Roman" w:cs="Times New Roman"/>
                <w:b/>
                <w:color w:val="000000"/>
              </w:rPr>
              <w:t>The New Cambridge Medieval History</w:t>
            </w:r>
            <w:r>
              <w:rPr>
                <w:rFonts w:ascii="Times New Roman" w:hAnsi="Times New Roman" w:eastAsia="Times New Roman" w:cs="Times New Roman"/>
                <w:color w:val="000000"/>
              </w:rPr>
              <w:t>. Cambridge: Cambridge University Press1995-2005.</w:t>
            </w:r>
          </w:p>
          <w:p>
            <w:pPr>
              <w:ind w:left="0" w:hanging="2"/>
              <w:rPr>
                <w:rFonts w:ascii="Times New Roman" w:hAnsi="Times New Roman" w:cs="Times New Roman"/>
              </w:rPr>
            </w:pPr>
          </w:p>
          <w:p>
            <w:pPr>
              <w:tabs>
                <w:tab w:val="left" w:pos="2275"/>
              </w:tabs>
              <w:ind w:left="0" w:hanging="2"/>
              <w:rPr>
                <w:rFonts w:ascii="Times New Roman" w:hAnsi="Times New Roman" w:cs="Times New Roman"/>
              </w:rPr>
            </w:pPr>
          </w:p>
        </w:tc>
      </w:tr>
    </w:tbl>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br w:type="textWrapping"/>
      </w:r>
    </w:p>
    <w:p>
      <w:pPr>
        <w:pBdr>
          <w:top w:val="none" w:color="auto" w:sz="0" w:space="0"/>
          <w:left w:val="none" w:color="auto" w:sz="0" w:space="0"/>
          <w:bottom w:val="none" w:color="auto" w:sz="0" w:space="0"/>
          <w:right w:val="none" w:color="auto" w:sz="0" w:space="0"/>
          <w:between w:val="none" w:color="auto" w:sz="0" w:space="0"/>
        </w:pBdr>
        <w:spacing w:before="3" w:after="140" w:line="288" w:lineRule="auto"/>
        <w:ind w:left="0" w:hanging="2"/>
        <w:rPr>
          <w:rFonts w:ascii="Times New Roman" w:hAnsi="Times New Roman" w:eastAsia="Times New Roman" w:cs="Times New Roman"/>
          <w:color w:val="000000"/>
        </w:rPr>
      </w:pPr>
    </w:p>
    <w:tbl>
      <w:tblPr>
        <w:tblStyle w:val="549"/>
        <w:tblW w:w="9021" w:type="dxa"/>
        <w:tblInd w:w="2" w:type="dxa"/>
        <w:tblLayout w:type="fixed"/>
        <w:tblCellMar>
          <w:top w:w="0" w:type="dxa"/>
          <w:left w:w="22" w:type="dxa"/>
          <w:bottom w:w="0" w:type="dxa"/>
          <w:right w:w="22" w:type="dxa"/>
        </w:tblCellMar>
      </w:tblPr>
      <w:tblGrid>
        <w:gridCol w:w="2830"/>
        <w:gridCol w:w="3243"/>
        <w:gridCol w:w="2948"/>
      </w:tblGrid>
      <w:tr>
        <w:tblPrEx>
          <w:tblCellMar>
            <w:top w:w="0" w:type="dxa"/>
            <w:left w:w="22" w:type="dxa"/>
            <w:bottom w:w="0" w:type="dxa"/>
            <w:right w:w="22" w:type="dxa"/>
          </w:tblCellMar>
        </w:tblPrEx>
        <w:trPr>
          <w:trHeight w:val="2112" w:hRule="atLeast"/>
        </w:trPr>
        <w:tc>
          <w:tcPr>
            <w:tcW w:w="6073"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Seminário em História Antiga e Medieval XI</w:t>
            </w:r>
          </w:p>
          <w:p>
            <w:pPr>
              <w:widowControl w:val="0"/>
              <w:pBdr>
                <w:top w:val="none" w:color="auto" w:sz="0" w:space="0"/>
                <w:left w:val="none" w:color="auto" w:sz="0" w:space="0"/>
                <w:bottom w:val="none" w:color="auto" w:sz="0" w:space="0"/>
                <w:right w:val="none" w:color="auto" w:sz="0" w:space="0"/>
                <w:between w:val="none" w:color="auto" w:sz="0" w:space="0"/>
              </w:pBdr>
              <w:spacing w:before="4"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Seminar in Ancient and Medieval History XI</w:t>
            </w:r>
          </w:p>
        </w:tc>
        <w:tc>
          <w:tcPr>
            <w:tcW w:w="2948"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HIS286</w:t>
            </w:r>
          </w:p>
        </w:tc>
      </w:tr>
      <w:tr>
        <w:tblPrEx>
          <w:tblCellMar>
            <w:top w:w="0" w:type="dxa"/>
            <w:left w:w="22" w:type="dxa"/>
            <w:bottom w:w="0" w:type="dxa"/>
            <w:right w:w="22" w:type="dxa"/>
          </w:tblCellMar>
        </w:tblPrEx>
        <w:trPr>
          <w:trHeight w:val="830" w:hRule="atLeast"/>
        </w:trPr>
        <w:tc>
          <w:tcPr>
            <w:tcW w:w="6073"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w:t>
            </w:r>
          </w:p>
          <w:p>
            <w:pPr>
              <w:widowControl w:val="0"/>
              <w:pBdr>
                <w:top w:val="none" w:color="auto" w:sz="0" w:space="0"/>
                <w:left w:val="none" w:color="auto" w:sz="0" w:space="0"/>
                <w:bottom w:val="none" w:color="auto" w:sz="0" w:space="0"/>
                <w:right w:val="none" w:color="auto" w:sz="0" w:space="0"/>
                <w:between w:val="none" w:color="auto" w:sz="0" w:space="0"/>
              </w:pBdr>
              <w:spacing w:before="14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Departamento de História - DEHIS</w:t>
            </w:r>
          </w:p>
        </w:tc>
        <w:tc>
          <w:tcPr>
            <w:tcW w:w="2948"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3" w:hRule="atLeast"/>
        </w:trPr>
        <w:tc>
          <w:tcPr>
            <w:tcW w:w="2830"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428"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2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3243"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04horas/aula</w:t>
            </w:r>
          </w:p>
        </w:tc>
        <w:tc>
          <w:tcPr>
            <w:tcW w:w="2948"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02 horas/aula</w:t>
            </w:r>
          </w:p>
        </w:tc>
      </w:tr>
      <w:tr>
        <w:tblPrEx>
          <w:tblCellMar>
            <w:top w:w="0" w:type="dxa"/>
            <w:left w:w="22" w:type="dxa"/>
            <w:bottom w:w="0" w:type="dxa"/>
            <w:right w:w="22" w:type="dxa"/>
          </w:tblCellMar>
        </w:tblPrEx>
        <w:trPr>
          <w:trHeight w:val="825"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tabs>
                <w:tab w:val="left" w:pos="2113"/>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Ementa: Leitura e</w:t>
            </w:r>
            <w:r>
              <w:rPr>
                <w:rFonts w:ascii="Times New Roman" w:hAnsi="Times New Roman" w:eastAsia="Times New Roman" w:cs="Times New Roman"/>
                <w:color w:val="000000"/>
              </w:rPr>
              <w:tab/>
            </w:r>
            <w:r>
              <w:rPr>
                <w:rFonts w:ascii="Times New Roman" w:hAnsi="Times New Roman" w:eastAsia="Times New Roman" w:cs="Times New Roman"/>
                <w:color w:val="000000"/>
              </w:rPr>
              <w:t>estudo de textos latinos clássicos, detendo-se em determinadas</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especificidades tipológicas: historiografia, poesia, teatro, tratados técnicos, etc.</w:t>
            </w:r>
          </w:p>
        </w:tc>
      </w:tr>
      <w:tr>
        <w:tblPrEx>
          <w:tblCellMar>
            <w:top w:w="0" w:type="dxa"/>
            <w:left w:w="22" w:type="dxa"/>
            <w:bottom w:w="0" w:type="dxa"/>
            <w:right w:w="22" w:type="dxa"/>
          </w:tblCellMar>
        </w:tblPrEx>
        <w:trPr>
          <w:trHeight w:val="3135"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before="3"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Unidade </w:t>
            </w:r>
            <w:r>
              <w:rPr>
                <w:rFonts w:ascii="Times New Roman" w:hAnsi="Times New Roman" w:eastAsia="Times New Roman" w:cs="Times New Roman"/>
              </w:rPr>
              <w:t>I</w:t>
            </w:r>
            <w:r>
              <w:rPr>
                <w:rFonts w:ascii="Times New Roman" w:hAnsi="Times New Roman" w:eastAsia="Times New Roman" w:cs="Times New Roman"/>
                <w:color w:val="000000"/>
              </w:rPr>
              <w:t xml:space="preserve"> – “Literatura latina”: questões de definição e recortes temáticos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Unidade</w:t>
            </w:r>
            <w:r>
              <w:rPr>
                <w:rFonts w:ascii="Times New Roman" w:hAnsi="Times New Roman" w:eastAsia="Times New Roman" w:cs="Times New Roman"/>
              </w:rPr>
              <w:t xml:space="preserve"> II</w:t>
            </w:r>
            <w:r>
              <w:rPr>
                <w:rFonts w:ascii="Times New Roman" w:hAnsi="Times New Roman" w:eastAsia="Times New Roman" w:cs="Times New Roman"/>
                <w:color w:val="000000"/>
              </w:rPr>
              <w:t xml:space="preserve"> – Processos de transmissão e modos de recepção de textos literários na Antiguidade</w:t>
            </w: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Unidade </w:t>
            </w:r>
            <w:r>
              <w:rPr>
                <w:rFonts w:ascii="Times New Roman" w:hAnsi="Times New Roman" w:eastAsia="Times New Roman" w:cs="Times New Roman"/>
              </w:rPr>
              <w:t>III</w:t>
            </w:r>
            <w:r>
              <w:rPr>
                <w:rFonts w:ascii="Times New Roman" w:hAnsi="Times New Roman" w:eastAsia="Times New Roman" w:cs="Times New Roman"/>
                <w:color w:val="000000"/>
              </w:rPr>
              <w:t xml:space="preserve"> – O teatro em Roma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Unidade</w:t>
            </w:r>
            <w:r>
              <w:rPr>
                <w:rFonts w:ascii="Times New Roman" w:hAnsi="Times New Roman" w:eastAsia="Times New Roman" w:cs="Times New Roman"/>
              </w:rPr>
              <w:t xml:space="preserve"> IV</w:t>
            </w:r>
            <w:r>
              <w:rPr>
                <w:rFonts w:ascii="Times New Roman" w:hAnsi="Times New Roman" w:eastAsia="Times New Roman" w:cs="Times New Roman"/>
                <w:color w:val="000000"/>
              </w:rPr>
              <w:t xml:space="preserve"> - A poesia latina: autores e temas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Unidade </w:t>
            </w:r>
            <w:r>
              <w:rPr>
                <w:rFonts w:ascii="Times New Roman" w:hAnsi="Times New Roman" w:eastAsia="Times New Roman" w:cs="Times New Roman"/>
              </w:rPr>
              <w:t>V</w:t>
            </w:r>
            <w:r>
              <w:rPr>
                <w:rFonts w:ascii="Times New Roman" w:hAnsi="Times New Roman" w:eastAsia="Times New Roman" w:cs="Times New Roman"/>
                <w:color w:val="000000"/>
              </w:rPr>
              <w:t xml:space="preserve"> – A historiografia latina e a política em Roma Unidade 6 – A prosa técnica latina</w:t>
            </w:r>
          </w:p>
        </w:tc>
      </w:tr>
      <w:tr>
        <w:tblPrEx>
          <w:tblCellMar>
            <w:top w:w="0" w:type="dxa"/>
            <w:left w:w="22" w:type="dxa"/>
            <w:bottom w:w="0" w:type="dxa"/>
            <w:right w:w="22" w:type="dxa"/>
          </w:tblCellMar>
        </w:tblPrEx>
        <w:trPr>
          <w:trHeight w:val="1778"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2"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HARRISON, Stephen (ed.), </w:t>
            </w:r>
            <w:r>
              <w:rPr>
                <w:rFonts w:ascii="Times New Roman" w:hAnsi="Times New Roman" w:eastAsia="Times New Roman" w:cs="Times New Roman"/>
                <w:b/>
                <w:color w:val="000000"/>
              </w:rPr>
              <w:t xml:space="preserve">A Companion to Latin Literature. </w:t>
            </w:r>
            <w:r>
              <w:rPr>
                <w:rFonts w:ascii="Times New Roman" w:hAnsi="Times New Roman" w:eastAsia="Times New Roman" w:cs="Times New Roman"/>
                <w:color w:val="000000"/>
              </w:rPr>
              <w:t>Blackwell Companions to the Ancient World. Oxford: Blackwell, 2005.</w:t>
            </w: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JOLY, Fábio D. </w:t>
            </w:r>
            <w:r>
              <w:rPr>
                <w:rFonts w:ascii="Times New Roman" w:hAnsi="Times New Roman" w:eastAsia="Times New Roman" w:cs="Times New Roman"/>
                <w:b/>
                <w:color w:val="000000"/>
              </w:rPr>
              <w:t>História e Retórica</w:t>
            </w:r>
            <w:r>
              <w:rPr>
                <w:rFonts w:ascii="Times New Roman" w:hAnsi="Times New Roman" w:eastAsia="Times New Roman" w:cs="Times New Roman"/>
                <w:color w:val="000000"/>
              </w:rPr>
              <w:t>: ensaios sobre historiografia antiga. São Paulo: Alameda, 2007.</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PARATORE, Ettore. </w:t>
            </w:r>
            <w:r>
              <w:rPr>
                <w:rFonts w:ascii="Times New Roman" w:hAnsi="Times New Roman" w:eastAsia="Times New Roman" w:cs="Times New Roman"/>
                <w:b/>
                <w:color w:val="000000"/>
              </w:rPr>
              <w:t xml:space="preserve">História da literatura latina. </w:t>
            </w:r>
            <w:r>
              <w:rPr>
                <w:rFonts w:ascii="Times New Roman" w:hAnsi="Times New Roman" w:eastAsia="Times New Roman" w:cs="Times New Roman"/>
                <w:color w:val="000000"/>
              </w:rPr>
              <w:t>Lisboa: Fundação Calouste Gulbenkian, 1987.</w:t>
            </w:r>
          </w:p>
        </w:tc>
      </w:tr>
      <w:tr>
        <w:tblPrEx>
          <w:tblCellMar>
            <w:top w:w="0" w:type="dxa"/>
            <w:left w:w="22" w:type="dxa"/>
            <w:bottom w:w="0" w:type="dxa"/>
            <w:right w:w="22" w:type="dxa"/>
          </w:tblCellMar>
        </w:tblPrEx>
        <w:trPr>
          <w:trHeight w:val="1777"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2"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4"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AGNOLON, Alexandre. </w:t>
            </w:r>
            <w:r>
              <w:rPr>
                <w:rFonts w:ascii="Times New Roman" w:hAnsi="Times New Roman" w:eastAsia="Times New Roman" w:cs="Times New Roman"/>
                <w:b/>
                <w:color w:val="000000"/>
              </w:rPr>
              <w:t>A festa de saturno: o Xênia e o Apoforeta de Marcial</w:t>
            </w:r>
            <w:r>
              <w:rPr>
                <w:rFonts w:ascii="Times New Roman" w:hAnsi="Times New Roman" w:eastAsia="Times New Roman" w:cs="Times New Roman"/>
                <w:color w:val="000000"/>
              </w:rPr>
              <w:t>. São Paulo: EDUSP,2017.</w:t>
            </w: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right="64"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CARVALHO, Raimundo; FLORES, Guilherme Gontijo; GOUVÊA JÚNIOR, Márcio Meirelles; OLIVIA NETO, João Angelo (Org.). </w:t>
            </w:r>
            <w:r>
              <w:rPr>
                <w:rFonts w:ascii="Times New Roman" w:hAnsi="Times New Roman" w:eastAsia="Times New Roman" w:cs="Times New Roman"/>
                <w:b/>
                <w:color w:val="000000"/>
              </w:rPr>
              <w:t xml:space="preserve">Por que calar nossos amores?: </w:t>
            </w:r>
            <w:r>
              <w:rPr>
                <w:rFonts w:ascii="Times New Roman" w:hAnsi="Times New Roman" w:eastAsia="Times New Roman" w:cs="Times New Roman"/>
                <w:color w:val="000000"/>
              </w:rPr>
              <w:t>poesia homoerótica latina. Belo Horizonte: Autêntica, 2017.</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9"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CURTIUS, Ernst Robert. </w:t>
            </w:r>
            <w:r>
              <w:rPr>
                <w:rFonts w:ascii="Times New Roman" w:hAnsi="Times New Roman" w:eastAsia="Times New Roman" w:cs="Times New Roman"/>
                <w:b/>
                <w:color w:val="000000"/>
              </w:rPr>
              <w:t xml:space="preserve">Literatura européia e idade média latina. </w:t>
            </w:r>
            <w:r>
              <w:rPr>
                <w:rFonts w:ascii="Times New Roman" w:hAnsi="Times New Roman" w:eastAsia="Times New Roman" w:cs="Times New Roman"/>
                <w:color w:val="000000"/>
              </w:rPr>
              <w:t>São Paulo: Hucitec/EDUSP, 1996.</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2"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FAVERSANI, Fábio. </w:t>
            </w:r>
            <w:r>
              <w:rPr>
                <w:rFonts w:ascii="Times New Roman" w:hAnsi="Times New Roman" w:eastAsia="Times New Roman" w:cs="Times New Roman"/>
                <w:b/>
                <w:color w:val="000000"/>
              </w:rPr>
              <w:t>A pobreza no Satyricon, de Petrônio</w:t>
            </w:r>
            <w:r>
              <w:rPr>
                <w:rFonts w:ascii="Times New Roman" w:hAnsi="Times New Roman" w:eastAsia="Times New Roman" w:cs="Times New Roman"/>
                <w:color w:val="000000"/>
              </w:rPr>
              <w:t>. Ouro Preto: UFOP, 1999.</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MCDONALD, Marianne; WALTON, J. Michael. </w:t>
            </w:r>
            <w:r>
              <w:rPr>
                <w:rFonts w:ascii="Times New Roman" w:hAnsi="Times New Roman" w:eastAsia="Times New Roman" w:cs="Times New Roman"/>
                <w:b/>
                <w:color w:val="000000"/>
              </w:rPr>
              <w:t>The Cambridge companion to Greek and Roman theatre.</w:t>
            </w:r>
            <w:r>
              <w:rPr>
                <w:rFonts w:ascii="Times New Roman" w:hAnsi="Times New Roman" w:eastAsia="Times New Roman" w:cs="Times New Roman"/>
                <w:color w:val="000000"/>
              </w:rPr>
              <w:t>Cambridge; New York: Cambridge University Press, 2007.</w:t>
            </w:r>
          </w:p>
        </w:tc>
      </w:tr>
    </w:tbl>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10" w:after="14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10" w:after="140" w:line="288" w:lineRule="auto"/>
        <w:ind w:left="0" w:hanging="2"/>
        <w:rPr>
          <w:rFonts w:ascii="Times New Roman" w:hAnsi="Times New Roman" w:eastAsia="Times New Roman" w:cs="Times New Roman"/>
          <w:color w:val="000000"/>
        </w:rPr>
      </w:pPr>
    </w:p>
    <w:tbl>
      <w:tblPr>
        <w:tblStyle w:val="550"/>
        <w:tblW w:w="9021" w:type="dxa"/>
        <w:tblInd w:w="2" w:type="dxa"/>
        <w:tblLayout w:type="fixed"/>
        <w:tblCellMar>
          <w:top w:w="0" w:type="dxa"/>
          <w:left w:w="22" w:type="dxa"/>
          <w:bottom w:w="0" w:type="dxa"/>
          <w:right w:w="22" w:type="dxa"/>
        </w:tblCellMar>
      </w:tblPr>
      <w:tblGrid>
        <w:gridCol w:w="2796"/>
        <w:gridCol w:w="3119"/>
        <w:gridCol w:w="3106"/>
      </w:tblGrid>
      <w:tr>
        <w:tblPrEx>
          <w:tblCellMar>
            <w:top w:w="0" w:type="dxa"/>
            <w:left w:w="22" w:type="dxa"/>
            <w:bottom w:w="0" w:type="dxa"/>
            <w:right w:w="22" w:type="dxa"/>
          </w:tblCellMar>
        </w:tblPrEx>
        <w:trPr>
          <w:trHeight w:val="2486" w:hRule="atLeast"/>
        </w:trPr>
        <w:tc>
          <w:tcPr>
            <w:tcW w:w="5915"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818"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Seminário em História Antiga e Medieval XII</w:t>
            </w:r>
          </w:p>
          <w:p>
            <w:pPr>
              <w:widowControl w:val="0"/>
              <w:pBdr>
                <w:top w:val="none" w:color="auto" w:sz="0" w:space="0"/>
                <w:left w:val="none" w:color="auto" w:sz="0" w:space="0"/>
                <w:bottom w:val="none" w:color="auto" w:sz="0" w:space="0"/>
                <w:right w:val="none" w:color="auto" w:sz="0" w:space="0"/>
                <w:between w:val="none" w:color="auto" w:sz="0" w:space="0"/>
              </w:pBdr>
              <w:spacing w:before="4"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059"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Seminar in Ancient and Medieval History XII</w:t>
            </w:r>
          </w:p>
        </w:tc>
        <w:tc>
          <w:tcPr>
            <w:tcW w:w="3106"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HIS287</w:t>
            </w:r>
          </w:p>
        </w:tc>
      </w:tr>
      <w:tr>
        <w:tblPrEx>
          <w:tblCellMar>
            <w:top w:w="0" w:type="dxa"/>
            <w:left w:w="22" w:type="dxa"/>
            <w:bottom w:w="0" w:type="dxa"/>
            <w:right w:w="22" w:type="dxa"/>
          </w:tblCellMar>
        </w:tblPrEx>
        <w:trPr>
          <w:trHeight w:val="825" w:hRule="atLeast"/>
        </w:trPr>
        <w:tc>
          <w:tcPr>
            <w:tcW w:w="5915"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Departamento de História – DEHIS</w:t>
            </w:r>
          </w:p>
        </w:tc>
        <w:tc>
          <w:tcPr>
            <w:tcW w:w="310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3" w:hRule="atLeast"/>
        </w:trPr>
        <w:tc>
          <w:tcPr>
            <w:tcW w:w="2796"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395"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397"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3119"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310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 02 horas/aula</w:t>
            </w:r>
          </w:p>
        </w:tc>
      </w:tr>
      <w:tr>
        <w:tblPrEx>
          <w:tblCellMar>
            <w:top w:w="0" w:type="dxa"/>
            <w:left w:w="22" w:type="dxa"/>
            <w:bottom w:w="0" w:type="dxa"/>
            <w:right w:w="22" w:type="dxa"/>
          </w:tblCellMar>
        </w:tblPrEx>
        <w:trPr>
          <w:trHeight w:val="1658"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Estudo de escritos latinos medievais e suas especificidades tipológicas: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hagiografias, crônicas, </w:t>
            </w:r>
            <w:r>
              <w:rPr>
                <w:rFonts w:ascii="Times New Roman" w:hAnsi="Times New Roman" w:eastAsia="Times New Roman" w:cs="Times New Roman"/>
                <w:i/>
                <w:color w:val="000000"/>
              </w:rPr>
              <w:t xml:space="preserve">corpora </w:t>
            </w:r>
            <w:r>
              <w:rPr>
                <w:rFonts w:ascii="Times New Roman" w:hAnsi="Times New Roman" w:eastAsia="Times New Roman" w:cs="Times New Roman"/>
                <w:color w:val="000000"/>
              </w:rPr>
              <w:t>relativos à prática senhorial, atos notariados, etc; recurso social à escrita e relações de poder na Idade Média.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p>
        </w:tc>
      </w:tr>
      <w:tr>
        <w:tblPrEx>
          <w:tblCellMar>
            <w:top w:w="0" w:type="dxa"/>
            <w:left w:w="22" w:type="dxa"/>
            <w:bottom w:w="0" w:type="dxa"/>
            <w:right w:w="22" w:type="dxa"/>
          </w:tblCellMar>
        </w:tblPrEx>
        <w:trPr>
          <w:trHeight w:val="1657"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1: Texto, fonte e escrito na Idade Média</w:t>
            </w:r>
          </w:p>
          <w:p>
            <w:pPr>
              <w:widowControl w:val="0"/>
              <w:numPr>
                <w:ilvl w:val="0"/>
                <w:numId w:val="56"/>
              </w:numPr>
              <w:pBdr>
                <w:top w:val="none" w:color="auto" w:sz="0" w:space="0"/>
                <w:left w:val="none" w:color="auto" w:sz="0" w:space="0"/>
                <w:bottom w:val="none" w:color="auto" w:sz="0" w:space="0"/>
                <w:right w:val="none" w:color="auto" w:sz="0" w:space="0"/>
                <w:between w:val="none" w:color="auto" w:sz="0" w:space="0"/>
              </w:pBdr>
              <w:tabs>
                <w:tab w:val="left" w:pos="0"/>
                <w:tab w:val="left" w:pos="831"/>
                <w:tab w:val="left" w:pos="832"/>
              </w:tabs>
              <w:spacing w:before="139"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Texto e fonte, um problema para pensar as práticas escritas medievais?</w:t>
            </w:r>
          </w:p>
          <w:p>
            <w:pPr>
              <w:widowControl w:val="0"/>
              <w:numPr>
                <w:ilvl w:val="0"/>
                <w:numId w:val="56"/>
              </w:numPr>
              <w:pBdr>
                <w:top w:val="none" w:color="auto" w:sz="0" w:space="0"/>
                <w:left w:val="none" w:color="auto" w:sz="0" w:space="0"/>
                <w:bottom w:val="none" w:color="auto" w:sz="0" w:space="0"/>
                <w:right w:val="none" w:color="auto" w:sz="0" w:space="0"/>
                <w:between w:val="none" w:color="auto" w:sz="0" w:space="0"/>
              </w:pBdr>
              <w:tabs>
                <w:tab w:val="left" w:pos="0"/>
                <w:tab w:val="left" w:pos="831"/>
                <w:tab w:val="left" w:pos="832"/>
              </w:tabs>
              <w:spacing w:before="138" w:line="348" w:lineRule="auto"/>
              <w:ind w:left="0" w:right="2956" w:hanging="2"/>
              <w:rPr>
                <w:rFonts w:ascii="Times New Roman" w:hAnsi="Times New Roman" w:eastAsia="Times New Roman" w:cs="Times New Roman"/>
                <w:color w:val="000000"/>
              </w:rPr>
            </w:pPr>
            <w:r>
              <w:rPr>
                <w:rFonts w:ascii="Times New Roman" w:hAnsi="Times New Roman" w:eastAsia="Times New Roman" w:cs="Times New Roman"/>
                <w:color w:val="000000"/>
              </w:rPr>
              <w:t>O recurso social à escrita e a “escripturalidade”. Unidade 2: História e Hagiografia.</w:t>
            </w:r>
          </w:p>
          <w:p>
            <w:pPr>
              <w:widowControl w:val="0"/>
              <w:numPr>
                <w:ilvl w:val="0"/>
                <w:numId w:val="56"/>
              </w:numPr>
              <w:pBdr>
                <w:top w:val="none" w:color="auto" w:sz="0" w:space="0"/>
                <w:left w:val="none" w:color="auto" w:sz="0" w:space="0"/>
                <w:bottom w:val="none" w:color="auto" w:sz="0" w:space="0"/>
                <w:right w:val="none" w:color="auto" w:sz="0" w:space="0"/>
                <w:between w:val="none" w:color="auto" w:sz="0" w:space="0"/>
              </w:pBdr>
              <w:tabs>
                <w:tab w:val="left" w:pos="0"/>
                <w:tab w:val="left" w:pos="831"/>
                <w:tab w:val="left" w:pos="832"/>
              </w:tabs>
              <w:spacing w:before="13"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Elementos para pensar uma História eclesiástica.</w:t>
            </w:r>
          </w:p>
          <w:p>
            <w:pPr>
              <w:widowControl w:val="0"/>
              <w:numPr>
                <w:ilvl w:val="0"/>
                <w:numId w:val="56"/>
              </w:numPr>
              <w:pBdr>
                <w:top w:val="none" w:color="auto" w:sz="0" w:space="0"/>
                <w:left w:val="none" w:color="auto" w:sz="0" w:space="0"/>
                <w:bottom w:val="none" w:color="auto" w:sz="0" w:space="0"/>
                <w:right w:val="none" w:color="auto" w:sz="0" w:space="0"/>
                <w:between w:val="none" w:color="auto" w:sz="0" w:space="0"/>
              </w:pBdr>
              <w:tabs>
                <w:tab w:val="left" w:pos="0"/>
                <w:tab w:val="left" w:pos="831"/>
                <w:tab w:val="left" w:pos="832"/>
              </w:tabs>
              <w:spacing w:before="138" w:line="348" w:lineRule="auto"/>
              <w:ind w:left="0" w:right="1981" w:hanging="2"/>
              <w:rPr>
                <w:rFonts w:ascii="Times New Roman" w:hAnsi="Times New Roman" w:eastAsia="Times New Roman" w:cs="Times New Roman"/>
                <w:color w:val="000000"/>
              </w:rPr>
            </w:pPr>
            <w:r>
              <w:rPr>
                <w:rFonts w:ascii="Times New Roman" w:hAnsi="Times New Roman" w:eastAsia="Times New Roman" w:cs="Times New Roman"/>
                <w:color w:val="000000"/>
              </w:rPr>
              <w:t>Vidas de Santos e suas perspectivas sobre o espaço social. Unidade 3: Atos escritos e práticas senhoriais.</w:t>
            </w:r>
          </w:p>
          <w:p>
            <w:pPr>
              <w:widowControl w:val="0"/>
              <w:numPr>
                <w:ilvl w:val="0"/>
                <w:numId w:val="56"/>
              </w:numPr>
              <w:pBdr>
                <w:top w:val="none" w:color="auto" w:sz="0" w:space="0"/>
                <w:left w:val="none" w:color="auto" w:sz="0" w:space="0"/>
                <w:bottom w:val="none" w:color="auto" w:sz="0" w:space="0"/>
                <w:right w:val="none" w:color="auto" w:sz="0" w:space="0"/>
                <w:between w:val="none" w:color="auto" w:sz="0" w:space="0"/>
              </w:pBdr>
              <w:tabs>
                <w:tab w:val="left" w:pos="0"/>
                <w:tab w:val="left" w:pos="831"/>
                <w:tab w:val="left" w:pos="832"/>
              </w:tabs>
              <w:spacing w:before="13"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Compromissos, acordos e a materialidade da palavra.</w:t>
            </w:r>
          </w:p>
          <w:p>
            <w:pPr>
              <w:widowControl w:val="0"/>
              <w:numPr>
                <w:ilvl w:val="0"/>
                <w:numId w:val="56"/>
              </w:numPr>
              <w:pBdr>
                <w:top w:val="none" w:color="auto" w:sz="0" w:space="0"/>
                <w:left w:val="none" w:color="auto" w:sz="0" w:space="0"/>
                <w:bottom w:val="none" w:color="auto" w:sz="0" w:space="0"/>
                <w:right w:val="none" w:color="auto" w:sz="0" w:space="0"/>
                <w:between w:val="none" w:color="auto" w:sz="0" w:space="0"/>
              </w:pBdr>
              <w:tabs>
                <w:tab w:val="left" w:pos="0"/>
                <w:tab w:val="left" w:pos="831"/>
                <w:tab w:val="left" w:pos="832"/>
              </w:tabs>
              <w:spacing w:before="138" w:line="348" w:lineRule="auto"/>
              <w:ind w:left="0" w:right="1863" w:hanging="2"/>
              <w:rPr>
                <w:rFonts w:ascii="Times New Roman" w:hAnsi="Times New Roman" w:eastAsia="Times New Roman" w:cs="Times New Roman"/>
                <w:color w:val="000000"/>
              </w:rPr>
            </w:pPr>
            <w:r>
              <w:rPr>
                <w:rFonts w:ascii="Times New Roman" w:hAnsi="Times New Roman" w:eastAsia="Times New Roman" w:cs="Times New Roman"/>
                <w:color w:val="000000"/>
              </w:rPr>
              <w:t>O desenvolvimento do Notariado Público no Mediterrâneo. Unidade 4: Escrito e Práticas Cívicas.</w:t>
            </w:r>
          </w:p>
          <w:p>
            <w:pPr>
              <w:widowControl w:val="0"/>
              <w:numPr>
                <w:ilvl w:val="0"/>
                <w:numId w:val="56"/>
              </w:numPr>
              <w:pBdr>
                <w:top w:val="none" w:color="auto" w:sz="0" w:space="0"/>
                <w:left w:val="none" w:color="auto" w:sz="0" w:space="0"/>
                <w:bottom w:val="none" w:color="auto" w:sz="0" w:space="0"/>
                <w:right w:val="none" w:color="auto" w:sz="0" w:space="0"/>
                <w:between w:val="none" w:color="auto" w:sz="0" w:space="0"/>
              </w:pBdr>
              <w:tabs>
                <w:tab w:val="left" w:pos="0"/>
                <w:tab w:val="left" w:pos="831"/>
                <w:tab w:val="left" w:pos="832"/>
              </w:tabs>
              <w:spacing w:before="13"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Sermões, Retórica e Bem Comum.</w:t>
            </w:r>
          </w:p>
          <w:p>
            <w:pPr>
              <w:widowControl w:val="0"/>
              <w:numPr>
                <w:ilvl w:val="0"/>
                <w:numId w:val="56"/>
              </w:numPr>
              <w:pBdr>
                <w:top w:val="none" w:color="auto" w:sz="0" w:space="0"/>
                <w:left w:val="none" w:color="auto" w:sz="0" w:space="0"/>
                <w:bottom w:val="none" w:color="auto" w:sz="0" w:space="0"/>
                <w:right w:val="none" w:color="auto" w:sz="0" w:space="0"/>
                <w:between w:val="none" w:color="auto" w:sz="0" w:space="0"/>
              </w:pBdr>
              <w:tabs>
                <w:tab w:val="left" w:pos="0"/>
                <w:tab w:val="left" w:pos="831"/>
                <w:tab w:val="left" w:pos="832"/>
              </w:tabs>
              <w:spacing w:before="13"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O escrito na dinâmica das relações de poder citadinas.</w:t>
            </w:r>
          </w:p>
        </w:tc>
      </w:tr>
      <w:tr>
        <w:tblPrEx>
          <w:tblCellMar>
            <w:top w:w="0" w:type="dxa"/>
            <w:left w:w="22" w:type="dxa"/>
            <w:bottom w:w="0" w:type="dxa"/>
            <w:right w:w="22" w:type="dxa"/>
          </w:tblCellMar>
        </w:tblPrEx>
        <w:trPr>
          <w:trHeight w:val="1920"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9"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LE GOFF, Jacques; SCHMITT, Jean-Claude. </w:t>
            </w:r>
            <w:r>
              <w:rPr>
                <w:rFonts w:ascii="Times New Roman" w:hAnsi="Times New Roman" w:eastAsia="Times New Roman" w:cs="Times New Roman"/>
                <w:b/>
                <w:color w:val="000000"/>
              </w:rPr>
              <w:t xml:space="preserve">Dicionário Temático do Ocidente Medieval. </w:t>
            </w:r>
            <w:r>
              <w:rPr>
                <w:rFonts w:ascii="Times New Roman" w:hAnsi="Times New Roman" w:eastAsia="Times New Roman" w:cs="Times New Roman"/>
                <w:color w:val="000000"/>
              </w:rPr>
              <w:t>São Paulo: EDUSC, 2006.</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MIATELLO, André Luis Pereira. </w:t>
            </w:r>
            <w:r>
              <w:rPr>
                <w:rFonts w:ascii="Times New Roman" w:hAnsi="Times New Roman" w:eastAsia="Times New Roman" w:cs="Times New Roman"/>
                <w:b/>
                <w:color w:val="000000"/>
              </w:rPr>
              <w:t>Santos e Pregadores nas Cidades Medievais italianas</w:t>
            </w:r>
            <w:r>
              <w:rPr>
                <w:rFonts w:ascii="Times New Roman" w:hAnsi="Times New Roman" w:eastAsia="Times New Roman" w:cs="Times New Roman"/>
                <w:color w:val="000000"/>
              </w:rPr>
              <w:t>: retórica cívica e hagiografia. Belo Horizonte: Fino Traço, 2013.</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TRÉTON, Rodrigue. </w:t>
            </w:r>
            <w:r>
              <w:rPr>
                <w:rFonts w:ascii="Times New Roman" w:hAnsi="Times New Roman" w:eastAsia="Times New Roman" w:cs="Times New Roman"/>
                <w:color w:val="000000"/>
                <w:u w:val="single"/>
              </w:rPr>
              <w:t>Prelúdio a História do Notariado Público em Perpignan e no Condado de Roussillon (1184-1340)</w:t>
            </w:r>
            <w:r>
              <w:rPr>
                <w:rFonts w:ascii="Times New Roman" w:hAnsi="Times New Roman" w:eastAsia="Times New Roman" w:cs="Times New Roman"/>
                <w:color w:val="000000"/>
              </w:rPr>
              <w:t xml:space="preserve">. In: </w:t>
            </w:r>
            <w:r>
              <w:rPr>
                <w:rFonts w:ascii="Times New Roman" w:hAnsi="Times New Roman" w:eastAsia="Times New Roman" w:cs="Times New Roman"/>
                <w:b/>
                <w:color w:val="000000"/>
              </w:rPr>
              <w:t>Revista da Faculdade de Direito da UFG</w:t>
            </w:r>
            <w:r>
              <w:rPr>
                <w:rFonts w:ascii="Times New Roman" w:hAnsi="Times New Roman" w:eastAsia="Times New Roman" w:cs="Times New Roman"/>
                <w:color w:val="000000"/>
              </w:rPr>
              <w:t xml:space="preserve">. Vol. 39, n. 35, 2015, p.43-86. Disponível em: </w:t>
            </w:r>
            <w:r>
              <w:fldChar w:fldCharType="begin"/>
            </w:r>
            <w:r>
              <w:instrText xml:space="preserve"> HYPERLINK "https://www.revistas.ufg.br/revfd/article/view/39101" \h </w:instrText>
            </w:r>
            <w:r>
              <w:fldChar w:fldCharType="separate"/>
            </w:r>
            <w:r>
              <w:rPr>
                <w:rFonts w:ascii="Times New Roman" w:hAnsi="Times New Roman" w:eastAsia="Times New Roman" w:cs="Times New Roman"/>
                <w:color w:val="0000FF"/>
                <w:u w:val="single"/>
              </w:rPr>
              <w:t>https://www.revistas.ufg.br/revfd/article/view/39101</w:t>
            </w:r>
            <w:r>
              <w:rPr>
                <w:rFonts w:ascii="Times New Roman" w:hAnsi="Times New Roman" w:eastAsia="Times New Roman" w:cs="Times New Roman"/>
                <w:color w:val="0000FF"/>
                <w:u w:val="single"/>
              </w:rPr>
              <w:fldChar w:fldCharType="end"/>
            </w:r>
          </w:p>
        </w:tc>
      </w:tr>
      <w:tr>
        <w:tblPrEx>
          <w:tblCellMar>
            <w:top w:w="0" w:type="dxa"/>
            <w:left w:w="22" w:type="dxa"/>
            <w:bottom w:w="0" w:type="dxa"/>
            <w:right w:w="22" w:type="dxa"/>
          </w:tblCellMar>
        </w:tblPrEx>
        <w:trPr>
          <w:trHeight w:val="1920"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after="240"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spacing w:line="360" w:lineRule="auto"/>
              <w:ind w:left="0" w:right="142" w:hanging="2"/>
              <w:rPr>
                <w:rFonts w:ascii="Times New Roman" w:hAnsi="Times New Roman" w:cs="Times New Roman"/>
              </w:rPr>
            </w:pPr>
            <w:r>
              <w:rPr>
                <w:rFonts w:ascii="Times New Roman" w:hAnsi="Times New Roman" w:eastAsia="Times New Roman" w:cs="Times New Roman"/>
              </w:rPr>
              <w:t xml:space="preserve">ALMEIDA, Neri de Barros. </w:t>
            </w:r>
            <w:r>
              <w:rPr>
                <w:rFonts w:ascii="Times New Roman" w:hAnsi="Times New Roman" w:eastAsia="Times New Roman" w:cs="Times New Roman"/>
                <w:b/>
              </w:rPr>
              <w:t>A Idade Média entre os Séculos XIX e XX</w:t>
            </w:r>
            <w:r>
              <w:rPr>
                <w:rFonts w:ascii="Times New Roman" w:hAnsi="Times New Roman" w:eastAsia="Times New Roman" w:cs="Times New Roman"/>
              </w:rPr>
              <w:t>: estudos de historiografia. Campinas: UNICAMP, 2008.</w:t>
            </w:r>
          </w:p>
          <w:p>
            <w:pPr>
              <w:spacing w:line="360" w:lineRule="auto"/>
              <w:ind w:left="0" w:right="142" w:hanging="2"/>
              <w:rPr>
                <w:rFonts w:ascii="Times New Roman" w:hAnsi="Times New Roman" w:cs="Times New Roman"/>
              </w:rPr>
            </w:pPr>
            <w:r>
              <w:rPr>
                <w:rFonts w:ascii="Times New Roman" w:hAnsi="Times New Roman" w:eastAsia="Times New Roman" w:cs="Times New Roman"/>
              </w:rPr>
              <w:t xml:space="preserve">ALMEIDA, Neri de Barros. </w:t>
            </w:r>
            <w:r>
              <w:rPr>
                <w:rFonts w:ascii="Times New Roman" w:hAnsi="Times New Roman" w:eastAsia="Times New Roman" w:cs="Times New Roman"/>
                <w:u w:val="single"/>
              </w:rPr>
              <w:t>Hagiografia, Propaganda e Memória Histórica: omonasticismo na legenda áurea de Jacopo de Varazze</w:t>
            </w:r>
            <w:r>
              <w:rPr>
                <w:rFonts w:ascii="Times New Roman" w:hAnsi="Times New Roman" w:eastAsia="Times New Roman" w:cs="Times New Roman"/>
              </w:rPr>
              <w:t xml:space="preserve">. In: </w:t>
            </w:r>
            <w:r>
              <w:rPr>
                <w:rFonts w:ascii="Times New Roman" w:hAnsi="Times New Roman" w:eastAsia="Times New Roman" w:cs="Times New Roman"/>
                <w:b/>
              </w:rPr>
              <w:t>Revista Territórios &amp; Fronteiras</w:t>
            </w:r>
            <w:r>
              <w:rPr>
                <w:rFonts w:ascii="Times New Roman" w:hAnsi="Times New Roman" w:eastAsia="Times New Roman" w:cs="Times New Roman"/>
              </w:rPr>
              <w:t xml:space="preserve">, Cuiabá, vol. 7, n. 2, jul.-dez., 2014, p. 94-111. Disponível em: </w:t>
            </w:r>
            <w:r>
              <w:fldChar w:fldCharType="begin"/>
            </w:r>
            <w:r>
              <w:instrText xml:space="preserve"> HYPERLINK "http://www.ppghis.com/territorios%26fronteiras/index.php/v03n02/article/view/348" \h </w:instrText>
            </w:r>
            <w:r>
              <w:fldChar w:fldCharType="separate"/>
            </w:r>
            <w:r>
              <w:rPr>
                <w:rFonts w:ascii="Times New Roman" w:hAnsi="Times New Roman" w:eastAsia="Times New Roman" w:cs="Times New Roman"/>
                <w:color w:val="0000FF"/>
                <w:u w:val="single"/>
              </w:rPr>
              <w:t>http://www.ppghis.com/territorios&amp;fronteiras/index.php/v03n02/article/view/348</w:t>
            </w:r>
            <w:r>
              <w:rPr>
                <w:rFonts w:ascii="Times New Roman" w:hAnsi="Times New Roman" w:eastAsia="Times New Roman" w:cs="Times New Roman"/>
                <w:color w:val="0000FF"/>
                <w:u w:val="single"/>
              </w:rPr>
              <w:fldChar w:fldCharType="end"/>
            </w:r>
          </w:p>
          <w:p>
            <w:pPr>
              <w:pBdr>
                <w:top w:val="none" w:color="auto" w:sz="0" w:space="0"/>
                <w:left w:val="none" w:color="auto" w:sz="0" w:space="0"/>
                <w:bottom w:val="none" w:color="auto" w:sz="0" w:space="0"/>
                <w:right w:val="none" w:color="auto" w:sz="0" w:space="0"/>
                <w:between w:val="none" w:color="auto" w:sz="0" w:space="0"/>
              </w:pBdr>
              <w:spacing w:before="90" w:after="140" w:line="360" w:lineRule="auto"/>
              <w:ind w:left="0" w:right="142"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ALMEIDA, Neri de Barros. </w:t>
            </w:r>
            <w:r>
              <w:rPr>
                <w:rFonts w:ascii="Times New Roman" w:hAnsi="Times New Roman" w:eastAsia="Times New Roman" w:cs="Times New Roman"/>
                <w:color w:val="000000"/>
                <w:u w:val="single"/>
              </w:rPr>
              <w:t>Raul Glaber: um historiador na Idade Média (980/985-1047)</w:t>
            </w:r>
            <w:r>
              <w:rPr>
                <w:rFonts w:ascii="Times New Roman" w:hAnsi="Times New Roman" w:eastAsia="Times New Roman" w:cs="Times New Roman"/>
                <w:color w:val="000000"/>
              </w:rPr>
              <w:t xml:space="preserve">. In: </w:t>
            </w:r>
            <w:r>
              <w:rPr>
                <w:rFonts w:ascii="Times New Roman" w:hAnsi="Times New Roman" w:eastAsia="Times New Roman" w:cs="Times New Roman"/>
                <w:b/>
                <w:color w:val="000000"/>
              </w:rPr>
              <w:t xml:space="preserve">Revista </w:t>
            </w:r>
            <w:r>
              <w:rPr>
                <w:rFonts w:ascii="Times New Roman" w:hAnsi="Times New Roman" w:eastAsia="Times New Roman" w:cs="Times New Roman"/>
                <w:b/>
                <w:i/>
                <w:color w:val="000000"/>
              </w:rPr>
              <w:t>Signum</w:t>
            </w:r>
            <w:r>
              <w:rPr>
                <w:rFonts w:ascii="Times New Roman" w:hAnsi="Times New Roman" w:eastAsia="Times New Roman" w:cs="Times New Roman"/>
                <w:color w:val="000000"/>
              </w:rPr>
              <w:t xml:space="preserve">, 2010, vol. 11, n. 2, p. 76-108. Disponível em: </w:t>
            </w:r>
            <w:r>
              <w:fldChar w:fldCharType="begin"/>
            </w:r>
            <w:r>
              <w:instrText xml:space="preserve"> HYPERLINK "http://www.abrem.org.br/revistas/index.php/signum/article/view/23" \h </w:instrText>
            </w:r>
            <w:r>
              <w:fldChar w:fldCharType="separate"/>
            </w:r>
            <w:r>
              <w:rPr>
                <w:rFonts w:ascii="Times New Roman" w:hAnsi="Times New Roman" w:eastAsia="Times New Roman" w:cs="Times New Roman"/>
                <w:color w:val="0000FF"/>
                <w:u w:val="single"/>
              </w:rPr>
              <w:t>http://www.abrem.org.br/revistas/index.php/signum/article/view/23</w:t>
            </w:r>
            <w:r>
              <w:rPr>
                <w:rFonts w:ascii="Times New Roman" w:hAnsi="Times New Roman" w:eastAsia="Times New Roman" w:cs="Times New Roman"/>
                <w:color w:val="0000FF"/>
                <w:u w:val="single"/>
              </w:rPr>
              <w:fldChar w:fldCharType="end"/>
            </w:r>
          </w:p>
          <w:p>
            <w:pPr>
              <w:spacing w:line="360" w:lineRule="auto"/>
              <w:ind w:left="0" w:right="142" w:hanging="2"/>
              <w:rPr>
                <w:rFonts w:ascii="Times New Roman" w:hAnsi="Times New Roman" w:cs="Times New Roman"/>
              </w:rPr>
            </w:pPr>
            <w:r>
              <w:rPr>
                <w:rFonts w:ascii="Times New Roman" w:hAnsi="Times New Roman" w:eastAsia="Times New Roman" w:cs="Times New Roman"/>
              </w:rPr>
              <w:t xml:space="preserve">CHASTANG, Pierre. </w:t>
            </w:r>
            <w:r>
              <w:rPr>
                <w:rFonts w:ascii="Times New Roman" w:hAnsi="Times New Roman" w:eastAsia="Times New Roman" w:cs="Times New Roman"/>
                <w:u w:val="single"/>
              </w:rPr>
              <w:t>Cartulaires, Cartularisation et Scripturalité Médiévale: lastructuration d’un nouveau champ de recherche</w:t>
            </w:r>
            <w:r>
              <w:rPr>
                <w:rFonts w:ascii="Times New Roman" w:hAnsi="Times New Roman" w:eastAsia="Times New Roman" w:cs="Times New Roman"/>
              </w:rPr>
              <w:t xml:space="preserve">. In: </w:t>
            </w:r>
            <w:r>
              <w:rPr>
                <w:rFonts w:ascii="Times New Roman" w:hAnsi="Times New Roman" w:eastAsia="Times New Roman" w:cs="Times New Roman"/>
                <w:b/>
              </w:rPr>
              <w:t>Cahiers de Civilisation Médiévale</w:t>
            </w:r>
            <w:r>
              <w:rPr>
                <w:rFonts w:ascii="Times New Roman" w:hAnsi="Times New Roman" w:eastAsia="Times New Roman" w:cs="Times New Roman"/>
              </w:rPr>
              <w:t xml:space="preserve">. no. 49, 2006, p. 21-32. Disponível em : </w:t>
            </w:r>
            <w:r>
              <w:fldChar w:fldCharType="begin"/>
            </w:r>
            <w:r>
              <w:instrText xml:space="preserve"> HYPERLINK "https://www.persee.fr/doc/ccmed_0007-9731_2006_num_49_193_2928" \h </w:instrText>
            </w:r>
            <w:r>
              <w:fldChar w:fldCharType="separate"/>
            </w:r>
            <w:r>
              <w:rPr>
                <w:rFonts w:ascii="Times New Roman" w:hAnsi="Times New Roman" w:eastAsia="Times New Roman" w:cs="Times New Roman"/>
                <w:color w:val="0000FF"/>
                <w:u w:val="single"/>
              </w:rPr>
              <w:t>https://www.persee.fr/doc/ccmed_0007-9731_2006_num_49_193_2928</w:t>
            </w:r>
            <w:r>
              <w:rPr>
                <w:rFonts w:ascii="Times New Roman" w:hAnsi="Times New Roman" w:eastAsia="Times New Roman" w:cs="Times New Roman"/>
                <w:color w:val="0000FF"/>
                <w:u w:val="single"/>
              </w:rPr>
              <w:fldChar w:fldCharType="end"/>
            </w:r>
            <w:r>
              <w:rPr>
                <w:rFonts w:ascii="Times New Roman" w:hAnsi="Times New Roman" w:eastAsia="Times New Roman" w:cs="Times New Roman"/>
              </w:rPr>
              <w:t xml:space="preserve">MOMIGLIANO, Arnaldo. </w:t>
            </w:r>
            <w:r>
              <w:rPr>
                <w:rFonts w:ascii="Times New Roman" w:hAnsi="Times New Roman" w:eastAsia="Times New Roman" w:cs="Times New Roman"/>
                <w:b/>
              </w:rPr>
              <w:t xml:space="preserve">As raízes clássicas da historiografia moderna. </w:t>
            </w:r>
            <w:r>
              <w:rPr>
                <w:rFonts w:ascii="Times New Roman" w:hAnsi="Times New Roman" w:eastAsia="Times New Roman" w:cs="Times New Roman"/>
              </w:rPr>
              <w:t>Bauru, SP: EDUSC, 2004.</w:t>
            </w: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right="142"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MORSEL, Joseph. </w:t>
            </w:r>
            <w:r>
              <w:rPr>
                <w:rFonts w:ascii="Times New Roman" w:hAnsi="Times New Roman" w:eastAsia="Times New Roman" w:cs="Times New Roman"/>
                <w:color w:val="000000"/>
                <w:u w:val="single"/>
              </w:rPr>
              <w:t>Ce qu’écrire veu dire au Moyen Âge...  Observations préliminaires à étude de la scripturalité médiévale</w:t>
            </w:r>
            <w:r>
              <w:rPr>
                <w:rFonts w:ascii="Times New Roman" w:hAnsi="Times New Roman" w:eastAsia="Times New Roman" w:cs="Times New Roman"/>
                <w:color w:val="000000"/>
              </w:rPr>
              <w:t xml:space="preserve">. In: </w:t>
            </w:r>
            <w:r>
              <w:rPr>
                <w:rFonts w:ascii="Times New Roman" w:hAnsi="Times New Roman" w:eastAsia="Times New Roman" w:cs="Times New Roman"/>
                <w:b/>
                <w:color w:val="000000"/>
              </w:rPr>
              <w:t>Memini</w:t>
            </w:r>
            <w:r>
              <w:rPr>
                <w:rFonts w:ascii="Times New Roman" w:hAnsi="Times New Roman" w:eastAsia="Times New Roman" w:cs="Times New Roman"/>
                <w:color w:val="000000"/>
              </w:rPr>
              <w:t>. Travaux et documents de la Société des études médiévales du Québec, n. 4, 2000, p. 3-43. Disponível em:</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fldChar w:fldCharType="begin"/>
            </w:r>
            <w:r>
              <w:instrText xml:space="preserve"> HYPERLINK "https://halshs.archives-ouvertes.fr/halshs-00291802/document" \h </w:instrText>
            </w:r>
            <w:r>
              <w:fldChar w:fldCharType="separate"/>
            </w:r>
            <w:r>
              <w:rPr>
                <w:rFonts w:ascii="Times New Roman" w:hAnsi="Times New Roman" w:eastAsia="Times New Roman" w:cs="Times New Roman"/>
                <w:color w:val="0000FF"/>
                <w:u w:val="single"/>
              </w:rPr>
              <w:t>https://halshs.archives-ouvertes.fr/halshs-00291802/document</w:t>
            </w:r>
            <w:r>
              <w:rPr>
                <w:rFonts w:ascii="Times New Roman" w:hAnsi="Times New Roman" w:eastAsia="Times New Roman" w:cs="Times New Roman"/>
                <w:color w:val="0000FF"/>
                <w:u w:val="single"/>
              </w:rPr>
              <w:fldChar w:fldCharType="end"/>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551"/>
        <w:tblW w:w="9021" w:type="dxa"/>
        <w:tblInd w:w="2" w:type="dxa"/>
        <w:tblLayout w:type="fixed"/>
        <w:tblCellMar>
          <w:top w:w="0" w:type="dxa"/>
          <w:left w:w="22" w:type="dxa"/>
          <w:bottom w:w="0" w:type="dxa"/>
          <w:right w:w="5" w:type="dxa"/>
        </w:tblCellMar>
      </w:tblPr>
      <w:tblGrid>
        <w:gridCol w:w="2830"/>
        <w:gridCol w:w="3118"/>
        <w:gridCol w:w="3073"/>
      </w:tblGrid>
      <w:tr>
        <w:tblPrEx>
          <w:tblCellMar>
            <w:top w:w="0" w:type="dxa"/>
            <w:left w:w="22" w:type="dxa"/>
            <w:bottom w:w="0" w:type="dxa"/>
            <w:right w:w="5" w:type="dxa"/>
          </w:tblCellMar>
        </w:tblPrEx>
        <w:trPr>
          <w:trHeight w:val="2073" w:hRule="atLeast"/>
        </w:trPr>
        <w:tc>
          <w:tcPr>
            <w:tcW w:w="5948"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885"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Seminário em História Antiga e Medieval XIII</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885"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Seminar in Ancient and Medieval HistoryXIII</w:t>
            </w:r>
          </w:p>
        </w:tc>
        <w:tc>
          <w:tcPr>
            <w:tcW w:w="3073"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HIS288</w:t>
            </w:r>
          </w:p>
        </w:tc>
      </w:tr>
      <w:tr>
        <w:tblPrEx>
          <w:tblCellMar>
            <w:top w:w="0" w:type="dxa"/>
            <w:left w:w="22" w:type="dxa"/>
            <w:bottom w:w="0" w:type="dxa"/>
            <w:right w:w="5" w:type="dxa"/>
          </w:tblCellMar>
        </w:tblPrEx>
        <w:trPr>
          <w:trHeight w:val="825" w:hRule="atLeast"/>
        </w:trPr>
        <w:tc>
          <w:tcPr>
            <w:tcW w:w="5948" w:type="dxa"/>
            <w:gridSpan w:val="2"/>
            <w:tcBorders>
              <w:top w:val="single" w:color="000000" w:sz="4" w:space="0"/>
              <w:left w:val="single" w:color="000000" w:sz="18"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Departamento de História – DEHIS</w:t>
            </w:r>
          </w:p>
        </w:tc>
        <w:tc>
          <w:tcPr>
            <w:tcW w:w="3073"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5" w:type="dxa"/>
          </w:tblCellMar>
        </w:tblPrEx>
        <w:trPr>
          <w:trHeight w:val="1243" w:hRule="atLeast"/>
        </w:trPr>
        <w:tc>
          <w:tcPr>
            <w:tcW w:w="2830" w:type="dxa"/>
            <w:tcBorders>
              <w:top w:val="single" w:color="000000" w:sz="4" w:space="0"/>
              <w:left w:val="single" w:color="000000" w:sz="18"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3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45"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semestral 90 horas</w:t>
            </w:r>
          </w:p>
        </w:tc>
        <w:tc>
          <w:tcPr>
            <w:tcW w:w="3118"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3073"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02 horas/aula</w:t>
            </w:r>
          </w:p>
        </w:tc>
      </w:tr>
      <w:tr>
        <w:tblPrEx>
          <w:tblCellMar>
            <w:top w:w="0" w:type="dxa"/>
            <w:left w:w="22" w:type="dxa"/>
            <w:bottom w:w="0" w:type="dxa"/>
            <w:right w:w="5" w:type="dxa"/>
          </w:tblCellMar>
        </w:tblPrEx>
        <w:trPr>
          <w:trHeight w:val="1035"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9"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Ementa: Estudo relativo ao espaço urbano e às demais modalidades de enquadramento do espaço social no mundo medieval – </w:t>
            </w:r>
            <w:r>
              <w:rPr>
                <w:rFonts w:ascii="Times New Roman" w:hAnsi="Times New Roman" w:eastAsia="Times New Roman" w:cs="Times New Roman"/>
                <w:i/>
                <w:color w:val="000000"/>
              </w:rPr>
              <w:t>oppidum</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villae</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castra</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domus</w:t>
            </w:r>
            <w:r>
              <w:rPr>
                <w:rFonts w:ascii="Times New Roman" w:hAnsi="Times New Roman" w:eastAsia="Times New Roman" w:cs="Times New Roman"/>
                <w:color w:val="000000"/>
              </w:rPr>
              <w:t>, etc. Relações de poder nos espaços urbanos medievais. Dinâmica da permanência e da transformação do espaço urbano do Mundo Antigo para aIdade</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Média.</w:t>
            </w:r>
          </w:p>
        </w:tc>
      </w:tr>
      <w:tr>
        <w:tblPrEx>
          <w:tblCellMar>
            <w:top w:w="0" w:type="dxa"/>
            <w:left w:w="22" w:type="dxa"/>
            <w:bottom w:w="0" w:type="dxa"/>
            <w:right w:w="5" w:type="dxa"/>
          </w:tblCellMar>
        </w:tblPrEx>
        <w:trPr>
          <w:trHeight w:val="1035" w:hRule="atLeast"/>
        </w:trPr>
        <w:tc>
          <w:tcPr>
            <w:tcW w:w="9021" w:type="dxa"/>
            <w:gridSpan w:val="3"/>
            <w:tcBorders>
              <w:top w:val="single" w:color="000000" w:sz="4"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before="14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1: A Cidade no Mundo Antigo:</w:t>
            </w:r>
          </w:p>
          <w:p>
            <w:pPr>
              <w:widowControl w:val="0"/>
              <w:numPr>
                <w:ilvl w:val="0"/>
                <w:numId w:val="57"/>
              </w:numPr>
              <w:pBdr>
                <w:top w:val="none" w:color="auto" w:sz="0" w:space="0"/>
                <w:left w:val="none" w:color="auto" w:sz="0" w:space="0"/>
                <w:bottom w:val="none" w:color="auto" w:sz="0" w:space="0"/>
                <w:right w:val="none" w:color="auto" w:sz="0" w:space="0"/>
                <w:between w:val="none" w:color="auto" w:sz="0" w:space="0"/>
              </w:pBdr>
              <w:tabs>
                <w:tab w:val="left" w:pos="0"/>
                <w:tab w:val="left" w:pos="1192"/>
                <w:tab w:val="left" w:pos="1193"/>
              </w:tabs>
              <w:spacing w:before="139" w:line="348" w:lineRule="auto"/>
              <w:ind w:left="0" w:right="2265" w:hanging="2"/>
              <w:rPr>
                <w:rFonts w:ascii="Times New Roman" w:hAnsi="Times New Roman" w:eastAsia="Times New Roman" w:cs="Times New Roman"/>
                <w:color w:val="000000"/>
              </w:rPr>
            </w:pPr>
            <w:r>
              <w:rPr>
                <w:rFonts w:ascii="Times New Roman" w:hAnsi="Times New Roman" w:eastAsia="Times New Roman" w:cs="Times New Roman"/>
                <w:color w:val="000000"/>
              </w:rPr>
              <w:t>Relações de Poder e constituição do espaço público. Unidade 2: Do Mundo Antigo ao Mundo Medieval:</w:t>
            </w:r>
          </w:p>
          <w:p>
            <w:pPr>
              <w:widowControl w:val="0"/>
              <w:numPr>
                <w:ilvl w:val="0"/>
                <w:numId w:val="57"/>
              </w:numPr>
              <w:pBdr>
                <w:top w:val="none" w:color="auto" w:sz="0" w:space="0"/>
                <w:left w:val="none" w:color="auto" w:sz="0" w:space="0"/>
                <w:bottom w:val="none" w:color="auto" w:sz="0" w:space="0"/>
                <w:right w:val="none" w:color="auto" w:sz="0" w:space="0"/>
                <w:between w:val="none" w:color="auto" w:sz="0" w:space="0"/>
              </w:pBdr>
              <w:tabs>
                <w:tab w:val="left" w:pos="0"/>
                <w:tab w:val="left" w:pos="1192"/>
                <w:tab w:val="left" w:pos="1193"/>
              </w:tabs>
              <w:spacing w:before="13"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Magistraturas e serviço público nas cidades pós-romanas.</w:t>
            </w:r>
          </w:p>
          <w:p>
            <w:pPr>
              <w:widowControl w:val="0"/>
              <w:numPr>
                <w:ilvl w:val="0"/>
                <w:numId w:val="57"/>
              </w:numPr>
              <w:pBdr>
                <w:top w:val="none" w:color="auto" w:sz="0" w:space="0"/>
                <w:left w:val="none" w:color="auto" w:sz="0" w:space="0"/>
                <w:bottom w:val="none" w:color="auto" w:sz="0" w:space="0"/>
                <w:right w:val="none" w:color="auto" w:sz="0" w:space="0"/>
                <w:between w:val="none" w:color="auto" w:sz="0" w:space="0"/>
              </w:pBdr>
              <w:tabs>
                <w:tab w:val="left" w:pos="0"/>
                <w:tab w:val="left" w:pos="1192"/>
                <w:tab w:val="left" w:pos="1193"/>
              </w:tabs>
              <w:spacing w:before="138" w:line="348" w:lineRule="auto"/>
              <w:ind w:left="0" w:right="259" w:hanging="2"/>
              <w:rPr>
                <w:rFonts w:ascii="Times New Roman" w:hAnsi="Times New Roman" w:eastAsia="Times New Roman" w:cs="Times New Roman"/>
                <w:color w:val="000000"/>
              </w:rPr>
            </w:pPr>
            <w:r>
              <w:rPr>
                <w:rFonts w:ascii="Times New Roman" w:hAnsi="Times New Roman" w:eastAsia="Times New Roman" w:cs="Times New Roman"/>
                <w:color w:val="000000"/>
              </w:rPr>
              <w:t>Modalidades concorrentes de enquadramento do espaço (</w:t>
            </w:r>
            <w:r>
              <w:rPr>
                <w:rFonts w:ascii="Times New Roman" w:hAnsi="Times New Roman" w:eastAsia="Times New Roman" w:cs="Times New Roman"/>
                <w:i/>
                <w:color w:val="000000"/>
              </w:rPr>
              <w:t xml:space="preserve">villae </w:t>
            </w:r>
            <w:r>
              <w:rPr>
                <w:rFonts w:ascii="Times New Roman" w:hAnsi="Times New Roman" w:eastAsia="Times New Roman" w:cs="Times New Roman"/>
                <w:color w:val="000000"/>
              </w:rPr>
              <w:t xml:space="preserve">e </w:t>
            </w:r>
            <w:r>
              <w:rPr>
                <w:rFonts w:ascii="Times New Roman" w:hAnsi="Times New Roman" w:eastAsia="Times New Roman" w:cs="Times New Roman"/>
                <w:i/>
                <w:color w:val="000000"/>
              </w:rPr>
              <w:t>castra</w:t>
            </w:r>
            <w:r>
              <w:rPr>
                <w:rFonts w:ascii="Times New Roman" w:hAnsi="Times New Roman" w:eastAsia="Times New Roman" w:cs="Times New Roman"/>
                <w:color w:val="000000"/>
              </w:rPr>
              <w:t>). Unidade 3: Dinâmicas de relações nas cidades mediterrânicas:</w:t>
            </w:r>
          </w:p>
          <w:p>
            <w:pPr>
              <w:widowControl w:val="0"/>
              <w:numPr>
                <w:ilvl w:val="0"/>
                <w:numId w:val="57"/>
              </w:numPr>
              <w:pBdr>
                <w:top w:val="none" w:color="auto" w:sz="0" w:space="0"/>
                <w:left w:val="none" w:color="auto" w:sz="0" w:space="0"/>
                <w:bottom w:val="none" w:color="auto" w:sz="0" w:space="0"/>
                <w:right w:val="none" w:color="auto" w:sz="0" w:space="0"/>
                <w:between w:val="none" w:color="auto" w:sz="0" w:space="0"/>
              </w:pBdr>
              <w:tabs>
                <w:tab w:val="left" w:pos="0"/>
                <w:tab w:val="left" w:pos="1192"/>
                <w:tab w:val="left" w:pos="1193"/>
              </w:tabs>
              <w:spacing w:before="13"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Aristocracias Urbanas e bem comum.</w:t>
            </w:r>
          </w:p>
          <w:p>
            <w:pPr>
              <w:widowControl w:val="0"/>
              <w:numPr>
                <w:ilvl w:val="0"/>
                <w:numId w:val="57"/>
              </w:numPr>
              <w:pBdr>
                <w:top w:val="none" w:color="auto" w:sz="0" w:space="0"/>
                <w:left w:val="none" w:color="auto" w:sz="0" w:space="0"/>
                <w:bottom w:val="none" w:color="auto" w:sz="0" w:space="0"/>
                <w:right w:val="none" w:color="auto" w:sz="0" w:space="0"/>
                <w:between w:val="none" w:color="auto" w:sz="0" w:space="0"/>
              </w:pBdr>
              <w:tabs>
                <w:tab w:val="left" w:pos="0"/>
                <w:tab w:val="left" w:pos="1192"/>
                <w:tab w:val="left" w:pos="1193"/>
              </w:tabs>
              <w:spacing w:before="138"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 ascensão do poder comunal.</w:t>
            </w:r>
          </w:p>
          <w:p>
            <w:pPr>
              <w:widowControl w:val="0"/>
              <w:numPr>
                <w:ilvl w:val="0"/>
                <w:numId w:val="57"/>
              </w:numPr>
              <w:pBdr>
                <w:top w:val="none" w:color="auto" w:sz="0" w:space="0"/>
                <w:left w:val="none" w:color="auto" w:sz="0" w:space="0"/>
                <w:bottom w:val="none" w:color="auto" w:sz="0" w:space="0"/>
                <w:right w:val="none" w:color="auto" w:sz="0" w:space="0"/>
                <w:between w:val="none" w:color="auto" w:sz="0" w:space="0"/>
              </w:pBdr>
              <w:tabs>
                <w:tab w:val="left" w:pos="0"/>
                <w:tab w:val="left" w:pos="1192"/>
                <w:tab w:val="left" w:pos="1193"/>
              </w:tabs>
              <w:spacing w:before="138"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O exemplo de Marselha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9" w:hanging="2"/>
              <w:jc w:val="both"/>
              <w:rPr>
                <w:rFonts w:ascii="Times New Roman" w:hAnsi="Times New Roman" w:eastAsia="Times New Roman" w:cs="Times New Roman"/>
                <w:color w:val="000000"/>
              </w:rPr>
            </w:pPr>
          </w:p>
        </w:tc>
      </w:tr>
      <w:tr>
        <w:tblPrEx>
          <w:tblCellMar>
            <w:top w:w="0" w:type="dxa"/>
            <w:left w:w="22" w:type="dxa"/>
            <w:bottom w:w="0" w:type="dxa"/>
            <w:right w:w="5" w:type="dxa"/>
          </w:tblCellMar>
        </w:tblPrEx>
        <w:trPr>
          <w:trHeight w:val="2533"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9"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3"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GUARINELLO, Norberto Luiz. </w:t>
            </w:r>
            <w:r>
              <w:rPr>
                <w:rFonts w:ascii="Times New Roman" w:hAnsi="Times New Roman" w:eastAsia="Times New Roman" w:cs="Times New Roman"/>
                <w:b/>
                <w:color w:val="000000"/>
              </w:rPr>
              <w:t>A Cidade na Antiguidade Clássica</w:t>
            </w:r>
            <w:r>
              <w:rPr>
                <w:rFonts w:ascii="Times New Roman" w:hAnsi="Times New Roman" w:eastAsia="Times New Roman" w:cs="Times New Roman"/>
                <w:color w:val="000000"/>
              </w:rPr>
              <w:t>. São Paulo: Atual 2006.</w:t>
            </w:r>
          </w:p>
          <w:p>
            <w:pPr>
              <w:widowControl w:val="0"/>
              <w:pBdr>
                <w:top w:val="none" w:color="auto" w:sz="0" w:space="0"/>
                <w:left w:val="none" w:color="auto" w:sz="0" w:space="0"/>
                <w:bottom w:val="none" w:color="auto" w:sz="0" w:space="0"/>
                <w:right w:val="none" w:color="auto" w:sz="0" w:space="0"/>
                <w:between w:val="none" w:color="auto" w:sz="0" w:space="0"/>
              </w:pBdr>
              <w:spacing w:before="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LE GOFF, Jacques. </w:t>
            </w:r>
            <w:r>
              <w:rPr>
                <w:rFonts w:ascii="Times New Roman" w:hAnsi="Times New Roman" w:eastAsia="Times New Roman" w:cs="Times New Roman"/>
                <w:b/>
                <w:color w:val="000000"/>
              </w:rPr>
              <w:t>O Apogeu da Cidade Medieval</w:t>
            </w:r>
            <w:r>
              <w:rPr>
                <w:rFonts w:ascii="Times New Roman" w:hAnsi="Times New Roman" w:eastAsia="Times New Roman" w:cs="Times New Roman"/>
                <w:color w:val="000000"/>
              </w:rPr>
              <w:t>. São Paulo: Matins Fontes 1992.</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MIATELLO, André Luis Pereira. </w:t>
            </w:r>
            <w:r>
              <w:rPr>
                <w:rFonts w:ascii="Times New Roman" w:hAnsi="Times New Roman" w:eastAsia="Times New Roman" w:cs="Times New Roman"/>
                <w:b/>
                <w:color w:val="000000"/>
              </w:rPr>
              <w:t>Santos e Pregadores nas Cidades Medievais Italianas</w:t>
            </w:r>
            <w:r>
              <w:rPr>
                <w:rFonts w:ascii="Times New Roman" w:hAnsi="Times New Roman" w:eastAsia="Times New Roman" w:cs="Times New Roman"/>
                <w:color w:val="000000"/>
              </w:rPr>
              <w:t>: retórica cívica e hagiografia. Belo Horizonte: Fino Traço, 2013.</w:t>
            </w:r>
          </w:p>
        </w:tc>
      </w:tr>
      <w:tr>
        <w:tblPrEx>
          <w:tblCellMar>
            <w:top w:w="0" w:type="dxa"/>
            <w:left w:w="22" w:type="dxa"/>
            <w:bottom w:w="0" w:type="dxa"/>
            <w:right w:w="5" w:type="dxa"/>
          </w:tblCellMar>
        </w:tblPrEx>
        <w:trPr>
          <w:trHeight w:val="829" w:hRule="atLeast"/>
        </w:trPr>
        <w:tc>
          <w:tcPr>
            <w:tcW w:w="9021" w:type="dxa"/>
            <w:gridSpan w:val="3"/>
            <w:tcBorders>
              <w:top w:val="single" w:color="000000" w:sz="4"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6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DABDAB TRABULSI, José Antônio. </w:t>
            </w:r>
            <w:r>
              <w:rPr>
                <w:rFonts w:ascii="Times New Roman" w:hAnsi="Times New Roman" w:eastAsia="Times New Roman" w:cs="Times New Roman"/>
                <w:b/>
                <w:color w:val="000000"/>
              </w:rPr>
              <w:t>Dionisismo, Poder e Sociedade na Grécia até o Fim da Época Clássica</w:t>
            </w:r>
            <w:r>
              <w:rPr>
                <w:rFonts w:ascii="Times New Roman" w:hAnsi="Times New Roman" w:eastAsia="Times New Roman" w:cs="Times New Roman"/>
                <w:color w:val="000000"/>
              </w:rPr>
              <w:t>. Belo Horizonte: UFMG2004.</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6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DUTOUR, Thierry. </w:t>
            </w:r>
            <w:r>
              <w:rPr>
                <w:rFonts w:ascii="Times New Roman" w:hAnsi="Times New Roman" w:eastAsia="Times New Roman" w:cs="Times New Roman"/>
                <w:b/>
                <w:color w:val="000000"/>
              </w:rPr>
              <w:t>La Ciudad Medieval: Orígenes y triunfo de la Europa urbana</w:t>
            </w:r>
            <w:r>
              <w:rPr>
                <w:rFonts w:ascii="Times New Roman" w:hAnsi="Times New Roman" w:eastAsia="Times New Roman" w:cs="Times New Roman"/>
                <w:color w:val="000000"/>
              </w:rPr>
              <w:t>. Buenos Aires/ Barcelona/ México: Paidós,2005.</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FUSTEL DE COULANGES; LEITE, Jonas Camargo; FONSECA, Eduardo. </w:t>
            </w:r>
            <w:r>
              <w:rPr>
                <w:rFonts w:ascii="Times New Roman" w:hAnsi="Times New Roman" w:eastAsia="Times New Roman" w:cs="Times New Roman"/>
                <w:b/>
                <w:color w:val="000000"/>
              </w:rPr>
              <w:t>A Cidade Antiga</w:t>
            </w:r>
            <w:r>
              <w:rPr>
                <w:rFonts w:ascii="Times New Roman" w:hAnsi="Times New Roman" w:eastAsia="Times New Roman" w:cs="Times New Roman"/>
                <w:color w:val="000000"/>
              </w:rPr>
              <w:t>: estudos sobre o culto, o direito e as instituições da Grécia e de Roma. 12. ed. São Paulo: Hemus1998.</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LE GOFF, Jacques; SCHMITT, Jean-Claude. </w:t>
            </w:r>
            <w:r>
              <w:rPr>
                <w:rFonts w:ascii="Times New Roman" w:hAnsi="Times New Roman" w:eastAsia="Times New Roman" w:cs="Times New Roman"/>
                <w:b/>
                <w:color w:val="000000"/>
              </w:rPr>
              <w:t>Dicionário Temático do Ocidente Medieval</w:t>
            </w:r>
            <w:r>
              <w:rPr>
                <w:rFonts w:ascii="Times New Roman" w:hAnsi="Times New Roman" w:eastAsia="Times New Roman" w:cs="Times New Roman"/>
                <w:color w:val="000000"/>
              </w:rPr>
              <w:t>. Bauru, SP: São Paulo: EDUSC, Imprensa Oficial do Estado, 2006.</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6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LE ROY LADURIE, Emmanuel. </w:t>
            </w:r>
            <w:r>
              <w:rPr>
                <w:rFonts w:ascii="Times New Roman" w:hAnsi="Times New Roman" w:eastAsia="Times New Roman" w:cs="Times New Roman"/>
                <w:b/>
                <w:color w:val="000000"/>
              </w:rPr>
              <w:t>Montaillou</w:t>
            </w:r>
            <w:r>
              <w:rPr>
                <w:rFonts w:ascii="Times New Roman" w:hAnsi="Times New Roman" w:eastAsia="Times New Roman" w:cs="Times New Roman"/>
                <w:color w:val="000000"/>
              </w:rPr>
              <w:t>: cátaros e católicos numa aldeia francesa (1294-1324). Lisboa: Edições 70, c1975.</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3"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LOPEZ, Roberto S.; BERENGO, Marino. </w:t>
            </w:r>
            <w:r>
              <w:rPr>
                <w:rFonts w:ascii="Times New Roman" w:hAnsi="Times New Roman" w:eastAsia="Times New Roman" w:cs="Times New Roman"/>
                <w:b/>
                <w:color w:val="000000"/>
              </w:rPr>
              <w:t>A Cidade Medieval</w:t>
            </w:r>
            <w:r>
              <w:rPr>
                <w:rFonts w:ascii="Times New Roman" w:hAnsi="Times New Roman" w:eastAsia="Times New Roman" w:cs="Times New Roman"/>
                <w:color w:val="000000"/>
              </w:rPr>
              <w:t>. Lisboa: Presença 1988.</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1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FUNARI, Pedro Paulo A. (ed.). PÉREZ-SANCHES, Dionisio (ed.); SILVA, Glaydson José da (ed.). </w:t>
            </w:r>
            <w:r>
              <w:rPr>
                <w:rFonts w:ascii="Times New Roman" w:hAnsi="Times New Roman" w:eastAsia="Times New Roman" w:cs="Times New Roman"/>
                <w:b/>
                <w:color w:val="000000"/>
              </w:rPr>
              <w:t>Arqueologia e História del Mundo Antiguo</w:t>
            </w:r>
            <w:r>
              <w:rPr>
                <w:rFonts w:ascii="Times New Roman" w:hAnsi="Times New Roman" w:eastAsia="Times New Roman" w:cs="Times New Roman"/>
                <w:color w:val="000000"/>
              </w:rPr>
              <w:t>: contribuciones brasileñas y españolas. Oxford: Archaeopress2008.</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SILVA, Leila Rodrigues da. </w:t>
            </w:r>
            <w:r>
              <w:rPr>
                <w:rFonts w:ascii="Times New Roman" w:hAnsi="Times New Roman" w:eastAsia="Times New Roman" w:cs="Times New Roman"/>
                <w:color w:val="000000"/>
                <w:u w:val="single"/>
              </w:rPr>
              <w:t>Algumas Considerações Acerca Do Poder Episcopal Nos Centros Urbanos Hispânicos – Século V Ao VII</w:t>
            </w:r>
            <w:r>
              <w:rPr>
                <w:rFonts w:ascii="Times New Roman" w:hAnsi="Times New Roman" w:eastAsia="Times New Roman" w:cs="Times New Roman"/>
                <w:color w:val="000000"/>
              </w:rPr>
              <w:t xml:space="preserve">. In: História: </w:t>
            </w:r>
            <w:r>
              <w:rPr>
                <w:rFonts w:ascii="Times New Roman" w:hAnsi="Times New Roman" w:eastAsia="Times New Roman" w:cs="Times New Roman"/>
                <w:b/>
                <w:color w:val="000000"/>
              </w:rPr>
              <w:t>Questões &amp; Debates</w:t>
            </w:r>
            <w:r>
              <w:rPr>
                <w:rFonts w:ascii="Times New Roman" w:hAnsi="Times New Roman" w:eastAsia="Times New Roman" w:cs="Times New Roman"/>
                <w:color w:val="000000"/>
              </w:rPr>
              <w:t xml:space="preserve">. Curitiba, No. 37, 2002, p. 65-82. Disponível em: </w:t>
            </w:r>
            <w:r>
              <w:fldChar w:fldCharType="begin"/>
            </w:r>
            <w:r>
              <w:instrText xml:space="preserve"> HYPERLINK "file:///C:/Users/Bruno/Downloads/2703-5538-1-PB%20(2).pdf" </w:instrText>
            </w:r>
            <w:r>
              <w:fldChar w:fldCharType="separate"/>
            </w:r>
            <w:r>
              <w:rPr>
                <w:rStyle w:val="16"/>
                <w:rFonts w:ascii="Times New Roman" w:hAnsi="Times New Roman" w:eastAsia="Times New Roman" w:cs="Times New Roman"/>
              </w:rPr>
              <w:t>file:///C:/Users/Bruno/Downloads/2703-5538-1-PB%20(2).pdf</w:t>
            </w:r>
            <w:r>
              <w:rPr>
                <w:rStyle w:val="16"/>
                <w:rFonts w:ascii="Times New Roman" w:hAnsi="Times New Roman" w:eastAsia="Times New Roman" w:cs="Times New Roman"/>
              </w:rPr>
              <w:fldChar w:fldCharType="end"/>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tbl>
      <w:tblPr>
        <w:tblStyle w:val="552"/>
        <w:tblW w:w="9021" w:type="dxa"/>
        <w:tblInd w:w="2" w:type="dxa"/>
        <w:tblLayout w:type="fixed"/>
        <w:tblCellMar>
          <w:top w:w="0" w:type="dxa"/>
          <w:left w:w="22" w:type="dxa"/>
          <w:bottom w:w="0" w:type="dxa"/>
          <w:right w:w="22" w:type="dxa"/>
        </w:tblCellMar>
      </w:tblPr>
      <w:tblGrid>
        <w:gridCol w:w="2865"/>
        <w:gridCol w:w="3208"/>
        <w:gridCol w:w="2948"/>
      </w:tblGrid>
      <w:tr>
        <w:tblPrEx>
          <w:tblCellMar>
            <w:top w:w="0" w:type="dxa"/>
            <w:left w:w="22" w:type="dxa"/>
            <w:bottom w:w="0" w:type="dxa"/>
            <w:right w:w="22" w:type="dxa"/>
          </w:tblCellMar>
        </w:tblPrEx>
        <w:trPr>
          <w:trHeight w:val="1655" w:hRule="atLeast"/>
        </w:trPr>
        <w:tc>
          <w:tcPr>
            <w:tcW w:w="6073"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Seminário em História Antiga e Medieval XIV</w:t>
            </w:r>
          </w:p>
          <w:p>
            <w:pPr>
              <w:widowControl w:val="0"/>
              <w:pBdr>
                <w:top w:val="none" w:color="auto" w:sz="0" w:space="0"/>
                <w:left w:val="none" w:color="auto" w:sz="0" w:space="0"/>
                <w:bottom w:val="none" w:color="auto" w:sz="0" w:space="0"/>
                <w:right w:val="none" w:color="auto" w:sz="0" w:space="0"/>
                <w:between w:val="none" w:color="auto" w:sz="0" w:space="0"/>
              </w:pBdr>
              <w:spacing w:before="4"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Seminar in Ancient and Medieval History XIV</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tc>
        <w:tc>
          <w:tcPr>
            <w:tcW w:w="2948"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HIS289</w:t>
            </w:r>
          </w:p>
        </w:tc>
      </w:tr>
      <w:tr>
        <w:tblPrEx>
          <w:tblCellMar>
            <w:top w:w="0" w:type="dxa"/>
            <w:left w:w="22" w:type="dxa"/>
            <w:bottom w:w="0" w:type="dxa"/>
            <w:right w:w="22" w:type="dxa"/>
          </w:tblCellMar>
        </w:tblPrEx>
        <w:trPr>
          <w:trHeight w:val="830" w:hRule="atLeast"/>
        </w:trPr>
        <w:tc>
          <w:tcPr>
            <w:tcW w:w="6073"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w:t>
            </w:r>
          </w:p>
          <w:p>
            <w:pPr>
              <w:widowControl w:val="0"/>
              <w:pBdr>
                <w:top w:val="none" w:color="auto" w:sz="0" w:space="0"/>
                <w:left w:val="none" w:color="auto" w:sz="0" w:space="0"/>
                <w:bottom w:val="none" w:color="auto" w:sz="0" w:space="0"/>
                <w:right w:val="none" w:color="auto" w:sz="0" w:space="0"/>
                <w:between w:val="none" w:color="auto" w:sz="0" w:space="0"/>
              </w:pBdr>
              <w:spacing w:before="14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Departamento de História – DEHIS</w:t>
            </w:r>
          </w:p>
        </w:tc>
        <w:tc>
          <w:tcPr>
            <w:tcW w:w="2948"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3" w:hRule="atLeast"/>
        </w:trPr>
        <w:tc>
          <w:tcPr>
            <w:tcW w:w="2865"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462"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6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3208"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2948"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Carga horária semanal prática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02 horas/aula</w:t>
            </w:r>
          </w:p>
        </w:tc>
      </w:tr>
      <w:tr>
        <w:tblPrEx>
          <w:tblCellMar>
            <w:top w:w="0" w:type="dxa"/>
            <w:left w:w="22" w:type="dxa"/>
            <w:bottom w:w="0" w:type="dxa"/>
            <w:right w:w="22" w:type="dxa"/>
          </w:tblCellMar>
        </w:tblPrEx>
        <w:trPr>
          <w:trHeight w:val="1238"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tabs>
                <w:tab w:val="left" w:pos="1027"/>
                <w:tab w:val="left" w:pos="1823"/>
                <w:tab w:val="left" w:pos="3348"/>
                <w:tab w:val="left" w:pos="5741"/>
              </w:tabs>
              <w:spacing w:line="360" w:lineRule="auto"/>
              <w:ind w:left="0" w:right="106" w:hanging="2"/>
              <w:rPr>
                <w:rFonts w:ascii="Times New Roman" w:hAnsi="Times New Roman" w:eastAsia="Times New Roman" w:cs="Times New Roman"/>
                <w:color w:val="000000"/>
              </w:rPr>
            </w:pPr>
            <w:r>
              <w:rPr>
                <w:rFonts w:ascii="Times New Roman" w:hAnsi="Times New Roman" w:eastAsia="Times New Roman" w:cs="Times New Roman"/>
                <w:color w:val="000000"/>
              </w:rPr>
              <w:t>Ementa: Discussões de temas e/ou historiografia em História Antiga, com ênfase em história</w:t>
            </w:r>
            <w:r>
              <w:rPr>
                <w:rFonts w:ascii="Times New Roman" w:hAnsi="Times New Roman" w:eastAsia="Times New Roman" w:cs="Times New Roman"/>
                <w:color w:val="000000"/>
              </w:rPr>
              <w:tab/>
            </w:r>
            <w:r>
              <w:rPr>
                <w:rFonts w:ascii="Times New Roman" w:hAnsi="Times New Roman" w:eastAsia="Times New Roman" w:cs="Times New Roman"/>
                <w:color w:val="000000"/>
              </w:rPr>
              <w:t>grega,</w:t>
            </w:r>
            <w:r>
              <w:rPr>
                <w:rFonts w:ascii="Times New Roman" w:hAnsi="Times New Roman" w:eastAsia="Times New Roman" w:cs="Times New Roman"/>
                <w:color w:val="000000"/>
              </w:rPr>
              <w:tab/>
            </w:r>
            <w:r>
              <w:rPr>
                <w:rFonts w:ascii="Times New Roman" w:hAnsi="Times New Roman" w:eastAsia="Times New Roman" w:cs="Times New Roman"/>
                <w:color w:val="000000"/>
              </w:rPr>
              <w:t>aprofundando</w:t>
            </w:r>
            <w:r>
              <w:rPr>
                <w:rFonts w:ascii="Times New Roman" w:hAnsi="Times New Roman" w:eastAsia="Times New Roman" w:cs="Times New Roman"/>
                <w:color w:val="000000"/>
              </w:rPr>
              <w:tab/>
            </w:r>
            <w:r>
              <w:rPr>
                <w:rFonts w:ascii="Times New Roman" w:hAnsi="Times New Roman" w:eastAsia="Times New Roman" w:cs="Times New Roman"/>
                <w:color w:val="000000"/>
              </w:rPr>
              <w:t>assuntos previamente</w:t>
            </w:r>
            <w:r>
              <w:rPr>
                <w:rFonts w:ascii="Times New Roman" w:hAnsi="Times New Roman" w:eastAsia="Times New Roman" w:cs="Times New Roman"/>
                <w:color w:val="000000"/>
              </w:rPr>
              <w:tab/>
            </w:r>
            <w:r>
              <w:rPr>
                <w:rFonts w:ascii="Times New Roman" w:hAnsi="Times New Roman" w:eastAsia="Times New Roman" w:cs="Times New Roman"/>
                <w:color w:val="000000"/>
              </w:rPr>
              <w:t>abordados nas disciplinas</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obrigatórias da área ou apresentando aspectos inéditos de forma detida e específica.</w:t>
            </w:r>
          </w:p>
        </w:tc>
      </w:tr>
      <w:tr>
        <w:tblPrEx>
          <w:tblCellMar>
            <w:top w:w="0" w:type="dxa"/>
            <w:left w:w="22" w:type="dxa"/>
            <w:bottom w:w="0" w:type="dxa"/>
            <w:right w:w="22" w:type="dxa"/>
          </w:tblCellMar>
        </w:tblPrEx>
        <w:trPr>
          <w:trHeight w:val="3461"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before="9"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1 – A formação da polis grega como problema historiográfico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2 – A expansão grega no Mediterrâneo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3 – As fronteiras internas das poleis: cidadania, escravidão, mulheres e estrangeiros o caso de Atenas</w:t>
            </w:r>
          </w:p>
          <w:p>
            <w:pPr>
              <w:widowControl w:val="0"/>
              <w:pBdr>
                <w:top w:val="none" w:color="auto" w:sz="0" w:space="0"/>
                <w:left w:val="none" w:color="auto" w:sz="0" w:space="0"/>
                <w:bottom w:val="none" w:color="auto" w:sz="0" w:space="0"/>
                <w:right w:val="none" w:color="auto" w:sz="0" w:space="0"/>
                <w:between w:val="none" w:color="auto" w:sz="0" w:space="0"/>
              </w:pBdr>
              <w:spacing w:before="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4 – A peculiaridade espartana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5 – As monarquias helenísticas e suas formas de hegemonias</w:t>
            </w:r>
          </w:p>
        </w:tc>
      </w:tr>
      <w:tr>
        <w:tblPrEx>
          <w:tblCellMar>
            <w:top w:w="0" w:type="dxa"/>
            <w:left w:w="22" w:type="dxa"/>
            <w:bottom w:w="0" w:type="dxa"/>
            <w:right w:w="22" w:type="dxa"/>
          </w:tblCellMar>
        </w:tblPrEx>
        <w:trPr>
          <w:trHeight w:val="974"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9"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tabs>
                <w:tab w:val="left" w:pos="2209"/>
                <w:tab w:val="left" w:pos="3439"/>
                <w:tab w:val="left" w:pos="4793"/>
                <w:tab w:val="left" w:pos="6382"/>
                <w:tab w:val="left" w:pos="7615"/>
              </w:tabs>
              <w:spacing w:line="360" w:lineRule="auto"/>
              <w:ind w:left="0" w:right="55"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HALL, Jonathan. Quem eram os gregos. </w:t>
            </w:r>
            <w:r>
              <w:rPr>
                <w:rFonts w:ascii="Times New Roman" w:hAnsi="Times New Roman" w:eastAsia="Times New Roman" w:cs="Times New Roman"/>
                <w:i/>
                <w:color w:val="000000"/>
              </w:rPr>
              <w:t>Revista do Museu de Arqueologia e Etnologia</w:t>
            </w:r>
            <w:r>
              <w:rPr>
                <w:rFonts w:ascii="Times New Roman" w:hAnsi="Times New Roman" w:eastAsia="Times New Roman" w:cs="Times New Roman"/>
                <w:color w:val="000000"/>
              </w:rPr>
              <w:t>, n</w:t>
            </w:r>
            <w:r>
              <w:rPr>
                <w:rFonts w:ascii="Times New Roman" w:hAnsi="Times New Roman" w:eastAsia="Times New Roman" w:cs="Times New Roman"/>
                <w:color w:val="000000"/>
                <w:vertAlign w:val="superscript"/>
              </w:rPr>
              <w:t>o</w:t>
            </w:r>
            <w:r>
              <w:rPr>
                <w:rFonts w:ascii="Times New Roman" w:hAnsi="Times New Roman" w:eastAsia="Times New Roman" w:cs="Times New Roman"/>
                <w:color w:val="000000"/>
              </w:rPr>
              <w:t>. 11, 2001, p.213-225.</w:t>
            </w:r>
          </w:p>
          <w:p>
            <w:pPr>
              <w:widowControl w:val="0"/>
              <w:pBdr>
                <w:top w:val="none" w:color="auto" w:sz="0" w:space="0"/>
                <w:left w:val="none" w:color="auto" w:sz="0" w:space="0"/>
                <w:bottom w:val="none" w:color="auto" w:sz="0" w:space="0"/>
                <w:right w:val="none" w:color="auto" w:sz="0" w:space="0"/>
                <w:between w:val="none" w:color="auto" w:sz="0" w:space="0"/>
              </w:pBdr>
              <w:spacing w:before="3"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w:t>
            </w:r>
            <w:r>
              <w:fldChar w:fldCharType="begin"/>
            </w:r>
            <w:r>
              <w:instrText xml:space="preserve"> HYPERLINK "http://www.revistas.usp.br/revmae/article/view/109419" \h </w:instrText>
            </w:r>
            <w:r>
              <w:fldChar w:fldCharType="separate"/>
            </w:r>
            <w:r>
              <w:rPr>
                <w:rFonts w:ascii="Times New Roman" w:hAnsi="Times New Roman" w:eastAsia="Times New Roman" w:cs="Times New Roman"/>
                <w:color w:val="0000FF"/>
                <w:u w:val="single"/>
              </w:rPr>
              <w:t>http://www.revistas.usp.br/revmae/article/view/109419</w:t>
            </w:r>
            <w:r>
              <w:rPr>
                <w:rFonts w:ascii="Times New Roman" w:hAnsi="Times New Roman" w:eastAsia="Times New Roman" w:cs="Times New Roman"/>
                <w:color w:val="0000FF"/>
                <w:u w:val="single"/>
              </w:rPr>
              <w:fldChar w:fldCharType="end"/>
            </w:r>
            <w:r>
              <w:rPr>
                <w:rFonts w:ascii="Times New Roman" w:hAnsi="Times New Roman" w:eastAsia="Times New Roman" w:cs="Times New Roman"/>
                <w:color w:val="000000"/>
              </w:rPr>
              <w:t>)</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MOSSÉ, Claude. </w:t>
            </w:r>
            <w:r>
              <w:rPr>
                <w:rFonts w:ascii="Times New Roman" w:hAnsi="Times New Roman" w:eastAsia="Times New Roman" w:cs="Times New Roman"/>
                <w:i/>
                <w:color w:val="000000"/>
              </w:rPr>
              <w:t>A Grécia arcaica de Homero a Esquilo</w:t>
            </w:r>
            <w:r>
              <w:rPr>
                <w:rFonts w:ascii="Times New Roman" w:hAnsi="Times New Roman" w:eastAsia="Times New Roman" w:cs="Times New Roman"/>
                <w:color w:val="000000"/>
              </w:rPr>
              <w:t>: séculos VIII-VI a.c.. Lisboa: Edições 70, 1982.</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TRABULSI, J. A. D. </w:t>
            </w:r>
            <w:r>
              <w:rPr>
                <w:rFonts w:ascii="Times New Roman" w:hAnsi="Times New Roman" w:eastAsia="Times New Roman" w:cs="Times New Roman"/>
                <w:i/>
                <w:color w:val="000000"/>
              </w:rPr>
              <w:t>Ensaio sobre a mobilização política na Grécia Antiga</w:t>
            </w:r>
            <w:r>
              <w:rPr>
                <w:rFonts w:ascii="Times New Roman" w:hAnsi="Times New Roman" w:eastAsia="Times New Roman" w:cs="Times New Roman"/>
                <w:b/>
                <w:color w:val="000000"/>
              </w:rPr>
              <w:t xml:space="preserve">. </w:t>
            </w:r>
            <w:r>
              <w:rPr>
                <w:rFonts w:ascii="Times New Roman" w:hAnsi="Times New Roman" w:eastAsia="Times New Roman" w:cs="Times New Roman"/>
                <w:color w:val="000000"/>
              </w:rPr>
              <w:t>Belo Horizonte: Editora da UFMG, 2001.</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VERNANT, Jean-Pierre. </w:t>
            </w:r>
            <w:r>
              <w:rPr>
                <w:rFonts w:ascii="Times New Roman" w:hAnsi="Times New Roman" w:eastAsia="Times New Roman" w:cs="Times New Roman"/>
                <w:i/>
                <w:color w:val="000000"/>
              </w:rPr>
              <w:t>As origens do pensamento grego.</w:t>
            </w:r>
            <w:r>
              <w:rPr>
                <w:rFonts w:ascii="Times New Roman" w:hAnsi="Times New Roman" w:eastAsia="Times New Roman" w:cs="Times New Roman"/>
                <w:color w:val="000000"/>
              </w:rPr>
              <w:t xml:space="preserve"> Rio de Janeiro: Bertrand Brasil, 1994.</w:t>
            </w:r>
          </w:p>
        </w:tc>
      </w:tr>
      <w:tr>
        <w:tblPrEx>
          <w:tblCellMar>
            <w:top w:w="0" w:type="dxa"/>
            <w:left w:w="22" w:type="dxa"/>
            <w:bottom w:w="0" w:type="dxa"/>
            <w:right w:w="22" w:type="dxa"/>
          </w:tblCellMar>
        </w:tblPrEx>
        <w:trPr>
          <w:trHeight w:val="2280"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spacing w:line="360" w:lineRule="auto"/>
              <w:ind w:left="0" w:hanging="2"/>
              <w:jc w:val="both"/>
              <w:rPr>
                <w:rFonts w:ascii="Times New Roman" w:hAnsi="Times New Roman" w:cs="Times New Roman"/>
              </w:rPr>
            </w:pPr>
            <w:r>
              <w:rPr>
                <w:rFonts w:ascii="Times New Roman" w:hAnsi="Times New Roman" w:cs="Times New Roman"/>
              </w:rPr>
              <w:t xml:space="preserve">FINLEY, M. I. </w:t>
            </w:r>
            <w:r>
              <w:rPr>
                <w:rFonts w:ascii="Times New Roman" w:hAnsi="Times New Roman" w:cs="Times New Roman"/>
                <w:i/>
              </w:rPr>
              <w:t>Grécia primitiva: idade do bronze e idade arcaica</w:t>
            </w:r>
            <w:r>
              <w:rPr>
                <w:rFonts w:ascii="Times New Roman" w:hAnsi="Times New Roman" w:cs="Times New Roman"/>
              </w:rPr>
              <w:t>. São Paulo: Martins Fontes, 1990.</w:t>
            </w:r>
          </w:p>
          <w:p>
            <w:pPr>
              <w:spacing w:line="360" w:lineRule="auto"/>
              <w:ind w:left="0" w:hanging="2"/>
              <w:jc w:val="both"/>
              <w:rPr>
                <w:rFonts w:ascii="Times New Roman" w:hAnsi="Times New Roman" w:cs="Times New Roman"/>
              </w:rPr>
            </w:pPr>
            <w:r>
              <w:rPr>
                <w:rFonts w:ascii="Times New Roman" w:hAnsi="Times New Roman" w:cs="Times New Roman"/>
              </w:rPr>
              <w:t xml:space="preserve">FINLEY, M. I. </w:t>
            </w:r>
            <w:r>
              <w:rPr>
                <w:rFonts w:ascii="Times New Roman" w:hAnsi="Times New Roman" w:cs="Times New Roman"/>
                <w:i/>
              </w:rPr>
              <w:t>Democracia antiga e moderna</w:t>
            </w:r>
            <w:r>
              <w:rPr>
                <w:rFonts w:ascii="Times New Roman" w:hAnsi="Times New Roman" w:cs="Times New Roman"/>
              </w:rPr>
              <w:t>. Rio de Janeiro: Graal, 1988.</w:t>
            </w:r>
          </w:p>
          <w:p>
            <w:pPr>
              <w:spacing w:line="360" w:lineRule="auto"/>
              <w:ind w:left="0" w:hanging="2"/>
              <w:jc w:val="both"/>
              <w:rPr>
                <w:rFonts w:ascii="Times New Roman" w:hAnsi="Times New Roman" w:cs="Times New Roman"/>
              </w:rPr>
            </w:pPr>
            <w:r>
              <w:rPr>
                <w:rFonts w:ascii="Times New Roman" w:hAnsi="Times New Roman" w:cs="Times New Roman"/>
              </w:rPr>
              <w:t xml:space="preserve">FUNARI, Pedro Paulo Abreu. </w:t>
            </w:r>
            <w:r>
              <w:rPr>
                <w:rFonts w:ascii="Times New Roman" w:hAnsi="Times New Roman" w:cs="Times New Roman"/>
                <w:i/>
              </w:rPr>
              <w:t>Antigüidade clássica: a história e a cultura a partir dos documentos</w:t>
            </w:r>
            <w:r>
              <w:rPr>
                <w:rFonts w:ascii="Times New Roman" w:hAnsi="Times New Roman" w:cs="Times New Roman"/>
              </w:rPr>
              <w:t>. 2. ed. Campinas, SP: UNICAMP, 2003.</w:t>
            </w:r>
          </w:p>
          <w:p>
            <w:pPr>
              <w:spacing w:line="360" w:lineRule="auto"/>
              <w:ind w:left="0" w:hanging="2"/>
              <w:jc w:val="both"/>
              <w:rPr>
                <w:rFonts w:ascii="Times New Roman" w:hAnsi="Times New Roman" w:cs="Times New Roman"/>
              </w:rPr>
            </w:pPr>
            <w:r>
              <w:rPr>
                <w:rFonts w:ascii="Times New Roman" w:hAnsi="Times New Roman" w:cs="Times New Roman"/>
              </w:rPr>
              <w:t xml:space="preserve">GLOTZ, Gustave. </w:t>
            </w:r>
            <w:r>
              <w:rPr>
                <w:rFonts w:ascii="Times New Roman" w:hAnsi="Times New Roman" w:cs="Times New Roman"/>
                <w:i/>
              </w:rPr>
              <w:t>A cidade grega</w:t>
            </w:r>
            <w:r>
              <w:rPr>
                <w:rFonts w:ascii="Times New Roman" w:hAnsi="Times New Roman" w:cs="Times New Roman"/>
              </w:rPr>
              <w:t>. 2. ed. Rio de Janeiro: Bertrand Brasil, 1988.</w:t>
            </w:r>
          </w:p>
          <w:p>
            <w:pPr>
              <w:spacing w:line="360" w:lineRule="auto"/>
              <w:ind w:left="0" w:hanging="2"/>
              <w:jc w:val="both"/>
              <w:rPr>
                <w:rFonts w:ascii="Times New Roman" w:hAnsi="Times New Roman" w:cs="Times New Roman"/>
              </w:rPr>
            </w:pPr>
            <w:r>
              <w:rPr>
                <w:rFonts w:ascii="Times New Roman" w:hAnsi="Times New Roman" w:cs="Times New Roman"/>
              </w:rPr>
              <w:t xml:space="preserve">SCHEIDEL, Walter; MORRIS, Ian; SALLER, Richard P. Saller (ed.). </w:t>
            </w:r>
            <w:r>
              <w:rPr>
                <w:rFonts w:ascii="Times New Roman" w:hAnsi="Times New Roman" w:cs="Times New Roman"/>
                <w:i/>
              </w:rPr>
              <w:t>The Cambridge Economic History of the Greco-Roman World</w:t>
            </w:r>
            <w:r>
              <w:rPr>
                <w:rFonts w:ascii="Times New Roman" w:hAnsi="Times New Roman" w:cs="Times New Roman"/>
              </w:rPr>
              <w:t>. Cambridge/New York: Cambridge University Press, 2007.</w:t>
            </w:r>
          </w:p>
        </w:tc>
      </w:tr>
    </w:tbl>
    <w:p>
      <w:pPr>
        <w:pBdr>
          <w:top w:val="none" w:color="auto" w:sz="0" w:space="0"/>
          <w:left w:val="none" w:color="auto" w:sz="0" w:space="0"/>
          <w:bottom w:val="none" w:color="auto" w:sz="0" w:space="0"/>
          <w:right w:val="none" w:color="auto" w:sz="0" w:space="0"/>
          <w:between w:val="none" w:color="auto" w:sz="0" w:space="0"/>
        </w:pBdr>
        <w:spacing w:before="9" w:after="14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9" w:after="14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9" w:after="140" w:line="288" w:lineRule="auto"/>
        <w:ind w:left="0" w:hanging="2"/>
        <w:rPr>
          <w:rFonts w:ascii="Times New Roman" w:hAnsi="Times New Roman" w:eastAsia="Times New Roman" w:cs="Times New Roman"/>
          <w:color w:val="000000"/>
        </w:rPr>
      </w:pPr>
    </w:p>
    <w:tbl>
      <w:tblPr>
        <w:tblStyle w:val="553"/>
        <w:tblW w:w="8999" w:type="dxa"/>
        <w:tblInd w:w="2" w:type="dxa"/>
        <w:tblLayout w:type="fixed"/>
        <w:tblCellMar>
          <w:top w:w="0" w:type="dxa"/>
          <w:left w:w="22" w:type="dxa"/>
          <w:bottom w:w="0" w:type="dxa"/>
          <w:right w:w="22" w:type="dxa"/>
        </w:tblCellMar>
      </w:tblPr>
      <w:tblGrid>
        <w:gridCol w:w="3445"/>
        <w:gridCol w:w="2912"/>
        <w:gridCol w:w="2642"/>
      </w:tblGrid>
      <w:tr>
        <w:tblPrEx>
          <w:tblCellMar>
            <w:top w:w="0" w:type="dxa"/>
            <w:left w:w="22" w:type="dxa"/>
            <w:bottom w:w="0" w:type="dxa"/>
            <w:right w:w="22" w:type="dxa"/>
          </w:tblCellMar>
        </w:tblPrEx>
        <w:trPr>
          <w:trHeight w:val="2073" w:hRule="atLeast"/>
        </w:trPr>
        <w:tc>
          <w:tcPr>
            <w:tcW w:w="6357"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957"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Seminário em História Antiga e Medieval XV</w:t>
            </w:r>
          </w:p>
          <w:p>
            <w:pPr>
              <w:widowControl w:val="0"/>
              <w:pBdr>
                <w:top w:val="none" w:color="auto" w:sz="0" w:space="0"/>
                <w:left w:val="none" w:color="auto" w:sz="0" w:space="0"/>
                <w:bottom w:val="none" w:color="auto" w:sz="0" w:space="0"/>
                <w:right w:val="none" w:color="auto" w:sz="0" w:space="0"/>
                <w:between w:val="none" w:color="auto" w:sz="0" w:space="0"/>
              </w:pBdr>
              <w:spacing w:before="2"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before="1" w:line="240" w:lineRule="auto"/>
              <w:ind w:left="0" w:right="1184"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Seminar in Ancient and Medieval History XV</w:t>
            </w:r>
          </w:p>
        </w:tc>
        <w:tc>
          <w:tcPr>
            <w:tcW w:w="2642"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HIS290</w:t>
            </w:r>
          </w:p>
        </w:tc>
      </w:tr>
      <w:tr>
        <w:tblPrEx>
          <w:tblCellMar>
            <w:top w:w="0" w:type="dxa"/>
            <w:left w:w="22" w:type="dxa"/>
            <w:bottom w:w="0" w:type="dxa"/>
            <w:right w:w="22" w:type="dxa"/>
          </w:tblCellMar>
        </w:tblPrEx>
        <w:trPr>
          <w:trHeight w:val="825" w:hRule="atLeast"/>
        </w:trPr>
        <w:tc>
          <w:tcPr>
            <w:tcW w:w="6357"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Departamento de História – DEHIS</w:t>
            </w:r>
          </w:p>
        </w:tc>
        <w:tc>
          <w:tcPr>
            <w:tcW w:w="2642"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3" w:hRule="atLeast"/>
        </w:trPr>
        <w:tc>
          <w:tcPr>
            <w:tcW w:w="3445"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462"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6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2912"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2642"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 02 horas/aula</w:t>
            </w:r>
          </w:p>
        </w:tc>
      </w:tr>
      <w:tr>
        <w:tblPrEx>
          <w:tblCellMar>
            <w:top w:w="0" w:type="dxa"/>
            <w:left w:w="22" w:type="dxa"/>
            <w:bottom w:w="0" w:type="dxa"/>
            <w:right w:w="22" w:type="dxa"/>
          </w:tblCellMar>
        </w:tblPrEx>
        <w:trPr>
          <w:trHeight w:val="825" w:hRule="atLeast"/>
        </w:trPr>
        <w:tc>
          <w:tcPr>
            <w:tcW w:w="8999"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Discussões de temas e/ou historiografia em História Antiga, com ênfase em</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história romana, aprofundando assuntos previamente abordados nas disciplinas obrigatórias da área ou apresentando aspectos inéditos de forma detida e específica.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p>
        </w:tc>
      </w:tr>
      <w:tr>
        <w:tblPrEx>
          <w:tblCellMar>
            <w:top w:w="0" w:type="dxa"/>
            <w:left w:w="22" w:type="dxa"/>
            <w:bottom w:w="0" w:type="dxa"/>
            <w:right w:w="22" w:type="dxa"/>
          </w:tblCellMar>
        </w:tblPrEx>
        <w:trPr>
          <w:trHeight w:val="825" w:hRule="atLeast"/>
        </w:trPr>
        <w:tc>
          <w:tcPr>
            <w:tcW w:w="8999"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281" w:hanging="2"/>
              <w:rPr>
                <w:rFonts w:ascii="Times New Roman" w:hAnsi="Times New Roman" w:eastAsia="Times New Roman" w:cs="Times New Roman"/>
                <w:color w:val="000000"/>
              </w:rPr>
            </w:pPr>
            <w:r>
              <w:rPr>
                <w:rFonts w:ascii="Times New Roman" w:hAnsi="Times New Roman" w:eastAsia="Times New Roman" w:cs="Times New Roman"/>
                <w:color w:val="000000"/>
              </w:rPr>
              <w:t>Unidade 1 – A história da Roma primitiva: problemas e debates Unidade 2 – A expansão romana na Itália</w:t>
            </w:r>
          </w:p>
          <w:p>
            <w:pPr>
              <w:widowControl w:val="0"/>
              <w:pBdr>
                <w:top w:val="none" w:color="auto" w:sz="0" w:space="0"/>
                <w:left w:val="none" w:color="auto" w:sz="0" w:space="0"/>
                <w:bottom w:val="none" w:color="auto" w:sz="0" w:space="0"/>
                <w:right w:val="none" w:color="auto" w:sz="0" w:space="0"/>
                <w:between w:val="none" w:color="auto" w:sz="0" w:space="0"/>
              </w:pBdr>
              <w:spacing w:before="6"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3 – Roma e o Mediterrâneo: competições interestatais e formação de hegemonias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1" w:hanging="2"/>
              <w:rPr>
                <w:rFonts w:ascii="Times New Roman" w:hAnsi="Times New Roman" w:eastAsia="Times New Roman" w:cs="Times New Roman"/>
                <w:color w:val="000000"/>
              </w:rPr>
            </w:pPr>
            <w:r>
              <w:rPr>
                <w:rFonts w:ascii="Times New Roman" w:hAnsi="Times New Roman" w:eastAsia="Times New Roman" w:cs="Times New Roman"/>
                <w:color w:val="000000"/>
              </w:rPr>
              <w:t>Unidade 4 – O Império Romano: unidade e diversidade; continuidades e rupturas com a República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Unidade 5 – A Antiguidade Tardia como problema historiográfico</w:t>
            </w:r>
          </w:p>
        </w:tc>
      </w:tr>
      <w:tr>
        <w:tblPrEx>
          <w:tblCellMar>
            <w:top w:w="0" w:type="dxa"/>
            <w:left w:w="22" w:type="dxa"/>
            <w:bottom w:w="0" w:type="dxa"/>
            <w:right w:w="22" w:type="dxa"/>
          </w:tblCellMar>
        </w:tblPrEx>
        <w:trPr>
          <w:trHeight w:val="3270" w:hRule="atLeast"/>
        </w:trPr>
        <w:tc>
          <w:tcPr>
            <w:tcW w:w="8999"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ALFÖLDY, Geza. </w:t>
            </w:r>
            <w:r>
              <w:rPr>
                <w:rFonts w:ascii="Times New Roman" w:hAnsi="Times New Roman" w:eastAsia="Times New Roman" w:cs="Times New Roman"/>
                <w:b/>
                <w:color w:val="000000"/>
              </w:rPr>
              <w:t xml:space="preserve">A História Social de Roma. </w:t>
            </w:r>
            <w:r>
              <w:rPr>
                <w:rFonts w:ascii="Times New Roman" w:hAnsi="Times New Roman" w:eastAsia="Times New Roman" w:cs="Times New Roman"/>
                <w:color w:val="000000"/>
              </w:rPr>
              <w:t>Lisboa: Presença, 1995.</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BOWERSOCK, G. W. </w:t>
            </w:r>
            <w:r>
              <w:rPr>
                <w:rFonts w:ascii="Times New Roman" w:hAnsi="Times New Roman" w:eastAsia="Times New Roman" w:cs="Times New Roman"/>
                <w:b/>
                <w:color w:val="000000"/>
              </w:rPr>
              <w:t xml:space="preserve">Between republic and empire: interpretations of Augustus and his principate. </w:t>
            </w:r>
            <w:r>
              <w:rPr>
                <w:rFonts w:ascii="Times New Roman" w:hAnsi="Times New Roman" w:eastAsia="Times New Roman" w:cs="Times New Roman"/>
                <w:color w:val="000000"/>
              </w:rPr>
              <w:t>Berkeley: University of California Press, 1990.</w:t>
            </w:r>
          </w:p>
          <w:p>
            <w:pPr>
              <w:widowControl w:val="0"/>
              <w:pBdr>
                <w:top w:val="none" w:color="auto" w:sz="0" w:space="0"/>
                <w:left w:val="none" w:color="auto" w:sz="0" w:space="0"/>
                <w:bottom w:val="none" w:color="auto" w:sz="0" w:space="0"/>
                <w:right w:val="none" w:color="auto" w:sz="0" w:space="0"/>
                <w:between w:val="none" w:color="auto" w:sz="0" w:space="0"/>
              </w:pBdr>
              <w:tabs>
                <w:tab w:val="left" w:pos="2286"/>
                <w:tab w:val="left" w:pos="4277"/>
                <w:tab w:val="left" w:pos="6087"/>
              </w:tabs>
              <w:spacing w:line="360" w:lineRule="auto"/>
              <w:ind w:left="0" w:right="53"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BRANDAO, José L.; OLIVEIRA, Francisco de. (Orgs.). </w:t>
            </w:r>
            <w:r>
              <w:rPr>
                <w:rFonts w:ascii="Times New Roman" w:hAnsi="Times New Roman" w:eastAsia="Times New Roman" w:cs="Times New Roman"/>
                <w:b/>
                <w:color w:val="000000"/>
              </w:rPr>
              <w:t xml:space="preserve">História de Roma antiga: </w:t>
            </w:r>
            <w:r>
              <w:rPr>
                <w:rFonts w:ascii="Times New Roman" w:hAnsi="Times New Roman" w:eastAsia="Times New Roman" w:cs="Times New Roman"/>
                <w:color w:val="000000"/>
              </w:rPr>
              <w:t>das origens à morte de César. 1ed.Coimbra: Imprensa da Universidade de Coimbra, 2015,</w:t>
            </w:r>
            <w:r>
              <w:rPr>
                <w:rFonts w:ascii="Times New Roman" w:hAnsi="Times New Roman" w:eastAsia="Times New Roman" w:cs="Times New Roman"/>
                <w:color w:val="000000"/>
              </w:rPr>
              <w:tab/>
            </w:r>
            <w:r>
              <w:rPr>
                <w:rFonts w:ascii="Times New Roman" w:hAnsi="Times New Roman" w:eastAsia="Times New Roman" w:cs="Times New Roman"/>
                <w:color w:val="000000"/>
              </w:rPr>
              <w:t>vol.</w:t>
            </w:r>
            <w:r>
              <w:rPr>
                <w:rFonts w:ascii="Times New Roman" w:hAnsi="Times New Roman" w:eastAsia="Times New Roman" w:cs="Times New Roman"/>
                <w:color w:val="000000"/>
              </w:rPr>
              <w:tab/>
            </w:r>
            <w:r>
              <w:rPr>
                <w:rFonts w:ascii="Times New Roman" w:hAnsi="Times New Roman" w:eastAsia="Times New Roman" w:cs="Times New Roman"/>
                <w:color w:val="000000"/>
              </w:rPr>
              <w:t>1.</w:t>
            </w:r>
            <w:r>
              <w:rPr>
                <w:rFonts w:ascii="Times New Roman" w:hAnsi="Times New Roman" w:eastAsia="Times New Roman" w:cs="Times New Roman"/>
                <w:color w:val="000000"/>
              </w:rPr>
              <w:tab/>
            </w:r>
            <w:r>
              <w:rPr>
                <w:rFonts w:ascii="Times New Roman" w:hAnsi="Times New Roman" w:eastAsia="Times New Roman" w:cs="Times New Roman"/>
                <w:color w:val="000000"/>
              </w:rPr>
              <w:t>(</w:t>
            </w:r>
            <w:r>
              <w:fldChar w:fldCharType="begin"/>
            </w:r>
            <w:r>
              <w:instrText xml:space="preserve"> HYPERLINK "https://digitalis.uc.pt/pt-pt/livro/hist%C3%83%C2%B3ria_de_roma_antiga_volume_i_das_origens_%C3%83%C2%A0_morte_de_c%C3%83%C2%A9sar" \h </w:instrText>
            </w:r>
            <w:r>
              <w:fldChar w:fldCharType="separate"/>
            </w:r>
            <w:r>
              <w:rPr>
                <w:rFonts w:ascii="Times New Roman" w:hAnsi="Times New Roman" w:eastAsia="Times New Roman" w:cs="Times New Roman"/>
                <w:color w:val="0000FF"/>
                <w:u w:val="single"/>
              </w:rPr>
              <w:t>https://digitalis.uc.pt/pt-pt/livro/história_de_roma_antiga_volume_i_das_origens_à_morte_de_césar</w:t>
            </w:r>
            <w:r>
              <w:rPr>
                <w:rFonts w:ascii="Times New Roman" w:hAnsi="Times New Roman" w:eastAsia="Times New Roman" w:cs="Times New Roman"/>
                <w:color w:val="0000FF"/>
                <w:u w:val="single"/>
              </w:rPr>
              <w:fldChar w:fldCharType="end"/>
            </w:r>
            <w:r>
              <w:rPr>
                <w:rFonts w:ascii="Times New Roman" w:hAnsi="Times New Roman" w:eastAsia="Times New Roman" w:cs="Times New Roman"/>
                <w:color w:val="000000"/>
              </w:rPr>
              <w:t>)</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FAVERSANI, F. Entre a República e o Império: apontamentos sobre a amplitude desta fronteira. </w:t>
            </w:r>
            <w:r>
              <w:rPr>
                <w:rFonts w:ascii="Times New Roman" w:hAnsi="Times New Roman" w:eastAsia="Times New Roman" w:cs="Times New Roman"/>
                <w:b/>
                <w:color w:val="000000"/>
              </w:rPr>
              <w:t xml:space="preserve">Mare Nostrum, </w:t>
            </w:r>
            <w:r>
              <w:rPr>
                <w:rFonts w:ascii="Times New Roman" w:hAnsi="Times New Roman" w:eastAsia="Times New Roman" w:cs="Times New Roman"/>
                <w:color w:val="000000"/>
              </w:rPr>
              <w:t>vol. 4, n. 4, 2013, p. 100-111. (</w:t>
            </w:r>
            <w:r>
              <w:fldChar w:fldCharType="begin"/>
            </w:r>
            <w:r>
              <w:instrText xml:space="preserve"> HYPERLINK "http://www.revistas.usp.br/marenostrum/article/view/105856" \h </w:instrText>
            </w:r>
            <w:r>
              <w:fldChar w:fldCharType="separate"/>
            </w:r>
            <w:r>
              <w:rPr>
                <w:rFonts w:ascii="Times New Roman" w:hAnsi="Times New Roman" w:eastAsia="Times New Roman" w:cs="Times New Roman"/>
                <w:color w:val="0000FF"/>
                <w:u w:val="single"/>
              </w:rPr>
              <w:t>http://www.revistas.usp.br/marenostrum/article/view/105856</w:t>
            </w:r>
            <w:r>
              <w:rPr>
                <w:rFonts w:ascii="Times New Roman" w:hAnsi="Times New Roman" w:eastAsia="Times New Roman" w:cs="Times New Roman"/>
                <w:color w:val="0000FF"/>
                <w:u w:val="single"/>
              </w:rPr>
              <w:fldChar w:fldCharType="end"/>
            </w:r>
            <w:r>
              <w:rPr>
                <w:rFonts w:ascii="Times New Roman" w:hAnsi="Times New Roman" w:eastAsia="Times New Roman" w:cs="Times New Roman"/>
                <w:color w:val="000000"/>
              </w:rPr>
              <w:t>)</w:t>
            </w:r>
          </w:p>
          <w:p>
            <w:pPr>
              <w:widowControl w:val="0"/>
              <w:pBdr>
                <w:top w:val="none" w:color="auto" w:sz="0" w:space="0"/>
                <w:left w:val="none" w:color="auto" w:sz="0" w:space="0"/>
                <w:bottom w:val="none" w:color="auto" w:sz="0" w:space="0"/>
                <w:right w:val="none" w:color="auto" w:sz="0" w:space="0"/>
                <w:between w:val="none" w:color="auto" w:sz="0" w:space="0"/>
              </w:pBdr>
              <w:tabs>
                <w:tab w:val="left" w:pos="7932"/>
              </w:tabs>
              <w:spacing w:line="360" w:lineRule="auto"/>
              <w:ind w:left="0" w:right="55"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GUARINELLO, Norberto Luis. </w:t>
            </w:r>
            <w:r>
              <w:rPr>
                <w:rFonts w:ascii="Times New Roman" w:hAnsi="Times New Roman" w:eastAsia="Times New Roman" w:cs="Times New Roman"/>
                <w:b/>
                <w:color w:val="000000"/>
              </w:rPr>
              <w:t>Ensaios sobre História Antiga</w:t>
            </w:r>
            <w:r>
              <w:rPr>
                <w:rFonts w:ascii="Times New Roman" w:hAnsi="Times New Roman" w:eastAsia="Times New Roman" w:cs="Times New Roman"/>
                <w:color w:val="000000"/>
              </w:rPr>
              <w:t>. Tese de livre- docência. Faculdade de Filosofia, Letras e Ciências Humanas. Universidade de São Paulo,</w:t>
            </w:r>
            <w:r>
              <w:rPr>
                <w:rFonts w:ascii="Times New Roman" w:hAnsi="Times New Roman" w:eastAsia="Times New Roman" w:cs="Times New Roman"/>
                <w:color w:val="000000"/>
              </w:rPr>
              <w:tab/>
            </w:r>
            <w:r>
              <w:rPr>
                <w:rFonts w:ascii="Times New Roman" w:hAnsi="Times New Roman" w:eastAsia="Times New Roman" w:cs="Times New Roman"/>
                <w:color w:val="000000"/>
              </w:rPr>
              <w:t>2015.</w:t>
            </w:r>
          </w:p>
          <w:p>
            <w:pPr>
              <w:widowControl w:val="0"/>
              <w:pBdr>
                <w:top w:val="none" w:color="auto" w:sz="0" w:space="0"/>
                <w:left w:val="none" w:color="auto" w:sz="0" w:space="0"/>
                <w:bottom w:val="none" w:color="auto" w:sz="0" w:space="0"/>
                <w:right w:val="none" w:color="auto" w:sz="0" w:space="0"/>
                <w:between w:val="none" w:color="auto" w:sz="0" w:space="0"/>
              </w:pBdr>
              <w:spacing w:before="1"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w:t>
            </w:r>
            <w:r>
              <w:fldChar w:fldCharType="begin"/>
            </w:r>
            <w:r>
              <w:instrText xml:space="preserve"> HYPERLINK "https://www.academia.edu/9890350/Ensaios_sobre_Hist%C3%B3ria_Antiga" \h </w:instrText>
            </w:r>
            <w:r>
              <w:fldChar w:fldCharType="separate"/>
            </w:r>
            <w:r>
              <w:rPr>
                <w:rFonts w:ascii="Times New Roman" w:hAnsi="Times New Roman" w:eastAsia="Times New Roman" w:cs="Times New Roman"/>
                <w:color w:val="0000FF"/>
                <w:u w:val="single"/>
              </w:rPr>
              <w:t>https://www.academia.edu/9890350/Ensaios_sobre_Hist%C3%B3ria_Antiga</w:t>
            </w:r>
            <w:r>
              <w:rPr>
                <w:rFonts w:ascii="Times New Roman" w:hAnsi="Times New Roman" w:eastAsia="Times New Roman" w:cs="Times New Roman"/>
                <w:color w:val="0000FF"/>
                <w:u w:val="single"/>
              </w:rPr>
              <w:fldChar w:fldCharType="end"/>
            </w:r>
            <w:r>
              <w:rPr>
                <w:rFonts w:ascii="Times New Roman" w:hAnsi="Times New Roman" w:eastAsia="Times New Roman" w:cs="Times New Roman"/>
                <w:color w:val="000000"/>
              </w:rPr>
              <w:t>).</w:t>
            </w:r>
          </w:p>
        </w:tc>
      </w:tr>
      <w:tr>
        <w:tblPrEx>
          <w:tblCellMar>
            <w:top w:w="0" w:type="dxa"/>
            <w:left w:w="22" w:type="dxa"/>
            <w:bottom w:w="0" w:type="dxa"/>
            <w:right w:w="22" w:type="dxa"/>
          </w:tblCellMar>
        </w:tblPrEx>
        <w:trPr>
          <w:trHeight w:val="3270" w:hRule="atLeast"/>
        </w:trPr>
        <w:tc>
          <w:tcPr>
            <w:tcW w:w="8999"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3"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FUNARI, Pedro Paulo Abreu. </w:t>
            </w:r>
            <w:r>
              <w:rPr>
                <w:rFonts w:ascii="Times New Roman" w:hAnsi="Times New Roman" w:eastAsia="Times New Roman" w:cs="Times New Roman"/>
                <w:b/>
                <w:color w:val="000000"/>
              </w:rPr>
              <w:t>Antiguidade clássica: a história e a cultura a partir dos documentos</w:t>
            </w:r>
            <w:r>
              <w:rPr>
                <w:rFonts w:ascii="Times New Roman" w:hAnsi="Times New Roman" w:eastAsia="Times New Roman" w:cs="Times New Roman"/>
                <w:color w:val="000000"/>
              </w:rPr>
              <w:t>. 2. ed. Campinas, SP: UNICAMP, 2003.</w:t>
            </w:r>
          </w:p>
          <w:p>
            <w:pPr>
              <w:widowControl w:val="0"/>
              <w:pBdr>
                <w:top w:val="none" w:color="auto" w:sz="0" w:space="0"/>
                <w:left w:val="none" w:color="auto" w:sz="0" w:space="0"/>
                <w:bottom w:val="none" w:color="auto" w:sz="0" w:space="0"/>
                <w:right w:val="none" w:color="auto" w:sz="0" w:space="0"/>
                <w:between w:val="none" w:color="auto" w:sz="0" w:space="0"/>
              </w:pBdr>
              <w:tabs>
                <w:tab w:val="left" w:pos="4135"/>
              </w:tabs>
              <w:spacing w:line="360" w:lineRule="auto"/>
              <w:ind w:left="0" w:right="5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MACHADO, Carlos Augusto Ribeiro. A Antiguidade Tardia, a queda do Império romano e o debate sobre o “fim do mundo antigo”. </w:t>
            </w:r>
            <w:r>
              <w:rPr>
                <w:rFonts w:ascii="Times New Roman" w:hAnsi="Times New Roman" w:eastAsia="Times New Roman" w:cs="Times New Roman"/>
                <w:b/>
                <w:color w:val="000000"/>
              </w:rPr>
              <w:t>Revista de História</w:t>
            </w:r>
            <w:r>
              <w:rPr>
                <w:rFonts w:ascii="Times New Roman" w:hAnsi="Times New Roman" w:eastAsia="Times New Roman" w:cs="Times New Roman"/>
                <w:i/>
                <w:color w:val="000000"/>
              </w:rPr>
              <w:t xml:space="preserve">, </w:t>
            </w:r>
            <w:r>
              <w:rPr>
                <w:rFonts w:ascii="Times New Roman" w:hAnsi="Times New Roman" w:eastAsia="Times New Roman" w:cs="Times New Roman"/>
                <w:color w:val="000000"/>
              </w:rPr>
              <w:t>173, 2015, p. 81-114. (</w:t>
            </w:r>
            <w:r>
              <w:rPr>
                <w:rFonts w:ascii="Times New Roman" w:hAnsi="Times New Roman" w:eastAsia="Times New Roman" w:cs="Times New Roman"/>
                <w:color w:val="0000FF"/>
                <w:u w:val="single"/>
              </w:rPr>
              <w:t>http://www.scielo.br/scielo.php?pid=S0034</w:t>
            </w:r>
            <w:r>
              <w:fldChar w:fldCharType="begin"/>
            </w:r>
            <w:r>
              <w:instrText xml:space="preserve"> HYPERLINK "http://www.scielo.br/scielo.php?pid=S0034-83092015000200081&amp;amp;script=sci_abstract&amp;amp;tlng=pt" \h </w:instrText>
            </w:r>
            <w:r>
              <w:fldChar w:fldCharType="separate"/>
            </w:r>
            <w:r>
              <w:rPr>
                <w:rFonts w:ascii="Times New Roman" w:hAnsi="Times New Roman" w:eastAsia="Times New Roman" w:cs="Times New Roman"/>
                <w:color w:val="0000FF"/>
                <w:u w:val="single"/>
              </w:rPr>
              <w:t>83092015000200081&amp;script=sci_abstract&amp;tlng=pt</w:t>
            </w:r>
            <w:r>
              <w:rPr>
                <w:rFonts w:ascii="Times New Roman" w:hAnsi="Times New Roman" w:eastAsia="Times New Roman" w:cs="Times New Roman"/>
                <w:color w:val="0000FF"/>
                <w:u w:val="single"/>
              </w:rPr>
              <w:fldChar w:fldCharType="end"/>
            </w:r>
            <w:r>
              <w:rPr>
                <w:rFonts w:ascii="Times New Roman" w:hAnsi="Times New Roman" w:eastAsia="Times New Roman" w:cs="Times New Roman"/>
                <w:color w:val="000000"/>
              </w:rPr>
              <w:t>)</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1"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SCHEIDEL, Walter; MORRIS, Ian; SALLER, Richard P. Saller (ed.). </w:t>
            </w:r>
            <w:r>
              <w:rPr>
                <w:rFonts w:ascii="Times New Roman" w:hAnsi="Times New Roman" w:eastAsia="Times New Roman" w:cs="Times New Roman"/>
                <w:b/>
                <w:color w:val="000000"/>
              </w:rPr>
              <w:t xml:space="preserve">The Cambridge Economic History of the Greco-Roman World. </w:t>
            </w:r>
            <w:r>
              <w:rPr>
                <w:rFonts w:ascii="Times New Roman" w:hAnsi="Times New Roman" w:eastAsia="Times New Roman" w:cs="Times New Roman"/>
                <w:color w:val="000000"/>
              </w:rPr>
              <w:t>Cambridge/New York: Cambridge University Press, 2007.</w:t>
            </w: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right="57"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SCHIAVONE, A. </w:t>
            </w:r>
            <w:r>
              <w:rPr>
                <w:rFonts w:ascii="Times New Roman" w:hAnsi="Times New Roman" w:eastAsia="Times New Roman" w:cs="Times New Roman"/>
                <w:b/>
                <w:color w:val="000000"/>
              </w:rPr>
              <w:t xml:space="preserve">Uma História Rompida: Roma antiga e Ocidente moderno. </w:t>
            </w:r>
            <w:r>
              <w:rPr>
                <w:rFonts w:ascii="Times New Roman" w:hAnsi="Times New Roman" w:eastAsia="Times New Roman" w:cs="Times New Roman"/>
                <w:color w:val="000000"/>
              </w:rPr>
              <w:t>São Paulo: Edusp, 2005.</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SILVA, Bruno S. Romanização e os séculos XX e XXI: a dissolução de um conceito.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b/>
                <w:color w:val="000000"/>
              </w:rPr>
              <w:t>Mare</w:t>
            </w:r>
            <w:r>
              <w:rPr>
                <w:rFonts w:ascii="Times New Roman" w:hAnsi="Times New Roman" w:eastAsia="Times New Roman" w:cs="Times New Roman"/>
                <w:b/>
                <w:color w:val="000000"/>
              </w:rPr>
              <w:tab/>
            </w:r>
            <w:r>
              <w:rPr>
                <w:rFonts w:ascii="Times New Roman" w:hAnsi="Times New Roman" w:eastAsia="Times New Roman" w:cs="Times New Roman"/>
                <w:b/>
                <w:color w:val="000000"/>
              </w:rPr>
              <w:t>Nostrum,</w:t>
            </w:r>
            <w:r>
              <w:rPr>
                <w:rFonts w:ascii="Times New Roman" w:hAnsi="Times New Roman" w:eastAsia="Times New Roman" w:cs="Times New Roman"/>
                <w:b/>
                <w:color w:val="000000"/>
              </w:rPr>
              <w:tab/>
            </w:r>
            <w:r>
              <w:rPr>
                <w:rFonts w:ascii="Times New Roman" w:hAnsi="Times New Roman" w:eastAsia="Times New Roman" w:cs="Times New Roman"/>
                <w:color w:val="000000"/>
              </w:rPr>
              <w:t>vol.</w:t>
            </w:r>
            <w:r>
              <w:rPr>
                <w:rFonts w:ascii="Times New Roman" w:hAnsi="Times New Roman" w:eastAsia="Times New Roman" w:cs="Times New Roman"/>
                <w:color w:val="000000"/>
              </w:rPr>
              <w:tab/>
            </w:r>
            <w:r>
              <w:rPr>
                <w:rFonts w:ascii="Times New Roman" w:hAnsi="Times New Roman" w:eastAsia="Times New Roman" w:cs="Times New Roman"/>
                <w:color w:val="000000"/>
              </w:rPr>
              <w:t>2,</w:t>
            </w:r>
            <w:r>
              <w:rPr>
                <w:rFonts w:ascii="Times New Roman" w:hAnsi="Times New Roman" w:eastAsia="Times New Roman" w:cs="Times New Roman"/>
                <w:color w:val="000000"/>
              </w:rPr>
              <w:tab/>
            </w:r>
            <w:r>
              <w:rPr>
                <w:rFonts w:ascii="Times New Roman" w:hAnsi="Times New Roman" w:eastAsia="Times New Roman" w:cs="Times New Roman"/>
                <w:color w:val="000000"/>
              </w:rPr>
              <w:t>2011,</w:t>
            </w:r>
            <w:r>
              <w:rPr>
                <w:rFonts w:ascii="Times New Roman" w:hAnsi="Times New Roman" w:eastAsia="Times New Roman" w:cs="Times New Roman"/>
                <w:color w:val="000000"/>
              </w:rPr>
              <w:tab/>
            </w:r>
            <w:r>
              <w:rPr>
                <w:rFonts w:ascii="Times New Roman" w:hAnsi="Times New Roman" w:eastAsia="Times New Roman" w:cs="Times New Roman"/>
                <w:color w:val="000000"/>
              </w:rPr>
              <w:t>p.</w:t>
            </w:r>
            <w:r>
              <w:rPr>
                <w:rFonts w:ascii="Times New Roman" w:hAnsi="Times New Roman" w:eastAsia="Times New Roman" w:cs="Times New Roman"/>
                <w:color w:val="000000"/>
              </w:rPr>
              <w:tab/>
            </w:r>
            <w:r>
              <w:rPr>
                <w:rFonts w:ascii="Times New Roman" w:hAnsi="Times New Roman" w:eastAsia="Times New Roman" w:cs="Times New Roman"/>
                <w:color w:val="000000"/>
              </w:rPr>
              <w:t>1-19. (</w:t>
            </w:r>
            <w:r>
              <w:fldChar w:fldCharType="begin"/>
            </w:r>
            <w:r>
              <w:instrText xml:space="preserve"> HYPERLINK "http://www.revistas.usp.br/marenostrum/article/view/105774" \h </w:instrText>
            </w:r>
            <w:r>
              <w:fldChar w:fldCharType="separate"/>
            </w:r>
            <w:r>
              <w:rPr>
                <w:rFonts w:ascii="Times New Roman" w:hAnsi="Times New Roman" w:eastAsia="Times New Roman" w:cs="Times New Roman"/>
                <w:color w:val="0000FF"/>
                <w:u w:val="single"/>
              </w:rPr>
              <w:t>http://www.revistas.usp.br/marenostrum/article/view/105774</w:t>
            </w:r>
            <w:r>
              <w:rPr>
                <w:rFonts w:ascii="Times New Roman" w:hAnsi="Times New Roman" w:eastAsia="Times New Roman" w:cs="Times New Roman"/>
                <w:color w:val="0000FF"/>
                <w:u w:val="single"/>
              </w:rPr>
              <w:fldChar w:fldCharType="end"/>
            </w:r>
            <w:r>
              <w:rPr>
                <w:rFonts w:ascii="Times New Roman" w:hAnsi="Times New Roman" w:eastAsia="Times New Roman" w:cs="Times New Roman"/>
                <w:color w:val="000000"/>
              </w:rPr>
              <w:t>)</w:t>
            </w:r>
          </w:p>
        </w:tc>
      </w:tr>
    </w:tbl>
    <w:p>
      <w:pPr>
        <w:pBdr>
          <w:top w:val="none" w:color="auto" w:sz="0" w:space="0"/>
          <w:left w:val="none" w:color="auto" w:sz="0" w:space="0"/>
          <w:bottom w:val="none" w:color="auto" w:sz="0" w:space="0"/>
          <w:right w:val="none" w:color="auto" w:sz="0" w:space="0"/>
          <w:between w:val="none" w:color="auto" w:sz="0" w:space="0"/>
        </w:pBdr>
        <w:spacing w:before="10" w:after="14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10" w:after="14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10" w:after="140" w:line="288" w:lineRule="auto"/>
        <w:ind w:left="0" w:hanging="2"/>
        <w:rPr>
          <w:rFonts w:ascii="Times New Roman" w:hAnsi="Times New Roman" w:eastAsia="Times New Roman" w:cs="Times New Roman"/>
          <w:color w:val="000000"/>
        </w:rPr>
      </w:pPr>
    </w:p>
    <w:tbl>
      <w:tblPr>
        <w:tblStyle w:val="554"/>
        <w:tblW w:w="9021" w:type="dxa"/>
        <w:tblInd w:w="2" w:type="dxa"/>
        <w:tblLayout w:type="fixed"/>
        <w:tblCellMar>
          <w:top w:w="0" w:type="dxa"/>
          <w:left w:w="22" w:type="dxa"/>
          <w:bottom w:w="0" w:type="dxa"/>
          <w:right w:w="5" w:type="dxa"/>
        </w:tblCellMar>
      </w:tblPr>
      <w:tblGrid>
        <w:gridCol w:w="2830"/>
        <w:gridCol w:w="3243"/>
        <w:gridCol w:w="2948"/>
      </w:tblGrid>
      <w:tr>
        <w:tblPrEx>
          <w:tblCellMar>
            <w:top w:w="0" w:type="dxa"/>
            <w:left w:w="22" w:type="dxa"/>
            <w:bottom w:w="0" w:type="dxa"/>
            <w:right w:w="5" w:type="dxa"/>
          </w:tblCellMar>
        </w:tblPrEx>
        <w:trPr>
          <w:trHeight w:val="2073" w:hRule="atLeast"/>
        </w:trPr>
        <w:tc>
          <w:tcPr>
            <w:tcW w:w="6073"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885"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Seminário em História Antiga e Medieval XVI</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1033"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Seminar in Ancient and Medieval History XVI</w:t>
            </w:r>
          </w:p>
        </w:tc>
        <w:tc>
          <w:tcPr>
            <w:tcW w:w="2948"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HIS291</w:t>
            </w:r>
          </w:p>
        </w:tc>
      </w:tr>
      <w:tr>
        <w:tblPrEx>
          <w:tblCellMar>
            <w:top w:w="0" w:type="dxa"/>
            <w:left w:w="22" w:type="dxa"/>
            <w:bottom w:w="0" w:type="dxa"/>
            <w:right w:w="5" w:type="dxa"/>
          </w:tblCellMar>
        </w:tblPrEx>
        <w:trPr>
          <w:trHeight w:val="825" w:hRule="atLeast"/>
        </w:trPr>
        <w:tc>
          <w:tcPr>
            <w:tcW w:w="6073" w:type="dxa"/>
            <w:gridSpan w:val="2"/>
            <w:tcBorders>
              <w:top w:val="single" w:color="000000" w:sz="4" w:space="0"/>
              <w:left w:val="single" w:color="000000" w:sz="18"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Departamento de História – DEHIS</w:t>
            </w:r>
          </w:p>
        </w:tc>
        <w:tc>
          <w:tcPr>
            <w:tcW w:w="2948"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5" w:type="dxa"/>
          </w:tblCellMar>
        </w:tblPrEx>
        <w:trPr>
          <w:trHeight w:val="1243" w:hRule="atLeast"/>
        </w:trPr>
        <w:tc>
          <w:tcPr>
            <w:tcW w:w="2830" w:type="dxa"/>
            <w:tcBorders>
              <w:top w:val="single" w:color="000000" w:sz="4" w:space="0"/>
              <w:left w:val="single" w:color="000000" w:sz="18"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3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45"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semestral 90 horas</w:t>
            </w:r>
          </w:p>
        </w:tc>
        <w:tc>
          <w:tcPr>
            <w:tcW w:w="3243" w:type="dxa"/>
            <w:tcBorders>
              <w:top w:val="single" w:color="000000" w:sz="4" w:space="0"/>
              <w:left w:val="single" w:color="000000" w:sz="4" w:space="0"/>
              <w:bottom w:val="single" w:color="000000" w:sz="4" w:space="0"/>
              <w:right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2948"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02 horas/aula</w:t>
            </w:r>
          </w:p>
        </w:tc>
      </w:tr>
      <w:tr>
        <w:tblPrEx>
          <w:tblCellMar>
            <w:top w:w="0" w:type="dxa"/>
            <w:left w:w="22" w:type="dxa"/>
            <w:bottom w:w="0" w:type="dxa"/>
            <w:right w:w="5" w:type="dxa"/>
          </w:tblCellMar>
        </w:tblPrEx>
        <w:trPr>
          <w:trHeight w:val="1655" w:hRule="atLeast"/>
        </w:trPr>
        <w:tc>
          <w:tcPr>
            <w:tcW w:w="9021" w:type="dxa"/>
            <w:gridSpan w:val="3"/>
            <w:tcBorders>
              <w:top w:val="single" w:color="000000" w:sz="4"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Discussões de temas e/ou historiografia em História Antiga, com ênfase em história do Antigo Oriente Próximo, aprofundando assuntos previamente abordados nas disciplinas obrigatórias da área ou apresentando aspectos inéditos de forma detida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 específica.</w:t>
            </w:r>
          </w:p>
        </w:tc>
      </w:tr>
      <w:tr>
        <w:tblPrEx>
          <w:tblCellMar>
            <w:top w:w="0" w:type="dxa"/>
            <w:left w:w="22" w:type="dxa"/>
            <w:bottom w:w="0" w:type="dxa"/>
            <w:right w:w="5" w:type="dxa"/>
          </w:tblCellMar>
        </w:tblPrEx>
        <w:trPr>
          <w:trHeight w:val="3764"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1 – O Antigo Oriente como problema histórico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3" w:hanging="2"/>
              <w:rPr>
                <w:rFonts w:ascii="Times New Roman" w:hAnsi="Times New Roman" w:eastAsia="Times New Roman" w:cs="Times New Roman"/>
                <w:color w:val="000000"/>
              </w:rPr>
            </w:pPr>
            <w:r>
              <w:rPr>
                <w:rFonts w:ascii="Times New Roman" w:hAnsi="Times New Roman" w:eastAsia="Times New Roman" w:cs="Times New Roman"/>
                <w:color w:val="000000"/>
              </w:rPr>
              <w:t>Unidade 2 – O período do Bronze inicial e o processo de urbanização na Mesopotâmia: o reino de Ebla e o Império Acadiano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3 – O período do Bronze Médio: Isin, Larsa e o período de Mari</w:t>
            </w: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4 – O período do Bronze Tardio: o Império Hitita, Síria-Palestina e o Reino Médio Assírio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5 – O primeiro período do Ferro: Israel, fenícios e arameus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6 – Os Impérios neoassírio e persa: processos de unificação do Oriente Próximo</w:t>
            </w:r>
          </w:p>
        </w:tc>
      </w:tr>
      <w:tr>
        <w:tblPrEx>
          <w:tblCellMar>
            <w:top w:w="0" w:type="dxa"/>
            <w:left w:w="22" w:type="dxa"/>
            <w:bottom w:w="0" w:type="dxa"/>
            <w:right w:w="5" w:type="dxa"/>
          </w:tblCellMar>
        </w:tblPrEx>
        <w:trPr>
          <w:trHeight w:val="1506"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CARDOSO, Ciro Flamarion S. </w:t>
            </w:r>
            <w:r>
              <w:rPr>
                <w:rFonts w:ascii="Times New Roman" w:hAnsi="Times New Roman" w:eastAsia="Times New Roman" w:cs="Times New Roman"/>
                <w:b/>
                <w:color w:val="000000"/>
              </w:rPr>
              <w:t>O Egito antigo</w:t>
            </w:r>
            <w:r>
              <w:rPr>
                <w:rFonts w:ascii="Times New Roman" w:hAnsi="Times New Roman" w:eastAsia="Times New Roman" w:cs="Times New Roman"/>
                <w:color w:val="000000"/>
              </w:rPr>
              <w:t>. 2. ed. São Paulo: Brasiliense, 1982.</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CARDOSO, Ciro Flamarion S. </w:t>
            </w:r>
            <w:r>
              <w:rPr>
                <w:rFonts w:ascii="Times New Roman" w:hAnsi="Times New Roman" w:eastAsia="Times New Roman" w:cs="Times New Roman"/>
                <w:b/>
                <w:color w:val="000000"/>
              </w:rPr>
              <w:t xml:space="preserve">Sociedades do antigo Oriente Próximo. </w:t>
            </w:r>
            <w:r>
              <w:rPr>
                <w:rFonts w:ascii="Times New Roman" w:hAnsi="Times New Roman" w:eastAsia="Times New Roman" w:cs="Times New Roman"/>
                <w:color w:val="000000"/>
              </w:rPr>
              <w:t>2. ed. São Paulo: Ática, 1988.</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BOUZON, Emanuel</w:t>
            </w:r>
            <w:r>
              <w:rPr>
                <w:rFonts w:ascii="Times New Roman" w:hAnsi="Times New Roman" w:eastAsia="Times New Roman" w:cs="Times New Roman"/>
                <w:b/>
                <w:color w:val="000000"/>
              </w:rPr>
              <w:t>. Ensaios babilônicos: sociedade, economia e cultura na Babilônia pré-cristã</w:t>
            </w:r>
            <w:r>
              <w:rPr>
                <w:rFonts w:ascii="Times New Roman" w:hAnsi="Times New Roman" w:eastAsia="Times New Roman" w:cs="Times New Roman"/>
                <w:color w:val="000000"/>
              </w:rPr>
              <w:t>. Porto Alegre: EDIPUCRS, 1998.</w:t>
            </w: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CHILDE, V. Gordon. </w:t>
            </w:r>
            <w:r>
              <w:rPr>
                <w:rFonts w:ascii="Times New Roman" w:hAnsi="Times New Roman" w:eastAsia="Times New Roman" w:cs="Times New Roman"/>
                <w:b/>
                <w:color w:val="000000"/>
              </w:rPr>
              <w:t xml:space="preserve">A evolução cultural do homem. </w:t>
            </w:r>
            <w:r>
              <w:rPr>
                <w:rFonts w:ascii="Times New Roman" w:hAnsi="Times New Roman" w:eastAsia="Times New Roman" w:cs="Times New Roman"/>
                <w:color w:val="000000"/>
              </w:rPr>
              <w:t>3. ed. Rio de Janeiro: Zahar, 1975.</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REDE, Marcelo. </w:t>
            </w:r>
            <w:r>
              <w:rPr>
                <w:rFonts w:ascii="Times New Roman" w:hAnsi="Times New Roman" w:eastAsia="Times New Roman" w:cs="Times New Roman"/>
                <w:b/>
                <w:color w:val="000000"/>
              </w:rPr>
              <w:t xml:space="preserve">Família e patrimônio na antiga Mesopotâmia. </w:t>
            </w:r>
            <w:r>
              <w:rPr>
                <w:rFonts w:ascii="Times New Roman" w:hAnsi="Times New Roman" w:eastAsia="Times New Roman" w:cs="Times New Roman"/>
                <w:color w:val="000000"/>
              </w:rPr>
              <w:t>Rio de Janeiro: Mauad X, 2007.</w:t>
            </w:r>
          </w:p>
        </w:tc>
      </w:tr>
      <w:tr>
        <w:tblPrEx>
          <w:tblCellMar>
            <w:top w:w="0" w:type="dxa"/>
            <w:left w:w="22" w:type="dxa"/>
            <w:bottom w:w="0" w:type="dxa"/>
            <w:right w:w="5" w:type="dxa"/>
          </w:tblCellMar>
        </w:tblPrEx>
        <w:trPr>
          <w:trHeight w:val="2070"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9"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SAUNERON, Serge. </w:t>
            </w:r>
            <w:r>
              <w:rPr>
                <w:rFonts w:ascii="Times New Roman" w:hAnsi="Times New Roman" w:eastAsia="Times New Roman" w:cs="Times New Roman"/>
                <w:b/>
                <w:color w:val="000000"/>
              </w:rPr>
              <w:t xml:space="preserve">A egiptologia. </w:t>
            </w:r>
            <w:r>
              <w:rPr>
                <w:rFonts w:ascii="Times New Roman" w:hAnsi="Times New Roman" w:eastAsia="Times New Roman" w:cs="Times New Roman"/>
                <w:color w:val="000000"/>
              </w:rPr>
              <w:t>São Paulo: Difusão Europeia do Livro, 1970.</w:t>
            </w:r>
          </w:p>
          <w:p>
            <w:pPr>
              <w:widowControl w:val="0"/>
              <w:pBdr>
                <w:top w:val="none" w:color="auto" w:sz="0" w:space="0"/>
                <w:left w:val="none" w:color="auto" w:sz="0" w:space="0"/>
                <w:bottom w:val="none" w:color="auto" w:sz="0" w:space="0"/>
                <w:right w:val="none" w:color="auto" w:sz="0" w:space="0"/>
                <w:between w:val="none" w:color="auto" w:sz="0" w:space="0"/>
              </w:pBdr>
              <w:spacing w:before="3"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4"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MONTET, Pierre. </w:t>
            </w:r>
            <w:r>
              <w:rPr>
                <w:rFonts w:ascii="Times New Roman" w:hAnsi="Times New Roman" w:eastAsia="Times New Roman" w:cs="Times New Roman"/>
                <w:b/>
                <w:color w:val="000000"/>
              </w:rPr>
              <w:t xml:space="preserve">O Egito no tempo de Ramsés: (1300 a.c. 1100 a.c.). </w:t>
            </w:r>
            <w:r>
              <w:rPr>
                <w:rFonts w:ascii="Times New Roman" w:hAnsi="Times New Roman" w:eastAsia="Times New Roman" w:cs="Times New Roman"/>
                <w:color w:val="000000"/>
              </w:rPr>
              <w:t>São Paulo: Companhia das Letras, 1989.</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ARAUJO, Emanuel. </w:t>
            </w:r>
            <w:r>
              <w:rPr>
                <w:rFonts w:ascii="Times New Roman" w:hAnsi="Times New Roman" w:eastAsia="Times New Roman" w:cs="Times New Roman"/>
                <w:b/>
                <w:color w:val="000000"/>
              </w:rPr>
              <w:t>Escrito para a eternidade a literatura no Egito faraônico.</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Brasília: UnB, 2000.</w:t>
            </w:r>
          </w:p>
          <w:p>
            <w:pPr>
              <w:widowControl w:val="0"/>
              <w:pBdr>
                <w:top w:val="none" w:color="auto" w:sz="0" w:space="0"/>
                <w:left w:val="none" w:color="auto" w:sz="0" w:space="0"/>
                <w:bottom w:val="none" w:color="auto" w:sz="0" w:space="0"/>
                <w:right w:val="none" w:color="auto" w:sz="0" w:space="0"/>
                <w:between w:val="none" w:color="auto" w:sz="0" w:space="0"/>
              </w:pBdr>
              <w:spacing w:before="9"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0" w:hanging="2"/>
              <w:jc w:val="both"/>
              <w:rPr>
                <w:rFonts w:ascii="Times New Roman" w:hAnsi="Times New Roman" w:eastAsia="Times New Roman" w:cs="Times New Roman"/>
                <w:color w:val="000000"/>
              </w:rPr>
            </w:pPr>
            <w:r>
              <w:rPr>
                <w:rFonts w:ascii="Times New Roman" w:hAnsi="Times New Roman" w:eastAsia="Times New Roman" w:cs="Times New Roman"/>
                <w:b/>
                <w:color w:val="000000"/>
              </w:rPr>
              <w:t xml:space="preserve">Ele que o abismo viu: Epopeia de Gilgámesh. </w:t>
            </w:r>
            <w:r>
              <w:rPr>
                <w:rFonts w:ascii="Times New Roman" w:hAnsi="Times New Roman" w:eastAsia="Times New Roman" w:cs="Times New Roman"/>
                <w:color w:val="000000"/>
              </w:rPr>
              <w:t>Tradução do acádio, introdução e comentários de Jacyntho Lins Brandão. Belo Horizonte: Autêntica Editora, 2017.</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8"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POZZER, Kátia. Cidades mesopotâmicas: história e representações. </w:t>
            </w:r>
            <w:r>
              <w:rPr>
                <w:rFonts w:ascii="Times New Roman" w:hAnsi="Times New Roman" w:eastAsia="Times New Roman" w:cs="Times New Roman"/>
                <w:b/>
                <w:color w:val="000000"/>
              </w:rPr>
              <w:t xml:space="preserve">Anos 90, </w:t>
            </w:r>
            <w:r>
              <w:rPr>
                <w:rFonts w:ascii="Times New Roman" w:hAnsi="Times New Roman" w:eastAsia="Times New Roman" w:cs="Times New Roman"/>
                <w:color w:val="000000"/>
              </w:rPr>
              <w:t>Porto Alegre, n. 17, 2003, p. 61-73. (</w:t>
            </w:r>
            <w:r>
              <w:fldChar w:fldCharType="begin"/>
            </w:r>
            <w:r>
              <w:instrText xml:space="preserve"> HYPERLINK "http://seer.ufrgs.br/anos90/article/view/6294" \h </w:instrText>
            </w:r>
            <w:r>
              <w:fldChar w:fldCharType="separate"/>
            </w:r>
            <w:r>
              <w:rPr>
                <w:rFonts w:ascii="Times New Roman" w:hAnsi="Times New Roman" w:eastAsia="Times New Roman" w:cs="Times New Roman"/>
                <w:color w:val="0000FF"/>
                <w:u w:val="single"/>
              </w:rPr>
              <w:t>http://seer.ufrgs.br/anos90/article/view/6294</w:t>
            </w:r>
            <w:r>
              <w:rPr>
                <w:rFonts w:ascii="Times New Roman" w:hAnsi="Times New Roman" w:eastAsia="Times New Roman" w:cs="Times New Roman"/>
                <w:color w:val="0000FF"/>
                <w:u w:val="single"/>
              </w:rPr>
              <w:fldChar w:fldCharType="end"/>
            </w:r>
            <w:r>
              <w:rPr>
                <w:rFonts w:ascii="Times New Roman" w:hAnsi="Times New Roman" w:eastAsia="Times New Roman" w:cs="Times New Roman"/>
                <w:color w:val="000000"/>
              </w:rPr>
              <w:t>)</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5"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REDE, Marcelo. Imagem da violência e violência da imagem. Guerra e ritual na Assíria (séculos IX-VII a.C.). </w:t>
            </w:r>
            <w:r>
              <w:rPr>
                <w:rFonts w:ascii="Times New Roman" w:hAnsi="Times New Roman" w:eastAsia="Times New Roman" w:cs="Times New Roman"/>
                <w:b/>
                <w:color w:val="000000"/>
              </w:rPr>
              <w:t xml:space="preserve">Varia Historia, </w:t>
            </w:r>
            <w:r>
              <w:rPr>
                <w:rFonts w:ascii="Times New Roman" w:hAnsi="Times New Roman" w:eastAsia="Times New Roman" w:cs="Times New Roman"/>
                <w:color w:val="000000"/>
              </w:rPr>
              <w:t>Belo Horizonte, vol. 34, n. 64, 2018, p. 81-121. (</w:t>
            </w:r>
            <w:r>
              <w:fldChar w:fldCharType="begin"/>
            </w:r>
            <w:r>
              <w:instrText xml:space="preserve"> HYPERLINK "http://www.scielo.br/pdf/vh/v34n64/0104-8775-vh-34-64-0081.pdf" \h </w:instrText>
            </w:r>
            <w:r>
              <w:fldChar w:fldCharType="separate"/>
            </w:r>
            <w:r>
              <w:rPr>
                <w:rFonts w:ascii="Times New Roman" w:hAnsi="Times New Roman" w:eastAsia="Times New Roman" w:cs="Times New Roman"/>
                <w:color w:val="0000FF"/>
                <w:u w:val="single"/>
              </w:rPr>
              <w:t>http://www.scielo.br/pdf/vh/v34n64/0104-8775-vh-34-64-0081.pdf</w:t>
            </w:r>
            <w:r>
              <w:rPr>
                <w:rFonts w:ascii="Times New Roman" w:hAnsi="Times New Roman" w:eastAsia="Times New Roman" w:cs="Times New Roman"/>
                <w:color w:val="0000FF"/>
                <w:u w:val="single"/>
              </w:rPr>
              <w:fldChar w:fldCharType="end"/>
            </w:r>
            <w:r>
              <w:rPr>
                <w:rFonts w:ascii="Times New Roman" w:hAnsi="Times New Roman" w:eastAsia="Times New Roman" w:cs="Times New Roman"/>
                <w:color w:val="000000"/>
              </w:rPr>
              <w:t>)</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NICOLAU KORMIKIARI, Maria Cristina. Fenícios pelo Mediterrâneo: formas de contato diversificadas. </w:t>
            </w:r>
            <w:r>
              <w:rPr>
                <w:rFonts w:ascii="Times New Roman" w:hAnsi="Times New Roman" w:eastAsia="Times New Roman" w:cs="Times New Roman"/>
                <w:b/>
                <w:color w:val="000000"/>
              </w:rPr>
              <w:t xml:space="preserve">Cadernos do LEPAARQ </w:t>
            </w:r>
            <w:r>
              <w:rPr>
                <w:rFonts w:ascii="Times New Roman" w:hAnsi="Times New Roman" w:eastAsia="Times New Roman" w:cs="Times New Roman"/>
                <w:color w:val="000000"/>
              </w:rPr>
              <w:t>(UFPEL), v. 15, 2018, p. 173-185, 2018 (</w:t>
            </w:r>
            <w:r>
              <w:fldChar w:fldCharType="begin"/>
            </w:r>
            <w:r>
              <w:instrText xml:space="preserve"> HYPERLINK "https://periodicos.ufpel.edu.br/ojs2/index.php/lepaarq/article/view/11467/8475" \h </w:instrText>
            </w:r>
            <w:r>
              <w:fldChar w:fldCharType="separate"/>
            </w:r>
            <w:r>
              <w:rPr>
                <w:rFonts w:ascii="Times New Roman" w:hAnsi="Times New Roman" w:eastAsia="Times New Roman" w:cs="Times New Roman"/>
                <w:color w:val="0000FF"/>
                <w:u w:val="single"/>
              </w:rPr>
              <w:t>https://periodicos.ufpel.edu.br/ojs2/index.php/lepaarq/article/view/11467/8475</w:t>
            </w:r>
            <w:r>
              <w:rPr>
                <w:rFonts w:ascii="Times New Roman" w:hAnsi="Times New Roman" w:eastAsia="Times New Roman" w:cs="Times New Roman"/>
                <w:color w:val="0000FF"/>
                <w:u w:val="single"/>
              </w:rPr>
              <w:fldChar w:fldCharType="end"/>
            </w:r>
            <w:r>
              <w:rPr>
                <w:rFonts w:ascii="Times New Roman" w:hAnsi="Times New Roman" w:eastAsia="Times New Roman" w:cs="Times New Roman"/>
                <w:color w:val="000000"/>
              </w:rPr>
              <w:t>)</w:t>
            </w:r>
          </w:p>
        </w:tc>
      </w:tr>
    </w:tbl>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jc w:val="center"/>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3" w:after="14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3" w:after="140" w:line="288" w:lineRule="auto"/>
        <w:ind w:left="0" w:hanging="2"/>
        <w:rPr>
          <w:rFonts w:ascii="Times New Roman" w:hAnsi="Times New Roman" w:eastAsia="Times New Roman" w:cs="Times New Roman"/>
          <w:color w:val="000000"/>
        </w:rPr>
      </w:pPr>
    </w:p>
    <w:tbl>
      <w:tblPr>
        <w:tblStyle w:val="555"/>
        <w:tblW w:w="8999" w:type="dxa"/>
        <w:tblInd w:w="2" w:type="dxa"/>
        <w:tblLayout w:type="fixed"/>
        <w:tblCellMar>
          <w:top w:w="0" w:type="dxa"/>
          <w:left w:w="22" w:type="dxa"/>
          <w:bottom w:w="0" w:type="dxa"/>
          <w:right w:w="5" w:type="dxa"/>
        </w:tblCellMar>
      </w:tblPr>
      <w:tblGrid>
        <w:gridCol w:w="3238"/>
        <w:gridCol w:w="2836"/>
        <w:gridCol w:w="2925"/>
      </w:tblGrid>
      <w:tr>
        <w:tblPrEx>
          <w:tblCellMar>
            <w:top w:w="0" w:type="dxa"/>
            <w:left w:w="22" w:type="dxa"/>
            <w:bottom w:w="0" w:type="dxa"/>
            <w:right w:w="5" w:type="dxa"/>
          </w:tblCellMar>
        </w:tblPrEx>
        <w:trPr>
          <w:trHeight w:val="2068" w:hRule="atLeast"/>
        </w:trPr>
        <w:tc>
          <w:tcPr>
            <w:tcW w:w="6074"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Seminário em História Antiga e Medieval XVII</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809"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Seminar on Ancient and Medieval History XVII</w:t>
            </w:r>
          </w:p>
        </w:tc>
        <w:tc>
          <w:tcPr>
            <w:tcW w:w="2925"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HIS292</w:t>
            </w:r>
          </w:p>
        </w:tc>
      </w:tr>
      <w:tr>
        <w:tblPrEx>
          <w:tblCellMar>
            <w:top w:w="0" w:type="dxa"/>
            <w:left w:w="22" w:type="dxa"/>
            <w:bottom w:w="0" w:type="dxa"/>
            <w:right w:w="5" w:type="dxa"/>
          </w:tblCellMar>
        </w:tblPrEx>
        <w:trPr>
          <w:trHeight w:val="830" w:hRule="atLeast"/>
        </w:trPr>
        <w:tc>
          <w:tcPr>
            <w:tcW w:w="6074"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Departamento de História – DEHIS</w:t>
            </w:r>
          </w:p>
        </w:tc>
        <w:tc>
          <w:tcPr>
            <w:tcW w:w="2925"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5" w:type="dxa"/>
          </w:tblCellMar>
        </w:tblPrEx>
        <w:trPr>
          <w:trHeight w:val="1243" w:hRule="atLeast"/>
        </w:trPr>
        <w:tc>
          <w:tcPr>
            <w:tcW w:w="3238"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428"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2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2836"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04 horas/aula</w:t>
            </w:r>
          </w:p>
        </w:tc>
        <w:tc>
          <w:tcPr>
            <w:tcW w:w="2925"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02 horas/aula</w:t>
            </w:r>
          </w:p>
        </w:tc>
      </w:tr>
      <w:tr>
        <w:tblPrEx>
          <w:tblCellMar>
            <w:top w:w="0" w:type="dxa"/>
            <w:left w:w="22" w:type="dxa"/>
            <w:bottom w:w="0" w:type="dxa"/>
            <w:right w:w="5" w:type="dxa"/>
          </w:tblCellMar>
        </w:tblPrEx>
        <w:trPr>
          <w:trHeight w:val="1655" w:hRule="atLeast"/>
        </w:trPr>
        <w:tc>
          <w:tcPr>
            <w:tcW w:w="8999"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8"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Discussões de temas e/ou historiografia em História Antiga, com ênfase em história da África antiga, aprofundando assuntos previamente abordados nas disciplinas obrigatórias da área ou apresentando aspectos inéditos de forma detida e</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específica.</w:t>
            </w:r>
          </w:p>
        </w:tc>
      </w:tr>
      <w:tr>
        <w:tblPrEx>
          <w:tblCellMar>
            <w:top w:w="0" w:type="dxa"/>
            <w:left w:w="22" w:type="dxa"/>
            <w:bottom w:w="0" w:type="dxa"/>
            <w:right w:w="5" w:type="dxa"/>
          </w:tblCellMar>
        </w:tblPrEx>
        <w:trPr>
          <w:trHeight w:val="2533" w:hRule="atLeast"/>
        </w:trPr>
        <w:tc>
          <w:tcPr>
            <w:tcW w:w="8999"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Unidade 1 – A África e as origens do gênero </w:t>
            </w:r>
            <w:r>
              <w:rPr>
                <w:rFonts w:ascii="Times New Roman" w:hAnsi="Times New Roman" w:eastAsia="Times New Roman" w:cs="Times New Roman"/>
                <w:i/>
                <w:color w:val="000000"/>
              </w:rPr>
              <w:t>Homo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30" w:hanging="2"/>
              <w:rPr>
                <w:rFonts w:ascii="Times New Roman" w:hAnsi="Times New Roman" w:eastAsia="Times New Roman" w:cs="Times New Roman"/>
                <w:color w:val="000000"/>
              </w:rPr>
            </w:pPr>
            <w:r>
              <w:rPr>
                <w:rFonts w:ascii="Times New Roman" w:hAnsi="Times New Roman" w:eastAsia="Times New Roman" w:cs="Times New Roman"/>
                <w:color w:val="000000"/>
              </w:rPr>
              <w:t>Unidade 2 – A África, o mundo mediterrâneo e o Oceano Índico Unidade 3 – O Egito faraônico</w:t>
            </w:r>
          </w:p>
          <w:p>
            <w:pPr>
              <w:widowControl w:val="0"/>
              <w:pBdr>
                <w:top w:val="none" w:color="auto" w:sz="0" w:space="0"/>
                <w:left w:val="none" w:color="auto" w:sz="0" w:space="0"/>
                <w:bottom w:val="none" w:color="auto" w:sz="0" w:space="0"/>
                <w:right w:val="none" w:color="auto" w:sz="0" w:space="0"/>
                <w:between w:val="none" w:color="auto" w:sz="0" w:space="0"/>
              </w:pBdr>
              <w:spacing w:before="6"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4 – Núbia e Axum: as primeiras formações estatais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5 – África do Norte: de Cartago à dominação romana</w:t>
            </w:r>
          </w:p>
        </w:tc>
      </w:tr>
      <w:tr>
        <w:tblPrEx>
          <w:tblCellMar>
            <w:top w:w="0" w:type="dxa"/>
            <w:left w:w="22" w:type="dxa"/>
            <w:bottom w:w="0" w:type="dxa"/>
            <w:right w:w="5" w:type="dxa"/>
          </w:tblCellMar>
        </w:tblPrEx>
        <w:trPr>
          <w:trHeight w:val="1920" w:hRule="atLeast"/>
        </w:trPr>
        <w:tc>
          <w:tcPr>
            <w:tcW w:w="8999"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BERTAUX, Pierre. </w:t>
            </w:r>
            <w:r>
              <w:rPr>
                <w:rFonts w:ascii="Times New Roman" w:hAnsi="Times New Roman" w:eastAsia="Times New Roman" w:cs="Times New Roman"/>
                <w:b/>
                <w:color w:val="000000"/>
              </w:rPr>
              <w:t>África: desde la pré-história hasta los estados actuales</w:t>
            </w:r>
            <w:r>
              <w:rPr>
                <w:rFonts w:ascii="Times New Roman" w:hAnsi="Times New Roman" w:eastAsia="Times New Roman" w:cs="Times New Roman"/>
                <w:color w:val="000000"/>
              </w:rPr>
              <w:t xml:space="preserve">. 10. ed. </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México: Siglo XXI, 1986.</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M'BOKOLO, Elikia. </w:t>
            </w:r>
            <w:r>
              <w:rPr>
                <w:rFonts w:ascii="Times New Roman" w:hAnsi="Times New Roman" w:eastAsia="Times New Roman" w:cs="Times New Roman"/>
                <w:b/>
                <w:color w:val="000000"/>
              </w:rPr>
              <w:t xml:space="preserve">África negra: história e civilizações: tomo I (até ao século XVIII).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2. ed. Lisboa: Edições Colibri, 2012.</w:t>
            </w:r>
          </w:p>
          <w:p>
            <w:pPr>
              <w:widowControl w:val="0"/>
              <w:pBdr>
                <w:top w:val="none" w:color="auto" w:sz="0" w:space="0"/>
                <w:left w:val="none" w:color="auto" w:sz="0" w:space="0"/>
                <w:bottom w:val="none" w:color="auto" w:sz="0" w:space="0"/>
                <w:right w:val="none" w:color="auto" w:sz="0" w:space="0"/>
                <w:between w:val="none" w:color="auto" w:sz="0" w:space="0"/>
              </w:pBdr>
              <w:tabs>
                <w:tab w:val="left" w:pos="1594"/>
                <w:tab w:val="left" w:pos="2041"/>
                <w:tab w:val="left" w:pos="3087"/>
                <w:tab w:val="left" w:pos="3811"/>
                <w:tab w:val="left" w:pos="4276"/>
                <w:tab w:val="left" w:pos="5225"/>
                <w:tab w:val="left" w:pos="5542"/>
                <w:tab w:val="left" w:pos="6357"/>
                <w:tab w:val="left" w:pos="7215"/>
                <w:tab w:val="left" w:pos="7791"/>
                <w:tab w:val="left" w:pos="7864"/>
              </w:tabs>
              <w:spacing w:before="1" w:line="360" w:lineRule="auto"/>
              <w:ind w:left="0" w:right="56" w:hanging="2"/>
              <w:rPr>
                <w:rFonts w:ascii="Times New Roman" w:hAnsi="Times New Roman" w:eastAsia="Times New Roman" w:cs="Times New Roman"/>
                <w:color w:val="000000"/>
              </w:rPr>
            </w:pPr>
            <w:r>
              <w:rPr>
                <w:rFonts w:ascii="Times New Roman" w:hAnsi="Times New Roman" w:eastAsia="Times New Roman" w:cs="Times New Roman"/>
                <w:color w:val="000000"/>
              </w:rPr>
              <w:t>MOKHTAR,</w:t>
            </w:r>
            <w:r>
              <w:rPr>
                <w:rFonts w:ascii="Times New Roman" w:hAnsi="Times New Roman" w:eastAsia="Times New Roman" w:cs="Times New Roman"/>
                <w:color w:val="000000"/>
              </w:rPr>
              <w:tab/>
            </w:r>
            <w:r>
              <w:rPr>
                <w:rFonts w:ascii="Times New Roman" w:hAnsi="Times New Roman" w:eastAsia="Times New Roman" w:cs="Times New Roman"/>
                <w:color w:val="000000"/>
              </w:rPr>
              <w:t>G.</w:t>
            </w:r>
            <w:r>
              <w:rPr>
                <w:rFonts w:ascii="Times New Roman" w:hAnsi="Times New Roman" w:eastAsia="Times New Roman" w:cs="Times New Roman"/>
                <w:color w:val="000000"/>
              </w:rPr>
              <w:tab/>
            </w:r>
            <w:r>
              <w:rPr>
                <w:rFonts w:ascii="Times New Roman" w:hAnsi="Times New Roman" w:eastAsia="Times New Roman" w:cs="Times New Roman"/>
                <w:b/>
                <w:color w:val="000000"/>
              </w:rPr>
              <w:t>História</w:t>
            </w:r>
            <w:r>
              <w:rPr>
                <w:rFonts w:ascii="Times New Roman" w:hAnsi="Times New Roman" w:eastAsia="Times New Roman" w:cs="Times New Roman"/>
                <w:b/>
                <w:color w:val="000000"/>
              </w:rPr>
              <w:tab/>
            </w:r>
            <w:r>
              <w:rPr>
                <w:rFonts w:ascii="Times New Roman" w:hAnsi="Times New Roman" w:eastAsia="Times New Roman" w:cs="Times New Roman"/>
                <w:b/>
                <w:color w:val="000000"/>
              </w:rPr>
              <w:t>geral</w:t>
            </w:r>
            <w:r>
              <w:rPr>
                <w:rFonts w:ascii="Times New Roman" w:hAnsi="Times New Roman" w:eastAsia="Times New Roman" w:cs="Times New Roman"/>
                <w:b/>
                <w:color w:val="000000"/>
              </w:rPr>
              <w:tab/>
            </w:r>
            <w:r>
              <w:rPr>
                <w:rFonts w:ascii="Times New Roman" w:hAnsi="Times New Roman" w:eastAsia="Times New Roman" w:cs="Times New Roman"/>
                <w:b/>
                <w:color w:val="000000"/>
              </w:rPr>
              <w:t>da</w:t>
            </w:r>
            <w:r>
              <w:rPr>
                <w:rFonts w:ascii="Times New Roman" w:hAnsi="Times New Roman" w:eastAsia="Times New Roman" w:cs="Times New Roman"/>
                <w:b/>
                <w:color w:val="000000"/>
              </w:rPr>
              <w:tab/>
            </w:r>
            <w:r>
              <w:rPr>
                <w:rFonts w:ascii="Times New Roman" w:hAnsi="Times New Roman" w:eastAsia="Times New Roman" w:cs="Times New Roman"/>
                <w:b/>
                <w:color w:val="000000"/>
              </w:rPr>
              <w:t>África:</w:t>
            </w:r>
            <w:r>
              <w:rPr>
                <w:rFonts w:ascii="Times New Roman" w:hAnsi="Times New Roman" w:eastAsia="Times New Roman" w:cs="Times New Roman"/>
                <w:b/>
                <w:color w:val="000000"/>
              </w:rPr>
              <w:tab/>
            </w:r>
            <w:r>
              <w:rPr>
                <w:rFonts w:ascii="Times New Roman" w:hAnsi="Times New Roman" w:eastAsia="Times New Roman" w:cs="Times New Roman"/>
                <w:color w:val="000000"/>
              </w:rPr>
              <w:t>a</w:t>
            </w:r>
            <w:r>
              <w:rPr>
                <w:rFonts w:ascii="Times New Roman" w:hAnsi="Times New Roman" w:eastAsia="Times New Roman" w:cs="Times New Roman"/>
                <w:color w:val="000000"/>
              </w:rPr>
              <w:tab/>
            </w:r>
            <w:r>
              <w:rPr>
                <w:rFonts w:ascii="Times New Roman" w:hAnsi="Times New Roman" w:eastAsia="Times New Roman" w:cs="Times New Roman"/>
                <w:color w:val="000000"/>
              </w:rPr>
              <w:t>África</w:t>
            </w:r>
            <w:r>
              <w:rPr>
                <w:rFonts w:ascii="Times New Roman" w:hAnsi="Times New Roman" w:eastAsia="Times New Roman" w:cs="Times New Roman"/>
                <w:color w:val="000000"/>
              </w:rPr>
              <w:tab/>
            </w:r>
            <w:r>
              <w:rPr>
                <w:rFonts w:ascii="Times New Roman" w:hAnsi="Times New Roman" w:eastAsia="Times New Roman" w:cs="Times New Roman"/>
                <w:color w:val="000000"/>
              </w:rPr>
              <w:t>antiga.</w:t>
            </w:r>
            <w:r>
              <w:rPr>
                <w:rFonts w:ascii="Times New Roman" w:hAnsi="Times New Roman" w:eastAsia="Times New Roman" w:cs="Times New Roman"/>
                <w:color w:val="000000"/>
              </w:rPr>
              <w:tab/>
            </w:r>
            <w:r>
              <w:rPr>
                <w:rFonts w:ascii="Times New Roman" w:hAnsi="Times New Roman" w:eastAsia="Times New Roman" w:cs="Times New Roman"/>
                <w:color w:val="000000"/>
              </w:rPr>
              <w:t>São</w:t>
            </w:r>
            <w:r>
              <w:rPr>
                <w:rFonts w:ascii="Times New Roman" w:hAnsi="Times New Roman" w:eastAsia="Times New Roman" w:cs="Times New Roman"/>
                <w:color w:val="000000"/>
              </w:rPr>
              <w:tab/>
            </w:r>
            <w:r>
              <w:rPr>
                <w:rFonts w:ascii="Times New Roman" w:hAnsi="Times New Roman" w:eastAsia="Times New Roman" w:cs="Times New Roman"/>
                <w:color w:val="000000"/>
              </w:rPr>
              <w:t xml:space="preserve">Paulo: </w:t>
            </w:r>
          </w:p>
          <w:p>
            <w:pPr>
              <w:widowControl w:val="0"/>
              <w:pBdr>
                <w:top w:val="none" w:color="auto" w:sz="0" w:space="0"/>
                <w:left w:val="none" w:color="auto" w:sz="0" w:space="0"/>
                <w:bottom w:val="none" w:color="auto" w:sz="0" w:space="0"/>
                <w:right w:val="none" w:color="auto" w:sz="0" w:space="0"/>
                <w:between w:val="none" w:color="auto" w:sz="0" w:space="0"/>
              </w:pBdr>
              <w:tabs>
                <w:tab w:val="left" w:pos="1594"/>
                <w:tab w:val="left" w:pos="2041"/>
                <w:tab w:val="left" w:pos="3087"/>
                <w:tab w:val="left" w:pos="3811"/>
                <w:tab w:val="left" w:pos="4276"/>
                <w:tab w:val="left" w:pos="5225"/>
                <w:tab w:val="left" w:pos="5542"/>
                <w:tab w:val="left" w:pos="6357"/>
                <w:tab w:val="left" w:pos="7215"/>
                <w:tab w:val="left" w:pos="7791"/>
                <w:tab w:val="left" w:pos="7864"/>
              </w:tabs>
              <w:spacing w:before="1" w:line="360" w:lineRule="auto"/>
              <w:ind w:left="0" w:right="56" w:hanging="2"/>
              <w:rPr>
                <w:rFonts w:ascii="Times New Roman" w:hAnsi="Times New Roman" w:eastAsia="Times New Roman" w:cs="Times New Roman"/>
                <w:color w:val="000000"/>
              </w:rPr>
            </w:pPr>
            <w:r>
              <w:rPr>
                <w:rFonts w:ascii="Times New Roman" w:hAnsi="Times New Roman" w:eastAsia="Times New Roman" w:cs="Times New Roman"/>
                <w:color w:val="000000"/>
              </w:rPr>
              <w:t>Ática/UNESCO,</w:t>
            </w:r>
            <w:r>
              <w:rPr>
                <w:rFonts w:ascii="Times New Roman" w:hAnsi="Times New Roman" w:eastAsia="Times New Roman" w:cs="Times New Roman"/>
                <w:color w:val="000000"/>
              </w:rPr>
              <w:tab/>
            </w:r>
            <w:r>
              <w:rPr>
                <w:rFonts w:ascii="Times New Roman" w:hAnsi="Times New Roman" w:eastAsia="Times New Roman" w:cs="Times New Roman"/>
                <w:color w:val="000000"/>
              </w:rPr>
              <w:tab/>
            </w:r>
            <w:r>
              <w:rPr>
                <w:rFonts w:ascii="Times New Roman" w:hAnsi="Times New Roman" w:eastAsia="Times New Roman" w:cs="Times New Roman"/>
                <w:color w:val="000000"/>
              </w:rPr>
              <w:tab/>
            </w:r>
            <w:r>
              <w:rPr>
                <w:rFonts w:ascii="Times New Roman" w:hAnsi="Times New Roman" w:eastAsia="Times New Roman" w:cs="Times New Roman"/>
                <w:color w:val="000000"/>
              </w:rPr>
              <w:tab/>
            </w:r>
            <w:r>
              <w:rPr>
                <w:rFonts w:ascii="Times New Roman" w:hAnsi="Times New Roman" w:eastAsia="Times New Roman" w:cs="Times New Roman"/>
                <w:color w:val="000000"/>
              </w:rPr>
              <w:tab/>
            </w:r>
            <w:r>
              <w:rPr>
                <w:rFonts w:ascii="Times New Roman" w:hAnsi="Times New Roman" w:eastAsia="Times New Roman" w:cs="Times New Roman"/>
                <w:color w:val="000000"/>
              </w:rPr>
              <w:tab/>
            </w:r>
            <w:r>
              <w:rPr>
                <w:rFonts w:ascii="Times New Roman" w:hAnsi="Times New Roman" w:eastAsia="Times New Roman" w:cs="Times New Roman"/>
                <w:color w:val="000000"/>
              </w:rPr>
              <w:tab/>
            </w:r>
            <w:r>
              <w:rPr>
                <w:rFonts w:ascii="Times New Roman" w:hAnsi="Times New Roman" w:eastAsia="Times New Roman" w:cs="Times New Roman"/>
                <w:color w:val="000000"/>
              </w:rPr>
              <w:tab/>
            </w:r>
            <w:r>
              <w:rPr>
                <w:rFonts w:ascii="Times New Roman" w:hAnsi="Times New Roman" w:eastAsia="Times New Roman" w:cs="Times New Roman"/>
                <w:color w:val="000000"/>
              </w:rPr>
              <w:tab/>
            </w:r>
            <w:r>
              <w:rPr>
                <w:rFonts w:ascii="Times New Roman" w:hAnsi="Times New Roman" w:eastAsia="Times New Roman" w:cs="Times New Roman"/>
                <w:color w:val="000000"/>
              </w:rPr>
              <w:tab/>
            </w:r>
            <w:r>
              <w:rPr>
                <w:rFonts w:ascii="Times New Roman" w:hAnsi="Times New Roman" w:eastAsia="Times New Roman" w:cs="Times New Roman"/>
                <w:color w:val="000000"/>
              </w:rPr>
              <w:t>1980.</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w:t>
            </w:r>
            <w:r>
              <w:fldChar w:fldCharType="begin"/>
            </w:r>
            <w:r>
              <w:instrText xml:space="preserve"> HYPERLINK "http://www.dominiopublico.gov.br/pesquisa/DetalheObraDownload.do?select_action&amp;amp;co_obra=205176&amp;amp;co_midia=2" \h </w:instrText>
            </w:r>
            <w:r>
              <w:fldChar w:fldCharType="separate"/>
            </w:r>
            <w:r>
              <w:rPr>
                <w:rFonts w:ascii="Times New Roman" w:hAnsi="Times New Roman" w:eastAsia="Times New Roman" w:cs="Times New Roman"/>
                <w:color w:val="0000FF"/>
                <w:u w:val="single"/>
              </w:rPr>
              <w:t>http://www.dominiopublico.gov.br/pesquisa/DetalheObraDownload.do?select_action</w:t>
            </w:r>
            <w:r>
              <w:rPr>
                <w:rFonts w:ascii="Times New Roman" w:hAnsi="Times New Roman" w:eastAsia="Times New Roman" w:cs="Times New Roman"/>
                <w:color w:val="0000FF"/>
                <w:u w:val="single"/>
              </w:rPr>
              <w:fldChar w:fldCharType="end"/>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fldChar w:fldCharType="begin"/>
            </w:r>
            <w:r>
              <w:instrText xml:space="preserve"> HYPERLINK "http://www.dominiopublico.gov.br/pesquisa/DetalheObraDownload.do?select_action&amp;amp;co_obra=205176&amp;amp;co_midia=2" \h </w:instrText>
            </w:r>
            <w:r>
              <w:fldChar w:fldCharType="separate"/>
            </w:r>
            <w:r>
              <w:rPr>
                <w:rFonts w:ascii="Times New Roman" w:hAnsi="Times New Roman" w:eastAsia="Times New Roman" w:cs="Times New Roman"/>
                <w:color w:val="0000FF"/>
                <w:u w:val="single"/>
              </w:rPr>
              <w:t>=&amp;co_obra=205176&amp;co_midia=2</w:t>
            </w:r>
            <w:r>
              <w:rPr>
                <w:rFonts w:ascii="Times New Roman" w:hAnsi="Times New Roman" w:eastAsia="Times New Roman" w:cs="Times New Roman"/>
                <w:color w:val="0000FF"/>
                <w:u w:val="single"/>
              </w:rPr>
              <w:fldChar w:fldCharType="end"/>
            </w:r>
            <w:r>
              <w:rPr>
                <w:rFonts w:ascii="Times New Roman" w:hAnsi="Times New Roman" w:eastAsia="Times New Roman" w:cs="Times New Roman"/>
                <w:color w:val="000000"/>
              </w:rPr>
              <w:t>)</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p>
        </w:tc>
      </w:tr>
      <w:tr>
        <w:tblPrEx>
          <w:tblCellMar>
            <w:top w:w="0" w:type="dxa"/>
            <w:left w:w="22" w:type="dxa"/>
            <w:bottom w:w="0" w:type="dxa"/>
            <w:right w:w="5" w:type="dxa"/>
          </w:tblCellMar>
        </w:tblPrEx>
        <w:trPr>
          <w:trHeight w:val="1920" w:hRule="atLeast"/>
        </w:trPr>
        <w:tc>
          <w:tcPr>
            <w:tcW w:w="8999"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CARDOSO, Ciro Flamarion. </w:t>
            </w:r>
            <w:r>
              <w:rPr>
                <w:rFonts w:ascii="Times New Roman" w:hAnsi="Times New Roman" w:eastAsia="Times New Roman" w:cs="Times New Roman"/>
                <w:b/>
                <w:color w:val="000000"/>
              </w:rPr>
              <w:t>O Egito Antigo</w:t>
            </w:r>
            <w:r>
              <w:rPr>
                <w:rFonts w:ascii="Times New Roman" w:hAnsi="Times New Roman" w:eastAsia="Times New Roman" w:cs="Times New Roman"/>
                <w:color w:val="000000"/>
              </w:rPr>
              <w:t xml:space="preserve">. São Paulo: Brasiliense, 1996. BARBOSA,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Muryatan Santana. Eurocentrismo, História e História da África. </w:t>
            </w:r>
            <w:r>
              <w:rPr>
                <w:rFonts w:ascii="Times New Roman" w:hAnsi="Times New Roman" w:eastAsia="Times New Roman" w:cs="Times New Roman"/>
                <w:b/>
                <w:color w:val="000000"/>
              </w:rPr>
              <w:t xml:space="preserve">Sankofa </w:t>
            </w:r>
            <w:r>
              <w:rPr>
                <w:rFonts w:ascii="Times New Roman" w:hAnsi="Times New Roman" w:eastAsia="Times New Roman" w:cs="Times New Roman"/>
                <w:color w:val="000000"/>
              </w:rPr>
              <w:t>(São Paulo), vol. 1, n. 1, 2008, p. 47-63. (</w:t>
            </w:r>
            <w:r>
              <w:fldChar w:fldCharType="begin"/>
            </w:r>
            <w:r>
              <w:instrText xml:space="preserve"> HYPERLINK "https://www.revistas.usp.br/sankofa/article/view/88723" \h </w:instrText>
            </w:r>
            <w:r>
              <w:fldChar w:fldCharType="separate"/>
            </w:r>
            <w:r>
              <w:rPr>
                <w:rFonts w:ascii="Times New Roman" w:hAnsi="Times New Roman" w:eastAsia="Times New Roman" w:cs="Times New Roman"/>
                <w:color w:val="0000FF"/>
                <w:u w:val="single"/>
              </w:rPr>
              <w:t>https://www.revistas.usp.br/sankofa/article/view/88723</w:t>
            </w:r>
            <w:r>
              <w:rPr>
                <w:rFonts w:ascii="Times New Roman" w:hAnsi="Times New Roman" w:eastAsia="Times New Roman" w:cs="Times New Roman"/>
                <w:color w:val="0000FF"/>
                <w:u w:val="single"/>
              </w:rPr>
              <w:fldChar w:fldCharType="end"/>
            </w:r>
            <w:r>
              <w:rPr>
                <w:rFonts w:ascii="Times New Roman" w:hAnsi="Times New Roman" w:eastAsia="Times New Roman" w:cs="Times New Roman"/>
                <w:color w:val="000000"/>
              </w:rPr>
              <w:t>)</w:t>
            </w:r>
          </w:p>
          <w:p>
            <w:pPr>
              <w:widowControl w:val="0"/>
              <w:pBdr>
                <w:top w:val="none" w:color="auto" w:sz="0" w:space="0"/>
                <w:left w:val="none" w:color="auto" w:sz="0" w:space="0"/>
                <w:bottom w:val="none" w:color="auto" w:sz="0" w:space="0"/>
                <w:right w:val="none" w:color="auto" w:sz="0" w:space="0"/>
                <w:between w:val="none" w:color="auto" w:sz="0" w:space="0"/>
              </w:pBdr>
              <w:tabs>
                <w:tab w:val="left" w:pos="2430"/>
                <w:tab w:val="left" w:pos="3726"/>
                <w:tab w:val="left" w:pos="4955"/>
                <w:tab w:val="left" w:pos="6433"/>
                <w:tab w:val="left" w:pos="7542"/>
              </w:tabs>
              <w:spacing w:before="1" w:line="360" w:lineRule="auto"/>
              <w:ind w:left="0" w:right="55"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MAGALHÃES DE OLIVEIRA, Júlio C. O conceito de Antigüidade Tardia e as transformações da cidade antiga: o caso da África do Norte. </w:t>
            </w:r>
            <w:r>
              <w:rPr>
                <w:rFonts w:ascii="Times New Roman" w:hAnsi="Times New Roman" w:eastAsia="Times New Roman" w:cs="Times New Roman"/>
                <w:b/>
                <w:color w:val="000000"/>
              </w:rPr>
              <w:t>Boletim do CPA (UNICAMP)</w:t>
            </w:r>
            <w:r>
              <w:rPr>
                <w:rFonts w:ascii="Times New Roman" w:hAnsi="Times New Roman" w:eastAsia="Times New Roman" w:cs="Times New Roman"/>
                <w:color w:val="000000"/>
              </w:rPr>
              <w:t>,  vol.</w:t>
            </w:r>
            <w:r>
              <w:rPr>
                <w:rFonts w:ascii="Times New Roman" w:hAnsi="Times New Roman" w:eastAsia="Times New Roman" w:cs="Times New Roman"/>
                <w:color w:val="000000"/>
              </w:rPr>
              <w:tab/>
            </w:r>
            <w:r>
              <w:rPr>
                <w:rFonts w:ascii="Times New Roman" w:hAnsi="Times New Roman" w:eastAsia="Times New Roman" w:cs="Times New Roman"/>
                <w:color w:val="000000"/>
              </w:rPr>
              <w:t>24,</w:t>
            </w:r>
            <w:r>
              <w:rPr>
                <w:rFonts w:ascii="Times New Roman" w:hAnsi="Times New Roman" w:eastAsia="Times New Roman" w:cs="Times New Roman"/>
                <w:color w:val="000000"/>
              </w:rPr>
              <w:tab/>
            </w:r>
            <w:r>
              <w:rPr>
                <w:rFonts w:ascii="Times New Roman" w:hAnsi="Times New Roman" w:eastAsia="Times New Roman" w:cs="Times New Roman"/>
                <w:color w:val="000000"/>
              </w:rPr>
              <w:t>2008,</w:t>
            </w:r>
            <w:r>
              <w:rPr>
                <w:rFonts w:ascii="Times New Roman" w:hAnsi="Times New Roman" w:eastAsia="Times New Roman" w:cs="Times New Roman"/>
                <w:color w:val="000000"/>
              </w:rPr>
              <w:tab/>
            </w:r>
            <w:r>
              <w:rPr>
                <w:rFonts w:ascii="Times New Roman" w:hAnsi="Times New Roman" w:eastAsia="Times New Roman" w:cs="Times New Roman"/>
                <w:color w:val="000000"/>
              </w:rPr>
              <w:t>p.</w:t>
            </w:r>
            <w:r>
              <w:rPr>
                <w:rFonts w:ascii="Times New Roman" w:hAnsi="Times New Roman" w:eastAsia="Times New Roman" w:cs="Times New Roman"/>
                <w:color w:val="000000"/>
              </w:rPr>
              <w:tab/>
            </w:r>
            <w:r>
              <w:rPr>
                <w:rFonts w:ascii="Times New Roman" w:hAnsi="Times New Roman" w:eastAsia="Times New Roman" w:cs="Times New Roman"/>
                <w:color w:val="000000"/>
              </w:rPr>
              <w:t>125-137.</w:t>
            </w:r>
          </w:p>
          <w:p>
            <w:pPr>
              <w:widowControl w:val="0"/>
              <w:pBdr>
                <w:top w:val="none" w:color="auto" w:sz="0" w:space="0"/>
                <w:left w:val="none" w:color="auto" w:sz="0" w:space="0"/>
                <w:bottom w:val="none" w:color="auto" w:sz="0" w:space="0"/>
                <w:right w:val="none" w:color="auto" w:sz="0" w:space="0"/>
                <w:between w:val="none" w:color="auto" w:sz="0" w:space="0"/>
              </w:pBdr>
              <w:spacing w:before="2"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r>
              <w:fldChar w:fldCharType="begin"/>
            </w:r>
            <w:r>
              <w:instrText xml:space="preserve"> HYPERLINK "https://www.ifch.unicamp.br/ojs/index.php/cpa/article/view/803" \h </w:instrText>
            </w:r>
            <w:r>
              <w:fldChar w:fldCharType="separate"/>
            </w:r>
            <w:r>
              <w:rPr>
                <w:rFonts w:ascii="Times New Roman" w:hAnsi="Times New Roman" w:eastAsia="Times New Roman" w:cs="Times New Roman"/>
                <w:color w:val="0000FF"/>
                <w:u w:val="single"/>
              </w:rPr>
              <w:t>https://www.ifch.unicamp.br/ojs/index.php/cpa/article/view/803</w:t>
            </w:r>
            <w:r>
              <w:rPr>
                <w:rFonts w:ascii="Times New Roman" w:hAnsi="Times New Roman" w:eastAsia="Times New Roman" w:cs="Times New Roman"/>
                <w:color w:val="0000FF"/>
                <w:u w:val="single"/>
              </w:rPr>
              <w:fldChar w:fldCharType="end"/>
            </w:r>
            <w:r>
              <w:rPr>
                <w:rFonts w:ascii="Times New Roman" w:hAnsi="Times New Roman" w:eastAsia="Times New Roman" w:cs="Times New Roman"/>
                <w:color w:val="000000"/>
              </w:rPr>
              <w:t>)</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right="55"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LIMA NETO, Belchior M. As cidades romanas na Tripolitânia: o caso de Oea (século II d.C.). </w:t>
            </w:r>
            <w:r>
              <w:rPr>
                <w:rFonts w:ascii="Times New Roman" w:hAnsi="Times New Roman" w:eastAsia="Times New Roman" w:cs="Times New Roman"/>
                <w:b/>
                <w:color w:val="000000"/>
              </w:rPr>
              <w:t xml:space="preserve">Romanitas </w:t>
            </w:r>
            <w:r>
              <w:rPr>
                <w:rFonts w:ascii="Times New Roman" w:hAnsi="Times New Roman" w:eastAsia="Times New Roman" w:cs="Times New Roman"/>
                <w:color w:val="000000"/>
              </w:rPr>
              <w:t>- Revista de Estudos Grecolatinos, n. 6, 2016, p. 107-124. (</w:t>
            </w:r>
            <w:r>
              <w:fldChar w:fldCharType="begin"/>
            </w:r>
            <w:r>
              <w:instrText xml:space="preserve"> HYPERLINK "http://www.publicacoes.ufes.br/romanitas/article/viewFile/11973/8578" \h </w:instrText>
            </w:r>
            <w:r>
              <w:fldChar w:fldCharType="separate"/>
            </w:r>
            <w:r>
              <w:rPr>
                <w:rFonts w:ascii="Times New Roman" w:hAnsi="Times New Roman" w:eastAsia="Times New Roman" w:cs="Times New Roman"/>
                <w:color w:val="0000FF"/>
                <w:u w:val="single"/>
              </w:rPr>
              <w:t>http://www.publicacoes.ufes.br/romanitas/article/viewFile/11973/8578</w:t>
            </w:r>
            <w:r>
              <w:rPr>
                <w:rFonts w:ascii="Times New Roman" w:hAnsi="Times New Roman" w:eastAsia="Times New Roman" w:cs="Times New Roman"/>
                <w:color w:val="0000FF"/>
                <w:u w:val="single"/>
              </w:rPr>
              <w:fldChar w:fldCharType="end"/>
            </w:r>
            <w:r>
              <w:rPr>
                <w:rFonts w:ascii="Times New Roman" w:hAnsi="Times New Roman" w:eastAsia="Times New Roman" w:cs="Times New Roman"/>
                <w:color w:val="000000"/>
              </w:rPr>
              <w:t>)</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OLIVA, Anderson Ribeiro. Desafricanizar o Egito, embranquecer Cleópatra: silêncios     epistêmicos nas leituras eurocêntricas sobre o Egito em manuais escolares de História no  PNLD 2018. </w:t>
            </w:r>
            <w:r>
              <w:rPr>
                <w:rFonts w:ascii="Times New Roman" w:hAnsi="Times New Roman" w:eastAsia="Times New Roman" w:cs="Times New Roman"/>
                <w:b/>
                <w:color w:val="000000"/>
              </w:rPr>
              <w:t xml:space="preserve">Romanitas </w:t>
            </w:r>
            <w:r>
              <w:rPr>
                <w:rFonts w:ascii="Times New Roman" w:hAnsi="Times New Roman" w:eastAsia="Times New Roman" w:cs="Times New Roman"/>
                <w:color w:val="000000"/>
              </w:rPr>
              <w:t>- Revista de Estudos Grecolatinos, n.10, 2017, p. 26-63. (</w:t>
            </w:r>
            <w:r>
              <w:fldChar w:fldCharType="begin"/>
            </w:r>
            <w:r>
              <w:instrText xml:space="preserve"> HYPERLINK "http://periodicos.ufes.br/romanitas/article/view/18970" \h </w:instrText>
            </w:r>
            <w:r>
              <w:fldChar w:fldCharType="separate"/>
            </w:r>
            <w:r>
              <w:rPr>
                <w:rFonts w:ascii="Times New Roman" w:hAnsi="Times New Roman" w:eastAsia="Times New Roman" w:cs="Times New Roman"/>
                <w:color w:val="0000FF"/>
                <w:u w:val="single"/>
              </w:rPr>
              <w:t>http://periodicos.ufes.br/romanitas/article/view/18970</w:t>
            </w:r>
            <w:r>
              <w:rPr>
                <w:rFonts w:ascii="Times New Roman" w:hAnsi="Times New Roman" w:eastAsia="Times New Roman" w:cs="Times New Roman"/>
                <w:color w:val="0000FF"/>
                <w:u w:val="single"/>
              </w:rPr>
              <w:fldChar w:fldCharType="end"/>
            </w:r>
            <w:r>
              <w:rPr>
                <w:rFonts w:ascii="Times New Roman" w:hAnsi="Times New Roman" w:eastAsia="Times New Roman" w:cs="Times New Roman"/>
                <w:color w:val="000000"/>
              </w:rPr>
              <w:t>).</w:t>
            </w:r>
          </w:p>
        </w:tc>
      </w:tr>
    </w:tbl>
    <w:p>
      <w:pPr>
        <w:pBdr>
          <w:top w:val="none" w:color="auto" w:sz="0" w:space="0"/>
          <w:left w:val="none" w:color="auto" w:sz="0" w:space="0"/>
          <w:bottom w:val="none" w:color="auto" w:sz="0" w:space="0"/>
          <w:right w:val="none" w:color="auto" w:sz="0" w:space="0"/>
          <w:between w:val="none" w:color="auto" w:sz="0" w:space="0"/>
        </w:pBdr>
        <w:tabs>
          <w:tab w:val="left" w:pos="8985"/>
        </w:tabs>
        <w:spacing w:after="12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b/>
      </w:r>
    </w:p>
    <w:p>
      <w:pPr>
        <w:pBdr>
          <w:top w:val="none" w:color="auto" w:sz="0" w:space="0"/>
          <w:left w:val="none" w:color="auto" w:sz="0" w:space="0"/>
          <w:bottom w:val="none" w:color="auto" w:sz="0" w:space="0"/>
          <w:right w:val="none" w:color="auto" w:sz="0" w:space="0"/>
          <w:between w:val="none" w:color="auto" w:sz="0" w:space="0"/>
        </w:pBdr>
        <w:tabs>
          <w:tab w:val="left" w:pos="8985"/>
        </w:tabs>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tabs>
          <w:tab w:val="left" w:pos="8985"/>
        </w:tabs>
        <w:spacing w:after="120" w:line="288" w:lineRule="auto"/>
        <w:ind w:left="0" w:hanging="2"/>
        <w:rPr>
          <w:rFonts w:ascii="Times New Roman" w:hAnsi="Times New Roman" w:eastAsia="Times New Roman" w:cs="Times New Roman"/>
          <w:color w:val="000000"/>
        </w:rPr>
      </w:pPr>
    </w:p>
    <w:tbl>
      <w:tblPr>
        <w:tblStyle w:val="556"/>
        <w:tblW w:w="8952" w:type="dxa"/>
        <w:tblInd w:w="2" w:type="dxa"/>
        <w:tblLayout w:type="fixed"/>
        <w:tblCellMar>
          <w:top w:w="0" w:type="dxa"/>
          <w:left w:w="22" w:type="dxa"/>
          <w:bottom w:w="0" w:type="dxa"/>
          <w:right w:w="5" w:type="dxa"/>
        </w:tblCellMar>
      </w:tblPr>
      <w:tblGrid>
        <w:gridCol w:w="3283"/>
        <w:gridCol w:w="3117"/>
        <w:gridCol w:w="2552"/>
      </w:tblGrid>
      <w:tr>
        <w:tblPrEx>
          <w:tblCellMar>
            <w:top w:w="0" w:type="dxa"/>
            <w:left w:w="22" w:type="dxa"/>
            <w:bottom w:w="0" w:type="dxa"/>
            <w:right w:w="5" w:type="dxa"/>
          </w:tblCellMar>
        </w:tblPrEx>
        <w:trPr>
          <w:trHeight w:val="1655" w:hRule="atLeast"/>
        </w:trPr>
        <w:tc>
          <w:tcPr>
            <w:tcW w:w="6400"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873"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Nome do Componente Curricular em português: Seminário em História Antiga e Medieval XVIII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873"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Seminar in Ancient and Medieval History XVIII</w:t>
            </w:r>
          </w:p>
        </w:tc>
        <w:tc>
          <w:tcPr>
            <w:tcW w:w="2552"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HIS293</w:t>
            </w:r>
          </w:p>
        </w:tc>
      </w:tr>
      <w:tr>
        <w:tblPrEx>
          <w:tblCellMar>
            <w:top w:w="0" w:type="dxa"/>
            <w:left w:w="22" w:type="dxa"/>
            <w:bottom w:w="0" w:type="dxa"/>
            <w:right w:w="5" w:type="dxa"/>
          </w:tblCellMar>
        </w:tblPrEx>
        <w:trPr>
          <w:trHeight w:val="830" w:hRule="atLeast"/>
        </w:trPr>
        <w:tc>
          <w:tcPr>
            <w:tcW w:w="6400"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Departamento de História – DEHIS</w:t>
            </w:r>
          </w:p>
        </w:tc>
        <w:tc>
          <w:tcPr>
            <w:tcW w:w="2552"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5" w:type="dxa"/>
          </w:tblCellMar>
        </w:tblPrEx>
        <w:trPr>
          <w:trHeight w:val="1238" w:hRule="atLeast"/>
        </w:trPr>
        <w:tc>
          <w:tcPr>
            <w:tcW w:w="3283"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3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3" w:line="240" w:lineRule="auto"/>
              <w:ind w:left="0" w:right="645"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semestral </w:t>
            </w:r>
          </w:p>
          <w:p>
            <w:pPr>
              <w:widowControl w:val="0"/>
              <w:pBdr>
                <w:top w:val="none" w:color="auto" w:sz="0" w:space="0"/>
                <w:left w:val="none" w:color="auto" w:sz="0" w:space="0"/>
                <w:bottom w:val="none" w:color="auto" w:sz="0" w:space="0"/>
                <w:right w:val="none" w:color="auto" w:sz="0" w:space="0"/>
                <w:between w:val="none" w:color="auto" w:sz="0" w:space="0"/>
              </w:pBdr>
              <w:spacing w:before="3" w:line="240" w:lineRule="auto"/>
              <w:ind w:left="0" w:right="645"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3117"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04horas/aula</w:t>
            </w:r>
          </w:p>
        </w:tc>
        <w:tc>
          <w:tcPr>
            <w:tcW w:w="2552"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02 horas/aula</w:t>
            </w:r>
          </w:p>
        </w:tc>
      </w:tr>
      <w:tr>
        <w:tblPrEx>
          <w:tblCellMar>
            <w:top w:w="0" w:type="dxa"/>
            <w:left w:w="22" w:type="dxa"/>
            <w:bottom w:w="0" w:type="dxa"/>
            <w:right w:w="5" w:type="dxa"/>
          </w:tblCellMar>
        </w:tblPrEx>
        <w:trPr>
          <w:trHeight w:val="1356" w:hRule="atLeast"/>
        </w:trPr>
        <w:tc>
          <w:tcPr>
            <w:tcW w:w="8952"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4"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Discussões de temas e/ou historiografia em História Antiga e Medieval com ênfase em história Ibérica. Aprofundamento de assuntos previamente abordados nas disciplinas obrigatórias ou apresentando aspectos inéditos de forma detida e específica”.</w:t>
            </w:r>
          </w:p>
        </w:tc>
      </w:tr>
      <w:tr>
        <w:tblPrEx>
          <w:tblCellMar>
            <w:top w:w="0" w:type="dxa"/>
            <w:left w:w="22" w:type="dxa"/>
            <w:bottom w:w="0" w:type="dxa"/>
            <w:right w:w="5" w:type="dxa"/>
          </w:tblCellMar>
        </w:tblPrEx>
        <w:trPr>
          <w:trHeight w:val="4806" w:hRule="atLeast"/>
        </w:trPr>
        <w:tc>
          <w:tcPr>
            <w:tcW w:w="8952"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before="9"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1: A ocupação visigoda da Península Ibérica.</w:t>
            </w:r>
          </w:p>
          <w:p>
            <w:pPr>
              <w:widowControl w:val="0"/>
              <w:numPr>
                <w:ilvl w:val="0"/>
                <w:numId w:val="58"/>
              </w:numPr>
              <w:pBdr>
                <w:top w:val="none" w:color="auto" w:sz="0" w:space="0"/>
                <w:left w:val="none" w:color="auto" w:sz="0" w:space="0"/>
                <w:bottom w:val="none" w:color="auto" w:sz="0" w:space="0"/>
                <w:right w:val="none" w:color="auto" w:sz="0" w:space="0"/>
                <w:between w:val="none" w:color="auto" w:sz="0" w:space="0"/>
              </w:pBdr>
              <w:tabs>
                <w:tab w:val="left" w:pos="0"/>
                <w:tab w:val="left" w:pos="831"/>
                <w:tab w:val="left" w:pos="832"/>
              </w:tabs>
              <w:spacing w:before="139"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 acomodação entre hispano-romanos e visigodos.</w:t>
            </w:r>
          </w:p>
          <w:p>
            <w:pPr>
              <w:widowControl w:val="0"/>
              <w:numPr>
                <w:ilvl w:val="0"/>
                <w:numId w:val="59"/>
              </w:numPr>
              <w:pBdr>
                <w:top w:val="none" w:color="auto" w:sz="0" w:space="0"/>
                <w:left w:val="none" w:color="auto" w:sz="0" w:space="0"/>
                <w:bottom w:val="none" w:color="auto" w:sz="0" w:space="0"/>
                <w:right w:val="none" w:color="auto" w:sz="0" w:space="0"/>
                <w:between w:val="none" w:color="auto" w:sz="0" w:space="0"/>
              </w:pBdr>
              <w:spacing w:line="360" w:lineRule="auto"/>
              <w:ind w:left="0" w:right="826" w:hanging="2"/>
              <w:rPr>
                <w:rFonts w:ascii="Times New Roman" w:hAnsi="Times New Roman" w:eastAsia="Times New Roman" w:cs="Times New Roman"/>
                <w:color w:val="000000"/>
              </w:rPr>
            </w:pPr>
            <w:r>
              <w:rPr>
                <w:rFonts w:ascii="Times New Roman" w:hAnsi="Times New Roman" w:eastAsia="Times New Roman" w:cs="Times New Roman"/>
              </w:rPr>
              <w:t xml:space="preserve"> </w:t>
            </w:r>
            <w:r>
              <w:rPr>
                <w:rFonts w:ascii="Times New Roman" w:hAnsi="Times New Roman" w:eastAsia="Times New Roman" w:cs="Times New Roman"/>
                <w:color w:val="000000"/>
              </w:rPr>
              <w:t xml:space="preserve">Hispano-romanos e visigodos diante da expedição militar de Justiniano. </w:t>
            </w:r>
          </w:p>
          <w:p>
            <w:pPr>
              <w:widowControl w:val="0"/>
              <w:pBdr>
                <w:top w:val="none" w:color="auto" w:sz="0" w:space="0"/>
                <w:left w:val="none" w:color="auto" w:sz="0" w:space="0"/>
                <w:bottom w:val="none" w:color="auto" w:sz="0" w:space="0"/>
                <w:right w:val="none" w:color="auto" w:sz="0" w:space="0"/>
                <w:between w:val="none" w:color="auto" w:sz="0" w:space="0"/>
              </w:pBdr>
              <w:spacing w:before="136" w:line="360" w:lineRule="auto"/>
              <w:ind w:left="0" w:right="826" w:hanging="2"/>
              <w:rPr>
                <w:rFonts w:ascii="Times New Roman" w:hAnsi="Times New Roman" w:eastAsia="Times New Roman" w:cs="Times New Roman"/>
                <w:color w:val="000000"/>
              </w:rPr>
            </w:pPr>
            <w:r>
              <w:rPr>
                <w:rFonts w:ascii="Times New Roman" w:hAnsi="Times New Roman" w:eastAsia="Times New Roman" w:cs="Times New Roman"/>
                <w:color w:val="000000"/>
              </w:rPr>
              <w:t>Unidade 2: A ocupação do espaço ibérico no mundo pós-romano.</w:t>
            </w:r>
          </w:p>
          <w:p>
            <w:pPr>
              <w:widowControl w:val="0"/>
              <w:numPr>
                <w:ilvl w:val="0"/>
                <w:numId w:val="58"/>
              </w:numPr>
              <w:pBdr>
                <w:top w:val="none" w:color="auto" w:sz="0" w:space="0"/>
                <w:left w:val="none" w:color="auto" w:sz="0" w:space="0"/>
                <w:bottom w:val="none" w:color="auto" w:sz="0" w:space="0"/>
                <w:right w:val="none" w:color="auto" w:sz="0" w:space="0"/>
                <w:between w:val="none" w:color="auto" w:sz="0" w:space="0"/>
              </w:pBdr>
              <w:tabs>
                <w:tab w:val="left" w:pos="0"/>
                <w:tab w:val="left" w:pos="831"/>
                <w:tab w:val="left" w:pos="832"/>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i/>
                <w:color w:val="000000"/>
              </w:rPr>
              <w:t>Villae</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 xml:space="preserve">Castra </w:t>
            </w:r>
            <w:r>
              <w:rPr>
                <w:rFonts w:ascii="Times New Roman" w:hAnsi="Times New Roman" w:eastAsia="Times New Roman" w:cs="Times New Roman"/>
                <w:color w:val="000000"/>
              </w:rPr>
              <w:t>e necrópoles.</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3: A conquista muçulmana da Península Ibérica.</w:t>
            </w:r>
          </w:p>
          <w:p>
            <w:pPr>
              <w:widowControl w:val="0"/>
              <w:numPr>
                <w:ilvl w:val="0"/>
                <w:numId w:val="58"/>
              </w:numPr>
              <w:pBdr>
                <w:top w:val="none" w:color="auto" w:sz="0" w:space="0"/>
                <w:left w:val="none" w:color="auto" w:sz="0" w:space="0"/>
                <w:bottom w:val="none" w:color="auto" w:sz="0" w:space="0"/>
                <w:right w:val="none" w:color="auto" w:sz="0" w:space="0"/>
                <w:between w:val="none" w:color="auto" w:sz="0" w:space="0"/>
              </w:pBdr>
              <w:tabs>
                <w:tab w:val="left" w:pos="0"/>
                <w:tab w:val="left" w:pos="831"/>
                <w:tab w:val="left" w:pos="832"/>
              </w:tabs>
              <w:spacing w:before="138" w:line="348" w:lineRule="auto"/>
              <w:ind w:left="0" w:right="3179" w:hanging="2"/>
              <w:rPr>
                <w:rFonts w:ascii="Times New Roman" w:hAnsi="Times New Roman" w:eastAsia="Times New Roman" w:cs="Times New Roman"/>
                <w:color w:val="000000"/>
              </w:rPr>
            </w:pPr>
            <w:r>
              <w:rPr>
                <w:rFonts w:ascii="Times New Roman" w:hAnsi="Times New Roman" w:eastAsia="Times New Roman" w:cs="Times New Roman"/>
                <w:color w:val="000000"/>
              </w:rPr>
              <w:t>Cristãos e Muçulmanos: cooperação e conflito Unidade 4: A Reconquista Ibérica.</w:t>
            </w:r>
          </w:p>
          <w:p>
            <w:pPr>
              <w:widowControl w:val="0"/>
              <w:numPr>
                <w:ilvl w:val="0"/>
                <w:numId w:val="60"/>
              </w:num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O conceito de Reconquista revisitado.</w:t>
            </w:r>
          </w:p>
          <w:p>
            <w:pPr>
              <w:widowControl w:val="0"/>
              <w:numPr>
                <w:ilvl w:val="0"/>
                <w:numId w:val="60"/>
              </w:num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Disputas e compromissos no espaço ibérico dos séculos XI-XIII.</w:t>
            </w:r>
          </w:p>
        </w:tc>
      </w:tr>
      <w:tr>
        <w:tblPrEx>
          <w:tblCellMar>
            <w:top w:w="0" w:type="dxa"/>
            <w:left w:w="22" w:type="dxa"/>
            <w:bottom w:w="0" w:type="dxa"/>
            <w:right w:w="5" w:type="dxa"/>
          </w:tblCellMar>
        </w:tblPrEx>
        <w:trPr>
          <w:trHeight w:val="974" w:hRule="atLeast"/>
        </w:trPr>
        <w:tc>
          <w:tcPr>
            <w:tcW w:w="8952"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5"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GARCÍA DE CORTAZAR, José Angel. </w:t>
            </w:r>
            <w:r>
              <w:rPr>
                <w:rFonts w:ascii="Times New Roman" w:hAnsi="Times New Roman" w:eastAsia="Times New Roman" w:cs="Times New Roman"/>
                <w:b/>
                <w:color w:val="000000"/>
              </w:rPr>
              <w:t>La Época Medieval</w:t>
            </w:r>
            <w:r>
              <w:rPr>
                <w:rFonts w:ascii="Times New Roman" w:hAnsi="Times New Roman" w:eastAsia="Times New Roman" w:cs="Times New Roman"/>
                <w:color w:val="000000"/>
              </w:rPr>
              <w:t>. 8a.ed. Madrid: Alianza Editorial Alfaguara 1981.</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GIORDANI, Mario Curtis. </w:t>
            </w:r>
            <w:r>
              <w:rPr>
                <w:rFonts w:ascii="Times New Roman" w:hAnsi="Times New Roman" w:eastAsia="Times New Roman" w:cs="Times New Roman"/>
                <w:b/>
                <w:color w:val="000000"/>
              </w:rPr>
              <w:t>História do Mundo Árabe Medieval</w:t>
            </w:r>
            <w:r>
              <w:rPr>
                <w:rFonts w:ascii="Times New Roman" w:hAnsi="Times New Roman" w:eastAsia="Times New Roman" w:cs="Times New Roman"/>
                <w:color w:val="000000"/>
              </w:rPr>
              <w:t>. Petropolis, RJ: Vozes 1976.</w:t>
            </w: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PASTOR DE TOGNER, Reyna. </w:t>
            </w:r>
            <w:r>
              <w:rPr>
                <w:rFonts w:ascii="Times New Roman" w:hAnsi="Times New Roman" w:eastAsia="Times New Roman" w:cs="Times New Roman"/>
                <w:b/>
                <w:color w:val="000000"/>
              </w:rPr>
              <w:t>Conflictos Sociales y Estancamiento Económico en la España Medieval</w:t>
            </w:r>
            <w:r>
              <w:rPr>
                <w:rFonts w:ascii="Times New Roman" w:hAnsi="Times New Roman" w:eastAsia="Times New Roman" w:cs="Times New Roman"/>
                <w:color w:val="000000"/>
              </w:rPr>
              <w:t>. 2a. ed. Barcelona: Caracas: México: Ariel 1980.</w:t>
            </w:r>
          </w:p>
        </w:tc>
      </w:tr>
      <w:tr>
        <w:tblPrEx>
          <w:tblCellMar>
            <w:top w:w="0" w:type="dxa"/>
            <w:left w:w="22" w:type="dxa"/>
            <w:bottom w:w="0" w:type="dxa"/>
            <w:right w:w="5" w:type="dxa"/>
          </w:tblCellMar>
        </w:tblPrEx>
        <w:trPr>
          <w:trHeight w:val="1507" w:hRule="atLeast"/>
        </w:trPr>
        <w:tc>
          <w:tcPr>
            <w:tcW w:w="8952"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2"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DUFOURCQ, Charles Emmanuel. </w:t>
            </w:r>
            <w:r>
              <w:rPr>
                <w:rFonts w:ascii="Times New Roman" w:hAnsi="Times New Roman" w:eastAsia="Times New Roman" w:cs="Times New Roman"/>
                <w:b/>
                <w:color w:val="000000"/>
              </w:rPr>
              <w:t>La Vida Cotidiana de los Árabes en la Europa Medieval</w:t>
            </w:r>
            <w:r>
              <w:rPr>
                <w:rFonts w:ascii="Times New Roman" w:hAnsi="Times New Roman" w:eastAsia="Times New Roman" w:cs="Times New Roman"/>
                <w:color w:val="000000"/>
              </w:rPr>
              <w:t>. Madrid: Temas de Hoy, c1990.</w:t>
            </w:r>
          </w:p>
          <w:p>
            <w:pPr>
              <w:widowControl w:val="0"/>
              <w:pBdr>
                <w:top w:val="none" w:color="auto" w:sz="0" w:space="0"/>
                <w:left w:val="none" w:color="auto" w:sz="0" w:space="0"/>
                <w:bottom w:val="none" w:color="auto" w:sz="0" w:space="0"/>
                <w:right w:val="none" w:color="auto" w:sz="0" w:space="0"/>
                <w:between w:val="none" w:color="auto" w:sz="0" w:space="0"/>
              </w:pBdr>
              <w:spacing w:line="348" w:lineRule="auto"/>
              <w:ind w:left="0" w:right="54"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GOMES, Mário Varela. </w:t>
            </w:r>
            <w:r>
              <w:rPr>
                <w:rFonts w:ascii="Times New Roman" w:hAnsi="Times New Roman" w:eastAsia="Times New Roman" w:cs="Times New Roman"/>
                <w:color w:val="000000"/>
                <w:u w:val="single"/>
              </w:rPr>
              <w:t>A necrópole visigótica do Poço dos Mouros (Silves)</w:t>
            </w:r>
            <w:r>
              <w:rPr>
                <w:rFonts w:ascii="Times New Roman" w:hAnsi="Times New Roman" w:eastAsia="Times New Roman" w:cs="Times New Roman"/>
                <w:color w:val="000000"/>
              </w:rPr>
              <w:t xml:space="preserve">. In: </w:t>
            </w:r>
            <w:r>
              <w:rPr>
                <w:rFonts w:ascii="Times New Roman" w:hAnsi="Times New Roman" w:eastAsia="Times New Roman" w:cs="Times New Roman"/>
                <w:b/>
                <w:color w:val="000000"/>
              </w:rPr>
              <w:t>Revista Portuguesa de Arqueologia</w:t>
            </w:r>
            <w:r>
              <w:rPr>
                <w:rFonts w:ascii="Times New Roman" w:hAnsi="Times New Roman" w:eastAsia="Times New Roman" w:cs="Times New Roman"/>
                <w:color w:val="000000"/>
              </w:rPr>
              <w:t xml:space="preserve">. Vol. 5. No. 2, 2002, p. 339-391. Disponível em: </w:t>
            </w:r>
            <w:r>
              <w:fldChar w:fldCharType="begin"/>
            </w:r>
            <w:r>
              <w:instrText xml:space="preserve"> HYPERLINK "https://s3.amazonaws.com/academia.edu.documents/3470521/13.pdf?AWSAccessKeyId=AKIAIWOWYYGZ2Y53UL3A&amp;Expires=1530716428&amp;Signature=jWo5LMwYz4z1KGcr2NO4gdSEIcg%3D&amp;response-content" \h </w:instrText>
            </w:r>
            <w:r>
              <w:fldChar w:fldCharType="separate"/>
            </w:r>
            <w:r>
              <w:rPr>
                <w:rFonts w:ascii="Times New Roman" w:hAnsi="Times New Roman" w:eastAsia="Times New Roman" w:cs="Times New Roman"/>
                <w:color w:val="0000FF"/>
                <w:u w:val="single"/>
              </w:rPr>
              <w:t>https://s3.amazonaws.com/academia.edu.documents/3470521/13.pdf?AWSAccessKeyId=AKIAIWOWYYGZ2Y53UL3A&amp;Expires=1530716428&amp;Signature=jWo5LMwYz4z1KGcr2NO4gdSEIcg%3D&amp;response-content</w:t>
            </w:r>
            <w:r>
              <w:rPr>
                <w:rFonts w:ascii="Times New Roman" w:hAnsi="Times New Roman" w:eastAsia="Times New Roman" w:cs="Times New Roman"/>
                <w:color w:val="0000FF"/>
                <w:u w:val="single"/>
              </w:rPr>
              <w:fldChar w:fldCharType="end"/>
            </w:r>
            <w:r>
              <w:rPr>
                <w:rFonts w:ascii="Times New Roman" w:hAnsi="Times New Roman" w:eastAsia="Times New Roman" w:cs="Times New Roman"/>
                <w:color w:val="0000FF"/>
                <w:u w:val="single"/>
              </w:rPr>
              <w:t xml:space="preserve"> disposition=inline%3B%20filename%3DA_necropole_visigotica_do_Poco_dos_Mouro.pdf</w:t>
            </w:r>
          </w:p>
          <w:p>
            <w:pPr>
              <w:widowControl w:val="0"/>
              <w:pBdr>
                <w:top w:val="none" w:color="auto" w:sz="0" w:space="0"/>
                <w:left w:val="none" w:color="auto" w:sz="0" w:space="0"/>
                <w:bottom w:val="none" w:color="auto" w:sz="0" w:space="0"/>
                <w:right w:val="none" w:color="auto" w:sz="0" w:space="0"/>
                <w:between w:val="none" w:color="auto" w:sz="0" w:space="0"/>
              </w:pBdr>
              <w:spacing w:line="34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MARQUES, A. H. de Oliveira. </w:t>
            </w:r>
            <w:r>
              <w:rPr>
                <w:rFonts w:ascii="Times New Roman" w:hAnsi="Times New Roman" w:eastAsia="Times New Roman" w:cs="Times New Roman"/>
                <w:b/>
                <w:color w:val="000000"/>
              </w:rPr>
              <w:t>A Sociedade Medieval Portuguesa</w:t>
            </w:r>
            <w:r>
              <w:rPr>
                <w:rFonts w:ascii="Times New Roman" w:hAnsi="Times New Roman" w:eastAsia="Times New Roman" w:cs="Times New Roman"/>
                <w:color w:val="000000"/>
              </w:rPr>
              <w:t xml:space="preserve">: aspectos de vida quotidiana. 4a.ed. Lisboa: Sá da Costa 1981. </w:t>
            </w:r>
          </w:p>
          <w:p>
            <w:pPr>
              <w:widowControl w:val="0"/>
              <w:pBdr>
                <w:top w:val="none" w:color="auto" w:sz="0" w:space="0"/>
                <w:left w:val="none" w:color="auto" w:sz="0" w:space="0"/>
                <w:bottom w:val="none" w:color="auto" w:sz="0" w:space="0"/>
                <w:right w:val="none" w:color="auto" w:sz="0" w:space="0"/>
                <w:between w:val="none" w:color="auto" w:sz="0" w:space="0"/>
              </w:pBdr>
              <w:spacing w:line="34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MCKITTERICK, Rosamond; REUTER, Timothy; LUSCOMBRE, David; RILEY-SMITH, Jonathan; ABULAFIA, David; JONES,  Michael;  ALLMAND, Christopher.  </w:t>
            </w:r>
            <w:r>
              <w:rPr>
                <w:rFonts w:ascii="Times New Roman" w:hAnsi="Times New Roman" w:eastAsia="Times New Roman" w:cs="Times New Roman"/>
                <w:b/>
                <w:color w:val="000000"/>
              </w:rPr>
              <w:t>The New Cambridge Medieval History</w:t>
            </w:r>
            <w:r>
              <w:rPr>
                <w:rFonts w:ascii="Times New Roman" w:hAnsi="Times New Roman" w:eastAsia="Times New Roman" w:cs="Times New Roman"/>
                <w:color w:val="000000"/>
              </w:rPr>
              <w:t>. Cambridge: Cambridge University Press1995-2005.</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RUI, Adailson José. </w:t>
            </w:r>
            <w:r>
              <w:rPr>
                <w:rFonts w:ascii="Times New Roman" w:hAnsi="Times New Roman" w:eastAsia="Times New Roman" w:cs="Times New Roman"/>
                <w:color w:val="000000"/>
                <w:u w:val="single"/>
              </w:rPr>
              <w:t>O Culto a São Tiago e a Legitimação da  Reconquista Espanhola</w:t>
            </w:r>
            <w:r>
              <w:rPr>
                <w:rFonts w:ascii="Times New Roman" w:hAnsi="Times New Roman" w:eastAsia="Times New Roman" w:cs="Times New Roman"/>
                <w:color w:val="000000"/>
              </w:rPr>
              <w:t xml:space="preserve">. </w:t>
            </w:r>
            <w:r>
              <w:fldChar w:fldCharType="begin"/>
            </w:r>
            <w:r>
              <w:instrText xml:space="preserve"> HYPERLINK "https://dialnet.unirioja.es/servlet/revista?codigo=16239" \h </w:instrText>
            </w:r>
            <w:r>
              <w:fldChar w:fldCharType="separate"/>
            </w:r>
            <w:r>
              <w:rPr>
                <w:rFonts w:ascii="Times New Roman" w:hAnsi="Times New Roman" w:eastAsia="Times New Roman" w:cs="Times New Roman"/>
                <w:b/>
                <w:color w:val="0000FF"/>
                <w:u w:val="single"/>
              </w:rPr>
              <w:t>HistóriaRevista</w:t>
            </w:r>
            <w:r>
              <w:rPr>
                <w:rFonts w:ascii="Times New Roman" w:hAnsi="Times New Roman" w:eastAsia="Times New Roman" w:cs="Times New Roman"/>
                <w:b/>
                <w:color w:val="0000FF"/>
                <w:u w:val="single"/>
              </w:rPr>
              <w:fldChar w:fldCharType="end"/>
            </w:r>
            <w:r>
              <w:rPr>
                <w:rFonts w:ascii="Times New Roman" w:hAnsi="Times New Roman" w:eastAsia="Times New Roman" w:cs="Times New Roman"/>
                <w:color w:val="000000"/>
              </w:rPr>
              <w:t xml:space="preserve">. </w:t>
            </w:r>
            <w:r>
              <w:fldChar w:fldCharType="begin"/>
            </w:r>
            <w:r>
              <w:instrText xml:space="preserve"> HYPERLINK "https://dialnet.unirioja.es/ejemplar/378760" \h </w:instrText>
            </w:r>
            <w:r>
              <w:fldChar w:fldCharType="separate"/>
            </w:r>
            <w:r>
              <w:rPr>
                <w:rFonts w:ascii="Times New Roman" w:hAnsi="Times New Roman" w:eastAsia="Times New Roman" w:cs="Times New Roman"/>
                <w:color w:val="0000FF"/>
                <w:u w:val="single"/>
              </w:rPr>
              <w:t>Vol. 17, Nº. 2, 2012</w:t>
            </w:r>
            <w:r>
              <w:rPr>
                <w:rFonts w:ascii="Times New Roman" w:hAnsi="Times New Roman" w:eastAsia="Times New Roman" w:cs="Times New Roman"/>
                <w:color w:val="0000FF"/>
                <w:u w:val="single"/>
              </w:rPr>
              <w:fldChar w:fldCharType="end"/>
            </w:r>
            <w:r>
              <w:rPr>
                <w:rFonts w:ascii="Times New Roman" w:hAnsi="Times New Roman" w:eastAsia="Times New Roman" w:cs="Times New Roman"/>
                <w:color w:val="000000"/>
              </w:rPr>
              <w:t xml:space="preserve">, p. 105-120. Disponível em: </w:t>
            </w:r>
            <w:r>
              <w:fldChar w:fldCharType="begin"/>
            </w:r>
            <w:r>
              <w:instrText xml:space="preserve"> HYPERLINK "https://dialnet.unirioja.es/servlet/articulo?codigo=4852061" \h </w:instrText>
            </w:r>
            <w:r>
              <w:fldChar w:fldCharType="separate"/>
            </w:r>
            <w:r>
              <w:rPr>
                <w:rFonts w:ascii="Times New Roman" w:hAnsi="Times New Roman" w:eastAsia="Times New Roman" w:cs="Times New Roman"/>
                <w:color w:val="0000FF"/>
                <w:u w:val="single"/>
              </w:rPr>
              <w:t>https://dialnet.unirioja.es/servlet/articulo?codigo=4852061</w:t>
            </w:r>
            <w:r>
              <w:rPr>
                <w:rFonts w:ascii="Times New Roman" w:hAnsi="Times New Roman" w:eastAsia="Times New Roman" w:cs="Times New Roman"/>
                <w:color w:val="0000FF"/>
                <w:u w:val="single"/>
              </w:rPr>
              <w:fldChar w:fldCharType="end"/>
            </w:r>
          </w:p>
        </w:tc>
      </w:tr>
    </w:tbl>
    <w:p>
      <w:pPr>
        <w:pBdr>
          <w:top w:val="none" w:color="auto" w:sz="0" w:space="0"/>
          <w:left w:val="none" w:color="auto" w:sz="0" w:space="0"/>
          <w:bottom w:val="none" w:color="auto" w:sz="0" w:space="0"/>
          <w:right w:val="none" w:color="auto" w:sz="0" w:space="0"/>
          <w:between w:val="none" w:color="auto" w:sz="0" w:space="0"/>
        </w:pBdr>
        <w:tabs>
          <w:tab w:val="left" w:pos="8985"/>
        </w:tabs>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tbl>
      <w:tblPr>
        <w:tblStyle w:val="557"/>
        <w:tblW w:w="9021" w:type="dxa"/>
        <w:tblInd w:w="2" w:type="dxa"/>
        <w:tblLayout w:type="fixed"/>
        <w:tblCellMar>
          <w:top w:w="0" w:type="dxa"/>
          <w:left w:w="22" w:type="dxa"/>
          <w:bottom w:w="0" w:type="dxa"/>
          <w:right w:w="5" w:type="dxa"/>
        </w:tblCellMar>
      </w:tblPr>
      <w:tblGrid>
        <w:gridCol w:w="2902"/>
        <w:gridCol w:w="3121"/>
        <w:gridCol w:w="2998"/>
      </w:tblGrid>
      <w:tr>
        <w:tblPrEx>
          <w:tblCellMar>
            <w:top w:w="0" w:type="dxa"/>
            <w:left w:w="22" w:type="dxa"/>
            <w:bottom w:w="0" w:type="dxa"/>
            <w:right w:w="5" w:type="dxa"/>
          </w:tblCellMar>
        </w:tblPrEx>
        <w:trPr>
          <w:trHeight w:val="2068" w:hRule="atLeast"/>
        </w:trPr>
        <w:tc>
          <w:tcPr>
            <w:tcW w:w="6023"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03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Seminário em História Antiga e Medieval XIX</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1177"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Seminar in Ancient and Medieval History XIX</w:t>
            </w:r>
          </w:p>
        </w:tc>
        <w:tc>
          <w:tcPr>
            <w:tcW w:w="2998"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HIS302</w:t>
            </w:r>
          </w:p>
        </w:tc>
      </w:tr>
      <w:tr>
        <w:tblPrEx>
          <w:tblCellMar>
            <w:top w:w="0" w:type="dxa"/>
            <w:left w:w="22" w:type="dxa"/>
            <w:bottom w:w="0" w:type="dxa"/>
            <w:right w:w="5" w:type="dxa"/>
          </w:tblCellMar>
        </w:tblPrEx>
        <w:trPr>
          <w:trHeight w:val="830" w:hRule="atLeast"/>
        </w:trPr>
        <w:tc>
          <w:tcPr>
            <w:tcW w:w="6023"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w:t>
            </w:r>
          </w:p>
          <w:p>
            <w:pPr>
              <w:widowControl w:val="0"/>
              <w:pBdr>
                <w:top w:val="none" w:color="auto" w:sz="0" w:space="0"/>
                <w:left w:val="none" w:color="auto" w:sz="0" w:space="0"/>
                <w:bottom w:val="none" w:color="auto" w:sz="0" w:space="0"/>
                <w:right w:val="none" w:color="auto" w:sz="0" w:space="0"/>
                <w:between w:val="none" w:color="auto" w:sz="0" w:space="0"/>
              </w:pBdr>
              <w:spacing w:before="14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Departamento de História – DEHIS</w:t>
            </w:r>
          </w:p>
        </w:tc>
        <w:tc>
          <w:tcPr>
            <w:tcW w:w="2998"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5" w:type="dxa"/>
          </w:tblCellMar>
        </w:tblPrEx>
        <w:trPr>
          <w:trHeight w:val="1243" w:hRule="atLeast"/>
        </w:trPr>
        <w:tc>
          <w:tcPr>
            <w:tcW w:w="2902"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0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96"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3121"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2998"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02 horas/aula</w:t>
            </w:r>
          </w:p>
        </w:tc>
      </w:tr>
      <w:tr>
        <w:tblPrEx>
          <w:tblCellMar>
            <w:top w:w="0" w:type="dxa"/>
            <w:left w:w="22" w:type="dxa"/>
            <w:bottom w:w="0" w:type="dxa"/>
            <w:right w:w="5" w:type="dxa"/>
          </w:tblCellMar>
        </w:tblPrEx>
        <w:trPr>
          <w:trHeight w:val="1238"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Ementa: “Discussão de temas relativos aos contatos e interações entre o Mundo Muçulmano e o Mundo Latino no período Medieval. Análise das relações entre o norte</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da África e a Europa. Exame de uma historiografia recente acerca desses assuntos”.</w:t>
            </w:r>
          </w:p>
        </w:tc>
      </w:tr>
      <w:tr>
        <w:tblPrEx>
          <w:tblCellMar>
            <w:top w:w="0" w:type="dxa"/>
            <w:left w:w="22" w:type="dxa"/>
            <w:bottom w:w="0" w:type="dxa"/>
            <w:right w:w="5" w:type="dxa"/>
          </w:tblCellMar>
        </w:tblPrEx>
        <w:trPr>
          <w:trHeight w:val="4407"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before="9"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1: Formação do Mundo Muçulmano.</w:t>
            </w:r>
          </w:p>
          <w:p>
            <w:pPr>
              <w:widowControl w:val="0"/>
              <w:numPr>
                <w:ilvl w:val="0"/>
                <w:numId w:val="61"/>
              </w:numPr>
              <w:pBdr>
                <w:top w:val="none" w:color="auto" w:sz="0" w:space="0"/>
                <w:left w:val="none" w:color="auto" w:sz="0" w:space="0"/>
                <w:bottom w:val="none" w:color="auto" w:sz="0" w:space="0"/>
                <w:right w:val="none" w:color="auto" w:sz="0" w:space="0"/>
                <w:between w:val="none" w:color="auto" w:sz="0" w:space="0"/>
              </w:pBdr>
              <w:tabs>
                <w:tab w:val="left" w:pos="0"/>
                <w:tab w:val="left" w:pos="831"/>
                <w:tab w:val="left" w:pos="832"/>
              </w:tabs>
              <w:spacing w:before="139"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 Península Arábica antes do Islã.</w:t>
            </w:r>
          </w:p>
          <w:p>
            <w:pPr>
              <w:widowControl w:val="0"/>
              <w:numPr>
                <w:ilvl w:val="0"/>
                <w:numId w:val="61"/>
              </w:numPr>
              <w:pBdr>
                <w:top w:val="none" w:color="auto" w:sz="0" w:space="0"/>
                <w:left w:val="none" w:color="auto" w:sz="0" w:space="0"/>
                <w:bottom w:val="none" w:color="auto" w:sz="0" w:space="0"/>
                <w:right w:val="none" w:color="auto" w:sz="0" w:space="0"/>
                <w:between w:val="none" w:color="auto" w:sz="0" w:space="0"/>
              </w:pBdr>
              <w:tabs>
                <w:tab w:val="left" w:pos="0"/>
                <w:tab w:val="left" w:pos="831"/>
                <w:tab w:val="left" w:pos="832"/>
              </w:tabs>
              <w:spacing w:before="138" w:line="348" w:lineRule="auto"/>
              <w:ind w:left="0" w:right="4349" w:hanging="2"/>
              <w:rPr>
                <w:rFonts w:ascii="Times New Roman" w:hAnsi="Times New Roman" w:eastAsia="Times New Roman" w:cs="Times New Roman"/>
                <w:color w:val="000000"/>
              </w:rPr>
            </w:pPr>
            <w:r>
              <w:rPr>
                <w:rFonts w:ascii="Times New Roman" w:hAnsi="Times New Roman" w:eastAsia="Times New Roman" w:cs="Times New Roman"/>
                <w:color w:val="000000"/>
              </w:rPr>
              <w:t>O Profeta e os fundamentos do Islã. Unidade 2: Expansão do Islã.</w:t>
            </w:r>
          </w:p>
          <w:p>
            <w:pPr>
              <w:widowControl w:val="0"/>
              <w:numPr>
                <w:ilvl w:val="0"/>
                <w:numId w:val="61"/>
              </w:numPr>
              <w:pBdr>
                <w:top w:val="none" w:color="auto" w:sz="0" w:space="0"/>
                <w:left w:val="none" w:color="auto" w:sz="0" w:space="0"/>
                <w:bottom w:val="none" w:color="auto" w:sz="0" w:space="0"/>
                <w:right w:val="none" w:color="auto" w:sz="0" w:space="0"/>
                <w:between w:val="none" w:color="auto" w:sz="0" w:space="0"/>
              </w:pBdr>
              <w:tabs>
                <w:tab w:val="left" w:pos="0"/>
                <w:tab w:val="left" w:pos="831"/>
                <w:tab w:val="left" w:pos="832"/>
              </w:tabs>
              <w:spacing w:before="13"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O Norte da África e os contatos entre árabes e berberes.</w:t>
            </w:r>
          </w:p>
          <w:p>
            <w:pPr>
              <w:widowControl w:val="0"/>
              <w:numPr>
                <w:ilvl w:val="0"/>
                <w:numId w:val="61"/>
              </w:numPr>
              <w:pBdr>
                <w:top w:val="none" w:color="auto" w:sz="0" w:space="0"/>
                <w:left w:val="none" w:color="auto" w:sz="0" w:space="0"/>
                <w:bottom w:val="none" w:color="auto" w:sz="0" w:space="0"/>
                <w:right w:val="none" w:color="auto" w:sz="0" w:space="0"/>
                <w:between w:val="none" w:color="auto" w:sz="0" w:space="0"/>
              </w:pBdr>
              <w:tabs>
                <w:tab w:val="left" w:pos="0"/>
                <w:tab w:val="left" w:pos="831"/>
                <w:tab w:val="left" w:pos="832"/>
              </w:tabs>
              <w:spacing w:before="138" w:line="348" w:lineRule="auto"/>
              <w:ind w:left="0" w:right="3384" w:hanging="2"/>
              <w:rPr>
                <w:rFonts w:ascii="Times New Roman" w:hAnsi="Times New Roman" w:eastAsia="Times New Roman" w:cs="Times New Roman"/>
                <w:color w:val="000000"/>
              </w:rPr>
            </w:pPr>
            <w:r>
              <w:rPr>
                <w:rFonts w:ascii="Times New Roman" w:hAnsi="Times New Roman" w:eastAsia="Times New Roman" w:cs="Times New Roman"/>
                <w:color w:val="000000"/>
              </w:rPr>
              <w:t>A conquista muçulmana da Península Ibérica. Unidade 3: O Mediterrâneo e o Mundo Muçulmano</w:t>
            </w:r>
          </w:p>
          <w:p>
            <w:pPr>
              <w:widowControl w:val="0"/>
              <w:numPr>
                <w:ilvl w:val="0"/>
                <w:numId w:val="61"/>
              </w:numPr>
              <w:pBdr>
                <w:top w:val="none" w:color="auto" w:sz="0" w:space="0"/>
                <w:left w:val="none" w:color="auto" w:sz="0" w:space="0"/>
                <w:bottom w:val="none" w:color="auto" w:sz="0" w:space="0"/>
                <w:right w:val="none" w:color="auto" w:sz="0" w:space="0"/>
                <w:between w:val="none" w:color="auto" w:sz="0" w:space="0"/>
              </w:pBdr>
              <w:tabs>
                <w:tab w:val="left" w:pos="0"/>
                <w:tab w:val="left" w:pos="831"/>
                <w:tab w:val="left" w:pos="832"/>
              </w:tabs>
              <w:spacing w:before="13"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Estabelecimentos muçulmanos na Provença.</w:t>
            </w:r>
          </w:p>
          <w:p>
            <w:pPr>
              <w:widowControl w:val="0"/>
              <w:numPr>
                <w:ilvl w:val="0"/>
                <w:numId w:val="61"/>
              </w:numPr>
              <w:pBdr>
                <w:top w:val="none" w:color="auto" w:sz="0" w:space="0"/>
                <w:left w:val="none" w:color="auto" w:sz="0" w:space="0"/>
                <w:bottom w:val="none" w:color="auto" w:sz="0" w:space="0"/>
                <w:right w:val="none" w:color="auto" w:sz="0" w:space="0"/>
                <w:between w:val="none" w:color="auto" w:sz="0" w:space="0"/>
              </w:pBdr>
              <w:tabs>
                <w:tab w:val="left" w:pos="0"/>
                <w:tab w:val="left" w:pos="831"/>
                <w:tab w:val="left" w:pos="832"/>
              </w:tabs>
              <w:spacing w:before="138"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Contatos e interações dos muçulmanos com o mundo Latino.</w:t>
            </w:r>
          </w:p>
        </w:tc>
      </w:tr>
      <w:tr>
        <w:tblPrEx>
          <w:tblCellMar>
            <w:top w:w="0" w:type="dxa"/>
            <w:left w:w="22" w:type="dxa"/>
            <w:bottom w:w="0" w:type="dxa"/>
            <w:right w:w="5" w:type="dxa"/>
          </w:tblCellMar>
        </w:tblPrEx>
        <w:trPr>
          <w:trHeight w:val="1658"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9"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73"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ABULAFIA, David. </w:t>
            </w:r>
            <w:r>
              <w:rPr>
                <w:rFonts w:ascii="Times New Roman" w:hAnsi="Times New Roman" w:eastAsia="Times New Roman" w:cs="Times New Roman"/>
                <w:b/>
                <w:color w:val="000000"/>
              </w:rPr>
              <w:t xml:space="preserve">Mediterranean Encounters, Economic, Religious, Political, 1100-1550. </w:t>
            </w:r>
            <w:r>
              <w:rPr>
                <w:rFonts w:ascii="Times New Roman" w:hAnsi="Times New Roman" w:eastAsia="Times New Roman" w:cs="Times New Roman"/>
                <w:color w:val="000000"/>
              </w:rPr>
              <w:t>Aldershot: Burlington, USA: Ashgate c2000.</w:t>
            </w:r>
          </w:p>
          <w:p>
            <w:pPr>
              <w:widowControl w:val="0"/>
              <w:pBdr>
                <w:top w:val="none" w:color="auto" w:sz="0" w:space="0"/>
                <w:left w:val="none" w:color="auto" w:sz="0" w:space="0"/>
                <w:bottom w:val="none" w:color="auto" w:sz="0" w:space="0"/>
                <w:right w:val="none" w:color="auto" w:sz="0" w:space="0"/>
                <w:between w:val="none" w:color="auto" w:sz="0" w:space="0"/>
              </w:pBdr>
              <w:tabs>
                <w:tab w:val="left" w:pos="1713"/>
                <w:tab w:val="left" w:pos="2692"/>
                <w:tab w:val="left" w:pos="4045"/>
                <w:tab w:val="left" w:pos="5925"/>
                <w:tab w:val="left" w:pos="8201"/>
              </w:tabs>
              <w:spacing w:line="360" w:lineRule="auto"/>
              <w:ind w:left="0" w:right="64" w:hanging="2"/>
              <w:rPr>
                <w:rFonts w:ascii="Times New Roman" w:hAnsi="Times New Roman" w:eastAsia="Times New Roman" w:cs="Times New Roman"/>
                <w:color w:val="000000"/>
              </w:rPr>
            </w:pPr>
            <w:r>
              <w:rPr>
                <w:rFonts w:ascii="Times New Roman" w:hAnsi="Times New Roman" w:eastAsia="Times New Roman" w:cs="Times New Roman"/>
                <w:color w:val="000000"/>
              </w:rPr>
              <w:t>ABULAFIA,</w:t>
            </w:r>
            <w:r>
              <w:rPr>
                <w:rFonts w:ascii="Times New Roman" w:hAnsi="Times New Roman" w:eastAsia="Times New Roman" w:cs="Times New Roman"/>
                <w:color w:val="000000"/>
              </w:rPr>
              <w:tab/>
            </w:r>
            <w:r>
              <w:rPr>
                <w:rFonts w:ascii="Times New Roman" w:hAnsi="Times New Roman" w:eastAsia="Times New Roman" w:cs="Times New Roman"/>
                <w:color w:val="000000"/>
              </w:rPr>
              <w:t>David;</w:t>
            </w:r>
            <w:r>
              <w:rPr>
                <w:rFonts w:ascii="Times New Roman" w:hAnsi="Times New Roman" w:eastAsia="Times New Roman" w:cs="Times New Roman"/>
                <w:color w:val="000000"/>
              </w:rPr>
              <w:tab/>
            </w:r>
            <w:r>
              <w:rPr>
                <w:rFonts w:ascii="Times New Roman" w:hAnsi="Times New Roman" w:eastAsia="Times New Roman" w:cs="Times New Roman"/>
                <w:color w:val="000000"/>
              </w:rPr>
              <w:t xml:space="preserve">BEREND, Nora. </w:t>
            </w:r>
            <w:r>
              <w:rPr>
                <w:rFonts w:ascii="Times New Roman" w:hAnsi="Times New Roman" w:eastAsia="Times New Roman" w:cs="Times New Roman"/>
                <w:b/>
                <w:color w:val="000000"/>
              </w:rPr>
              <w:t xml:space="preserve">Medieval Frontiers: </w:t>
            </w:r>
            <w:r>
              <w:rPr>
                <w:rFonts w:ascii="Times New Roman" w:hAnsi="Times New Roman" w:eastAsia="Times New Roman" w:cs="Times New Roman"/>
                <w:color w:val="000000"/>
              </w:rPr>
              <w:t>concepts and practices. Aldershot: Burlington: Ashgate,2002.</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EL FASI, Mohammed (ed.). </w:t>
            </w:r>
            <w:r>
              <w:rPr>
                <w:rFonts w:ascii="Times New Roman" w:hAnsi="Times New Roman" w:eastAsia="Times New Roman" w:cs="Times New Roman"/>
                <w:b/>
                <w:color w:val="000000"/>
              </w:rPr>
              <w:t>História Geral da África</w:t>
            </w:r>
            <w:r>
              <w:rPr>
                <w:rFonts w:ascii="Times New Roman" w:hAnsi="Times New Roman" w:eastAsia="Times New Roman" w:cs="Times New Roman"/>
                <w:color w:val="000000"/>
              </w:rPr>
              <w:t>. v. 3: África do Século VII ao</w:t>
            </w:r>
          </w:p>
          <w:p>
            <w:pPr>
              <w:widowControl w:val="0"/>
              <w:pBdr>
                <w:top w:val="none" w:color="auto" w:sz="0" w:space="0"/>
                <w:left w:val="none" w:color="auto" w:sz="0" w:space="0"/>
                <w:bottom w:val="none" w:color="auto" w:sz="0" w:space="0"/>
                <w:right w:val="none" w:color="auto" w:sz="0" w:space="0"/>
                <w:between w:val="none" w:color="auto" w:sz="0" w:space="0"/>
              </w:pBdr>
              <w:tabs>
                <w:tab w:val="left" w:pos="1713"/>
                <w:tab w:val="left" w:pos="2692"/>
                <w:tab w:val="left" w:pos="4045"/>
                <w:tab w:val="left" w:pos="5925"/>
                <w:tab w:val="left" w:pos="8201"/>
              </w:tabs>
              <w:spacing w:line="360" w:lineRule="auto"/>
              <w:ind w:left="0" w:right="64" w:hanging="2"/>
              <w:rPr>
                <w:rFonts w:ascii="Times New Roman" w:hAnsi="Times New Roman" w:eastAsia="Times New Roman" w:cs="Times New Roman"/>
                <w:color w:val="000000"/>
              </w:rPr>
            </w:pPr>
            <w:r>
              <w:rPr>
                <w:rFonts w:ascii="Times New Roman" w:hAnsi="Times New Roman" w:eastAsia="Times New Roman" w:cs="Times New Roman"/>
                <w:color w:val="000000"/>
              </w:rPr>
              <w:t>XI. Brasília: UNESCO, 2010.</w:t>
            </w:r>
          </w:p>
        </w:tc>
      </w:tr>
      <w:tr>
        <w:tblPrEx>
          <w:tblCellMar>
            <w:top w:w="0" w:type="dxa"/>
            <w:left w:w="22" w:type="dxa"/>
            <w:bottom w:w="0" w:type="dxa"/>
            <w:right w:w="5" w:type="dxa"/>
          </w:tblCellMar>
        </w:tblPrEx>
        <w:trPr>
          <w:trHeight w:val="1657"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2"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42" w:hanging="2"/>
              <w:rPr>
                <w:rFonts w:ascii="Times New Roman" w:hAnsi="Times New Roman" w:eastAsia="Times New Roman" w:cs="Times New Roman"/>
                <w:color w:val="000000"/>
              </w:rPr>
            </w:pPr>
            <w:r>
              <w:rPr>
                <w:rFonts w:ascii="Times New Roman" w:hAnsi="Times New Roman" w:eastAsia="Times New Roman" w:cs="Times New Roman"/>
                <w:color w:val="000000"/>
              </w:rPr>
              <w:t>Human Mitochondrial DNA Diversity in an Archaeological Site in al-Andalus: Genetic Impact of Migrations from North Africa in Medieval Spain Human Mitochondrial DNA Diversity in an Archaeological Site in al-Andalus: Genetic Impact of Migrations from North Africa in Medieval Spain</w:t>
            </w:r>
          </w:p>
          <w:p>
            <w:pPr>
              <w:widowControl w:val="0"/>
              <w:pBdr>
                <w:top w:val="none" w:color="auto" w:sz="0" w:space="0"/>
                <w:left w:val="none" w:color="auto" w:sz="0" w:space="0"/>
                <w:bottom w:val="none" w:color="auto" w:sz="0" w:space="0"/>
                <w:right w:val="none" w:color="auto" w:sz="0" w:space="0"/>
                <w:between w:val="none" w:color="auto" w:sz="0" w:space="0"/>
              </w:pBdr>
              <w:spacing w:line="348" w:lineRule="auto"/>
              <w:ind w:left="0" w:right="142"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CASAS, María José; HAGELBERG, Erika; FREGEL, Rosa; LARRUGA, José M. &amp; GONZÁLEZ, Ana M. </w:t>
            </w:r>
            <w:r>
              <w:rPr>
                <w:rFonts w:ascii="Times New Roman" w:hAnsi="Times New Roman" w:eastAsia="Times New Roman" w:cs="Times New Roman"/>
                <w:color w:val="000000"/>
                <w:u w:val="single"/>
              </w:rPr>
              <w:t>Human Mitochondrial DNA Diversity in an Archaeological Sitein Al‐Andalus</w:t>
            </w:r>
            <w:r>
              <w:rPr>
                <w:rFonts w:ascii="Times New Roman" w:hAnsi="Times New Roman" w:eastAsia="Times New Roman" w:cs="Times New Roman"/>
                <w:color w:val="000000"/>
              </w:rPr>
              <w:t xml:space="preserve">: Genetic impact of migrations from North Africa in medieval Spain. In: </w:t>
            </w:r>
            <w:r>
              <w:rPr>
                <w:rFonts w:ascii="Times New Roman" w:hAnsi="Times New Roman" w:eastAsia="Times New Roman" w:cs="Times New Roman"/>
                <w:b/>
                <w:color w:val="000000"/>
              </w:rPr>
              <w:t>American Journal of Physical Anthropology</w:t>
            </w:r>
            <w:r>
              <w:rPr>
                <w:rFonts w:ascii="Times New Roman" w:hAnsi="Times New Roman" w:eastAsia="Times New Roman" w:cs="Times New Roman"/>
                <w:color w:val="000000"/>
              </w:rPr>
              <w:t xml:space="preserve">, No.131, 2006, p. 539-551. Disponível em: </w:t>
            </w:r>
            <w:r>
              <w:fldChar w:fldCharType="begin"/>
            </w:r>
            <w:r>
              <w:instrText xml:space="preserve"> HYPERLINK "https://onlinelibrary.wiley.com/doi/epdf/10.1002/ajpa.20463" \h </w:instrText>
            </w:r>
            <w:r>
              <w:fldChar w:fldCharType="separate"/>
            </w:r>
            <w:r>
              <w:rPr>
                <w:rFonts w:ascii="Times New Roman" w:hAnsi="Times New Roman" w:eastAsia="Times New Roman" w:cs="Times New Roman"/>
                <w:color w:val="0000FF"/>
                <w:u w:val="single"/>
              </w:rPr>
              <w:t>https://onlinelibrary.wiley.com/doi/epdf/10.1002/ajpa.20463</w:t>
            </w:r>
            <w:r>
              <w:rPr>
                <w:rFonts w:ascii="Times New Roman" w:hAnsi="Times New Roman" w:eastAsia="Times New Roman" w:cs="Times New Roman"/>
                <w:color w:val="0000FF"/>
                <w:u w:val="single"/>
              </w:rPr>
              <w:fldChar w:fldCharType="end"/>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42"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DUFOURCQ, Charles Emmanuel. </w:t>
            </w:r>
            <w:r>
              <w:rPr>
                <w:rFonts w:ascii="Times New Roman" w:hAnsi="Times New Roman" w:eastAsia="Times New Roman" w:cs="Times New Roman"/>
                <w:b/>
                <w:color w:val="000000"/>
              </w:rPr>
              <w:t>La Vida Cotidiana de los Árabes en la Europa Medieval</w:t>
            </w:r>
            <w:r>
              <w:rPr>
                <w:rFonts w:ascii="Times New Roman" w:hAnsi="Times New Roman" w:eastAsia="Times New Roman" w:cs="Times New Roman"/>
                <w:color w:val="000000"/>
              </w:rPr>
              <w:t>. Madrid: Temas de Hoy, c1990.</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42"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GIORDANI, Mario Curtis. </w:t>
            </w:r>
            <w:r>
              <w:rPr>
                <w:rFonts w:ascii="Times New Roman" w:hAnsi="Times New Roman" w:eastAsia="Times New Roman" w:cs="Times New Roman"/>
                <w:b/>
                <w:color w:val="000000"/>
              </w:rPr>
              <w:t>História do Mundo Árabe Medieval</w:t>
            </w:r>
            <w:r>
              <w:rPr>
                <w:rFonts w:ascii="Times New Roman" w:hAnsi="Times New Roman" w:eastAsia="Times New Roman" w:cs="Times New Roman"/>
                <w:color w:val="000000"/>
              </w:rPr>
              <w:t>. Petropolis, RJ: Vozes 1976.</w:t>
            </w:r>
          </w:p>
          <w:p>
            <w:pPr>
              <w:widowControl w:val="0"/>
              <w:pBdr>
                <w:top w:val="none" w:color="auto" w:sz="0" w:space="0"/>
                <w:left w:val="none" w:color="auto" w:sz="0" w:space="0"/>
                <w:bottom w:val="none" w:color="auto" w:sz="0" w:space="0"/>
                <w:right w:val="none" w:color="auto" w:sz="0" w:space="0"/>
                <w:between w:val="none" w:color="auto" w:sz="0" w:space="0"/>
              </w:pBdr>
              <w:spacing w:line="338" w:lineRule="auto"/>
              <w:ind w:left="0" w:right="142" w:hanging="2"/>
              <w:jc w:val="both"/>
              <w:rPr>
                <w:rFonts w:ascii="Times New Roman" w:hAnsi="Times New Roman" w:eastAsia="Times New Roman" w:cs="Times New Roman"/>
                <w:color w:val="000000"/>
              </w:rPr>
            </w:pPr>
            <w:r>
              <w:rPr>
                <w:rFonts w:ascii="Times New Roman" w:hAnsi="Times New Roman" w:eastAsia="Times New Roman" w:cs="Times New Roman"/>
                <w:color w:val="000000"/>
                <w:highlight w:val="white"/>
              </w:rPr>
              <w:t xml:space="preserve">M'BOKOLO, Elikia. </w:t>
            </w:r>
            <w:r>
              <w:rPr>
                <w:rFonts w:ascii="Times New Roman" w:hAnsi="Times New Roman" w:eastAsia="Times New Roman" w:cs="Times New Roman"/>
                <w:b/>
                <w:color w:val="000000"/>
                <w:highlight w:val="white"/>
              </w:rPr>
              <w:t xml:space="preserve">África Negra: </w:t>
            </w:r>
            <w:r>
              <w:rPr>
                <w:rFonts w:ascii="Times New Roman" w:hAnsi="Times New Roman" w:eastAsia="Times New Roman" w:cs="Times New Roman"/>
                <w:color w:val="000000"/>
                <w:highlight w:val="white"/>
              </w:rPr>
              <w:t>história e civilizações: tomo I (até ao século</w:t>
            </w:r>
            <w:r>
              <w:rPr>
                <w:rFonts w:ascii="Times New Roman" w:hAnsi="Times New Roman" w:eastAsia="Times New Roman" w:cs="Times New Roman"/>
                <w:color w:val="000000"/>
              </w:rPr>
              <w:t xml:space="preserve"> XVIII). 2a.ed. Lisboa: Edições Colibri; 2012.</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142"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MCKITTERICK, Rosamond; REUTER, Timothy; LUSCOMBRE, David; RILEY-</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right="142"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SMITH, Jonathan;  ABULAFIA,  David;  JONES,  Michael;  ALLMAND, Christopher. </w:t>
            </w:r>
            <w:r>
              <w:rPr>
                <w:rFonts w:ascii="Times New Roman" w:hAnsi="Times New Roman" w:eastAsia="Times New Roman" w:cs="Times New Roman"/>
                <w:b/>
                <w:color w:val="000000"/>
              </w:rPr>
              <w:t>The New Cambridge Medieval History</w:t>
            </w:r>
            <w:r>
              <w:rPr>
                <w:rFonts w:ascii="Times New Roman" w:hAnsi="Times New Roman" w:eastAsia="Times New Roman" w:cs="Times New Roman"/>
                <w:color w:val="000000"/>
              </w:rPr>
              <w:t>. Cambridge: Cambridge University Press1995-2005.</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42"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ZOUACHE, Abbès. </w:t>
            </w:r>
            <w:r>
              <w:rPr>
                <w:rFonts w:ascii="Times New Roman" w:hAnsi="Times New Roman" w:eastAsia="Times New Roman" w:cs="Times New Roman"/>
                <w:b/>
                <w:color w:val="000000"/>
              </w:rPr>
              <w:t>Armées et Combats en Syrie de 491/1098 à 569/1174</w:t>
            </w:r>
            <w:r>
              <w:rPr>
                <w:rFonts w:ascii="Times New Roman" w:hAnsi="Times New Roman" w:eastAsia="Times New Roman" w:cs="Times New Roman"/>
                <w:color w:val="000000"/>
              </w:rPr>
              <w:t xml:space="preserve">: analyse comparée des chroniques médiévales latines et arabes. Damas: IFPO, 2008. Disponível em: </w:t>
            </w:r>
            <w:r>
              <w:fldChar w:fldCharType="begin"/>
            </w:r>
            <w:r>
              <w:instrText xml:space="preserve"> HYPERLINK "https://www.academia.edu/1509362/Arm%C3%A9es_et_combats_en_Syrie_de_1098_%C3%A0_1174._Analyse_compar%C3%A9e_des_sources_latines_et_arabes_m%C3%A9di%C3%A9vales" \h </w:instrText>
            </w:r>
            <w:r>
              <w:fldChar w:fldCharType="separate"/>
            </w:r>
            <w:r>
              <w:rPr>
                <w:rFonts w:ascii="Times New Roman" w:hAnsi="Times New Roman" w:eastAsia="Times New Roman" w:cs="Times New Roman"/>
                <w:color w:val="0000FF"/>
                <w:u w:val="single"/>
              </w:rPr>
              <w:t>https://www.academia.edu/1509362/Arm%C3%A9es_et_combats_en_Syrie_de_1098_</w:t>
            </w:r>
            <w:r>
              <w:rPr>
                <w:rFonts w:ascii="Times New Roman" w:hAnsi="Times New Roman" w:eastAsia="Times New Roman" w:cs="Times New Roman"/>
                <w:color w:val="0000FF"/>
                <w:u w:val="single"/>
              </w:rPr>
              <w:fldChar w:fldCharType="end"/>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142" w:hanging="2"/>
              <w:rPr>
                <w:rFonts w:ascii="Times New Roman" w:hAnsi="Times New Roman" w:eastAsia="Times New Roman" w:cs="Times New Roman"/>
                <w:color w:val="000000"/>
              </w:rPr>
            </w:pPr>
            <w:r>
              <w:fldChar w:fldCharType="begin"/>
            </w:r>
            <w:r>
              <w:instrText xml:space="preserve"> HYPERLINK "https://www.academia.edu/1509362/Arm%C3%A9es_et_combats_en_Syrie_de_1098_%C3%A0_1174._Analyse_compar%C3%A9e_des_sources_latines_et_arabes_m%C3%A9di%C3%A9vales" \h </w:instrText>
            </w:r>
            <w:r>
              <w:fldChar w:fldCharType="separate"/>
            </w:r>
            <w:r>
              <w:rPr>
                <w:rFonts w:ascii="Times New Roman" w:hAnsi="Times New Roman" w:eastAsia="Times New Roman" w:cs="Times New Roman"/>
                <w:color w:val="0000FF"/>
                <w:u w:val="single"/>
              </w:rPr>
              <w:t>%C3%A0_1174._Analyse_compar%C3%A9e_des_sources_latines_et_arabes_m%C3</w:t>
            </w:r>
            <w:r>
              <w:rPr>
                <w:rFonts w:ascii="Times New Roman" w:hAnsi="Times New Roman" w:eastAsia="Times New Roman" w:cs="Times New Roman"/>
                <w:color w:val="0000FF"/>
                <w:u w:val="single"/>
              </w:rPr>
              <w:fldChar w:fldCharType="end"/>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142" w:hanging="2"/>
              <w:rPr>
                <w:rFonts w:ascii="Times New Roman" w:hAnsi="Times New Roman" w:eastAsia="Times New Roman" w:cs="Times New Roman"/>
                <w:color w:val="000000"/>
              </w:rPr>
            </w:pPr>
            <w:r>
              <w:fldChar w:fldCharType="begin"/>
            </w:r>
            <w:r>
              <w:instrText xml:space="preserve"> HYPERLINK "https://www.academia.edu/1509362/Arm%C3%A9es_et_combats_en_Syrie_de_1098_%C3%A0_1174._Analyse_compar%C3%A9e_des_sources_latines_et_arabes_m%C3%A9di%C3%A9vales" \h </w:instrText>
            </w:r>
            <w:r>
              <w:fldChar w:fldCharType="separate"/>
            </w:r>
            <w:r>
              <w:rPr>
                <w:rFonts w:ascii="Times New Roman" w:hAnsi="Times New Roman" w:eastAsia="Times New Roman" w:cs="Times New Roman"/>
                <w:color w:val="0000FF"/>
                <w:u w:val="single"/>
              </w:rPr>
              <w:t>%A9di%C3%A9vales.</w:t>
            </w:r>
            <w:r>
              <w:rPr>
                <w:rFonts w:ascii="Times New Roman" w:hAnsi="Times New Roman" w:eastAsia="Times New Roman" w:cs="Times New Roman"/>
                <w:color w:val="0000FF"/>
                <w:u w:val="single"/>
              </w:rPr>
              <w:fldChar w:fldCharType="end"/>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r>
        <w:rPr>
          <w:rFonts w:ascii="Times New Roman" w:hAnsi="Times New Roman" w:cs="Times New Roman"/>
          <w:lang w:eastAsia="pt-BR" w:bidi="ar-SA"/>
        </w:rPr>
        <mc:AlternateContent>
          <mc:Choice Requires="wps">
            <w:drawing>
              <wp:anchor distT="0" distB="0" distL="114300" distR="114300" simplePos="0" relativeHeight="251666432" behindDoc="0" locked="0" layoutInCell="1" allowOverlap="1">
                <wp:simplePos x="0" y="0"/>
                <wp:positionH relativeFrom="page">
                  <wp:posOffset>3040380</wp:posOffset>
                </wp:positionH>
                <wp:positionV relativeFrom="page">
                  <wp:posOffset>8670290</wp:posOffset>
                </wp:positionV>
                <wp:extent cx="4445" cy="36830"/>
                <wp:effectExtent l="0" t="0" r="0" b="0"/>
                <wp:wrapNone/>
                <wp:docPr id="1052" name="Conector de Seta Reta 1052"/>
                <wp:cNvGraphicFramePr/>
                <a:graphic xmlns:a="http://schemas.openxmlformats.org/drawingml/2006/main">
                  <a:graphicData uri="http://schemas.microsoft.com/office/word/2010/wordprocessingShape">
                    <wps:wsp>
                      <wps:cNvCnPr/>
                      <wps:spPr>
                        <a:xfrm>
                          <a:off x="5234558" y="3777778"/>
                          <a:ext cx="222885" cy="4445"/>
                        </a:xfrm>
                        <a:prstGeom prst="straightConnector1">
                          <a:avLst/>
                        </a:prstGeom>
                        <a:noFill/>
                        <a:ln w="36700" cap="flat" cmpd="sng">
                          <a:solidFill>
                            <a:srgbClr val="F7F7F7"/>
                          </a:solidFill>
                          <a:prstDash val="solid"/>
                          <a:miter lim="800000"/>
                          <a:headEnd type="none" w="med" len="med"/>
                          <a:tailEnd type="none" w="med" len="med"/>
                        </a:ln>
                      </wps:spPr>
                      <wps:bodyPr/>
                    </wps:wsp>
                  </a:graphicData>
                </a:graphic>
              </wp:anchor>
            </w:drawing>
          </mc:Choice>
          <mc:Fallback>
            <w:pict>
              <v:shape id="_x0000_s1026" o:spid="_x0000_s1026" o:spt="32" type="#_x0000_t32" style="position:absolute;left:0pt;margin-left:239.4pt;margin-top:682.7pt;height:2.9pt;width:0.35pt;mso-position-horizontal-relative:page;mso-position-vertical-relative:page;z-index:251666432;mso-width-relative:page;mso-height-relative:page;" filled="f" stroked="t" coordsize="21600,21600" o:gfxdata="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L954d0AAAANAQAADwAAAAAAAAABACAA&#10;AAAiAAAAZHJzL2Rvd25yZXYueG1sUEsBAhQAFAAAAAgAh07iQLD5VXkIAgAAIwQAAA4AAAAAAAAA&#10;AQAgAAAALAEAAGRycy9lMm9Eb2MueG1sUEsFBgAAAAAGAAYAWQEAAKYFAAAAAA==&#10;">
                <v:fill on="f" focussize="0,0"/>
                <v:stroke weight="2.88976377952756pt" color="#F7F7F7" miterlimit="8" joinstyle="miter"/>
                <v:imagedata o:title=""/>
                <o:lock v:ext="edit" aspectratio="f"/>
              </v:shape>
            </w:pict>
          </mc:Fallback>
        </mc:AlternateContent>
      </w:r>
    </w:p>
    <w:p>
      <w:pPr>
        <w:pBdr>
          <w:top w:val="none" w:color="auto" w:sz="0" w:space="0"/>
          <w:left w:val="none" w:color="auto" w:sz="0" w:space="0"/>
          <w:bottom w:val="none" w:color="auto" w:sz="0" w:space="0"/>
          <w:right w:val="none" w:color="auto" w:sz="0" w:space="0"/>
          <w:between w:val="none" w:color="auto" w:sz="0" w:space="0"/>
        </w:pBdr>
        <w:spacing w:before="10" w:after="14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10" w:after="140" w:line="288" w:lineRule="auto"/>
        <w:ind w:left="0" w:hanging="2"/>
        <w:rPr>
          <w:rFonts w:ascii="Times New Roman" w:hAnsi="Times New Roman" w:eastAsia="Times New Roman" w:cs="Times New Roman"/>
          <w:color w:val="000000"/>
        </w:rPr>
      </w:pPr>
    </w:p>
    <w:tbl>
      <w:tblPr>
        <w:tblStyle w:val="558"/>
        <w:tblW w:w="9021" w:type="dxa"/>
        <w:tblInd w:w="2" w:type="dxa"/>
        <w:tblLayout w:type="fixed"/>
        <w:tblCellMar>
          <w:top w:w="0" w:type="dxa"/>
          <w:left w:w="22" w:type="dxa"/>
          <w:bottom w:w="0" w:type="dxa"/>
          <w:right w:w="5" w:type="dxa"/>
        </w:tblCellMar>
      </w:tblPr>
      <w:tblGrid>
        <w:gridCol w:w="2902"/>
        <w:gridCol w:w="3121"/>
        <w:gridCol w:w="2998"/>
      </w:tblGrid>
      <w:tr>
        <w:tblPrEx>
          <w:tblCellMar>
            <w:top w:w="0" w:type="dxa"/>
            <w:left w:w="22" w:type="dxa"/>
            <w:bottom w:w="0" w:type="dxa"/>
            <w:right w:w="5" w:type="dxa"/>
          </w:tblCellMar>
        </w:tblPrEx>
        <w:trPr>
          <w:trHeight w:val="2073" w:hRule="atLeast"/>
        </w:trPr>
        <w:tc>
          <w:tcPr>
            <w:tcW w:w="6023"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03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Seminário em História Antiga e Medieval XX</w:t>
            </w:r>
          </w:p>
          <w:p>
            <w:pPr>
              <w:widowControl w:val="0"/>
              <w:pBdr>
                <w:top w:val="none" w:color="auto" w:sz="0" w:space="0"/>
                <w:left w:val="none" w:color="auto" w:sz="0" w:space="0"/>
                <w:bottom w:val="none" w:color="auto" w:sz="0" w:space="0"/>
                <w:right w:val="none" w:color="auto" w:sz="0" w:space="0"/>
                <w:between w:val="none" w:color="auto" w:sz="0" w:space="0"/>
              </w:pBdr>
              <w:spacing w:before="2"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1257"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Seminar in Ancient and Medieval History XX</w:t>
            </w:r>
          </w:p>
        </w:tc>
        <w:tc>
          <w:tcPr>
            <w:tcW w:w="2998"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HIS303</w:t>
            </w:r>
          </w:p>
        </w:tc>
      </w:tr>
      <w:tr>
        <w:tblPrEx>
          <w:tblCellMar>
            <w:top w:w="0" w:type="dxa"/>
            <w:left w:w="22" w:type="dxa"/>
            <w:bottom w:w="0" w:type="dxa"/>
            <w:right w:w="5" w:type="dxa"/>
          </w:tblCellMar>
        </w:tblPrEx>
        <w:trPr>
          <w:trHeight w:val="825" w:hRule="atLeast"/>
        </w:trPr>
        <w:tc>
          <w:tcPr>
            <w:tcW w:w="6023"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Departamento de História – DEHIS</w:t>
            </w:r>
          </w:p>
        </w:tc>
        <w:tc>
          <w:tcPr>
            <w:tcW w:w="2998"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5" w:type="dxa"/>
          </w:tblCellMar>
        </w:tblPrEx>
        <w:trPr>
          <w:trHeight w:val="1243" w:hRule="atLeast"/>
        </w:trPr>
        <w:tc>
          <w:tcPr>
            <w:tcW w:w="2902"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502"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right="717"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Semestral</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right="717"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 90 horas</w:t>
            </w:r>
          </w:p>
        </w:tc>
        <w:tc>
          <w:tcPr>
            <w:tcW w:w="3121"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2998"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02 horas/aula</w:t>
            </w:r>
          </w:p>
        </w:tc>
      </w:tr>
      <w:tr>
        <w:tblPrEx>
          <w:tblCellMar>
            <w:top w:w="0" w:type="dxa"/>
            <w:left w:w="22" w:type="dxa"/>
            <w:bottom w:w="0" w:type="dxa"/>
            <w:right w:w="5" w:type="dxa"/>
          </w:tblCellMar>
        </w:tblPrEx>
        <w:trPr>
          <w:trHeight w:val="1243"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Ementa: Estudo do conceito de Feudalismo. A dupla fratura conceitual do século XVIII (Religião e Economia). Introdução aos conceitos de </w:t>
            </w:r>
            <w:r>
              <w:rPr>
                <w:rFonts w:ascii="Times New Roman" w:hAnsi="Times New Roman" w:eastAsia="Times New Roman" w:cs="Times New Roman"/>
                <w:i/>
                <w:color w:val="000000"/>
              </w:rPr>
              <w:t xml:space="preserve">Ecclesia </w:t>
            </w:r>
            <w:r>
              <w:rPr>
                <w:rFonts w:ascii="Times New Roman" w:hAnsi="Times New Roman" w:eastAsia="Times New Roman" w:cs="Times New Roman"/>
                <w:color w:val="000000"/>
              </w:rPr>
              <w:t xml:space="preserve">e </w:t>
            </w:r>
            <w:r>
              <w:rPr>
                <w:rFonts w:ascii="Times New Roman" w:hAnsi="Times New Roman" w:eastAsia="Times New Roman" w:cs="Times New Roman"/>
                <w:i/>
                <w:color w:val="000000"/>
              </w:rPr>
              <w:t>Dominium</w:t>
            </w:r>
            <w:r>
              <w:rPr>
                <w:rFonts w:ascii="Times New Roman" w:hAnsi="Times New Roman" w:eastAsia="Times New Roman" w:cs="Times New Roman"/>
                <w:color w:val="000000"/>
              </w:rPr>
              <w:t>. A questão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feminina no espaço senhorial.</w:t>
            </w:r>
          </w:p>
        </w:tc>
      </w:tr>
      <w:tr>
        <w:tblPrEx>
          <w:tblCellMar>
            <w:top w:w="0" w:type="dxa"/>
            <w:left w:w="22" w:type="dxa"/>
            <w:bottom w:w="0" w:type="dxa"/>
            <w:right w:w="5" w:type="dxa"/>
          </w:tblCellMar>
        </w:tblPrEx>
        <w:trPr>
          <w:trHeight w:val="3951"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1: O Conceito de Feudalismo: perspectivas historiográficas.</w:t>
            </w:r>
          </w:p>
          <w:p>
            <w:pPr>
              <w:widowControl w:val="0"/>
              <w:numPr>
                <w:ilvl w:val="0"/>
                <w:numId w:val="62"/>
              </w:numPr>
              <w:pBdr>
                <w:top w:val="none" w:color="auto" w:sz="0" w:space="0"/>
                <w:left w:val="none" w:color="auto" w:sz="0" w:space="0"/>
                <w:bottom w:val="none" w:color="auto" w:sz="0" w:space="0"/>
                <w:right w:val="none" w:color="auto" w:sz="0" w:space="0"/>
                <w:between w:val="none" w:color="auto" w:sz="0" w:space="0"/>
              </w:pBdr>
              <w:tabs>
                <w:tab w:val="left" w:pos="0"/>
                <w:tab w:val="left" w:pos="831"/>
                <w:tab w:val="left" w:pos="832"/>
              </w:tabs>
              <w:spacing w:before="138" w:line="348" w:lineRule="auto"/>
              <w:ind w:left="0" w:right="3779"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Mutacionistas e Antimutacionistas. </w:t>
            </w:r>
          </w:p>
          <w:p>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831"/>
                <w:tab w:val="left" w:pos="832"/>
              </w:tabs>
              <w:spacing w:before="138" w:line="348" w:lineRule="auto"/>
              <w:ind w:left="0" w:right="3779" w:hanging="2"/>
              <w:rPr>
                <w:rFonts w:ascii="Times New Roman" w:hAnsi="Times New Roman" w:eastAsia="Times New Roman" w:cs="Times New Roman"/>
                <w:color w:val="000000"/>
              </w:rPr>
            </w:pPr>
            <w:r>
              <w:rPr>
                <w:rFonts w:ascii="Times New Roman" w:hAnsi="Times New Roman" w:eastAsia="Times New Roman" w:cs="Times New Roman"/>
                <w:color w:val="000000"/>
              </w:rPr>
              <w:t>Unidade 2: A fratura conceitual do</w:t>
            </w:r>
            <w:r>
              <w:rPr>
                <w:rFonts w:ascii="Times New Roman" w:hAnsi="Times New Roman" w:eastAsia="Times New Roman" w:cs="Times New Roman"/>
              </w:rPr>
              <w:t xml:space="preserve"> </w:t>
            </w:r>
            <w:r>
              <w:rPr>
                <w:rFonts w:ascii="Times New Roman" w:hAnsi="Times New Roman" w:eastAsia="Times New Roman" w:cs="Times New Roman"/>
                <w:color w:val="000000"/>
              </w:rPr>
              <w:t>século XVIII.</w:t>
            </w:r>
          </w:p>
          <w:p>
            <w:pPr>
              <w:widowControl w:val="0"/>
              <w:numPr>
                <w:ilvl w:val="0"/>
                <w:numId w:val="62"/>
              </w:numPr>
              <w:pBdr>
                <w:top w:val="none" w:color="auto" w:sz="0" w:space="0"/>
                <w:left w:val="none" w:color="auto" w:sz="0" w:space="0"/>
                <w:bottom w:val="none" w:color="auto" w:sz="0" w:space="0"/>
                <w:right w:val="none" w:color="auto" w:sz="0" w:space="0"/>
                <w:between w:val="none" w:color="auto" w:sz="0" w:space="0"/>
              </w:pBdr>
              <w:tabs>
                <w:tab w:val="left" w:pos="0"/>
                <w:tab w:val="left" w:pos="831"/>
                <w:tab w:val="left" w:pos="832"/>
              </w:tabs>
              <w:spacing w:before="14"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Religião e </w:t>
            </w:r>
            <w:r>
              <w:rPr>
                <w:rFonts w:ascii="Times New Roman" w:hAnsi="Times New Roman" w:eastAsia="Times New Roman" w:cs="Times New Roman"/>
                <w:i/>
                <w:color w:val="000000"/>
              </w:rPr>
              <w:t>Ecclesia</w:t>
            </w:r>
          </w:p>
          <w:p>
            <w:pPr>
              <w:widowControl w:val="0"/>
              <w:numPr>
                <w:ilvl w:val="0"/>
                <w:numId w:val="62"/>
              </w:numPr>
              <w:pBdr>
                <w:top w:val="none" w:color="auto" w:sz="0" w:space="0"/>
                <w:left w:val="none" w:color="auto" w:sz="0" w:space="0"/>
                <w:bottom w:val="none" w:color="auto" w:sz="0" w:space="0"/>
                <w:right w:val="none" w:color="auto" w:sz="0" w:space="0"/>
                <w:between w:val="none" w:color="auto" w:sz="0" w:space="0"/>
              </w:pBdr>
              <w:tabs>
                <w:tab w:val="left" w:pos="0"/>
                <w:tab w:val="left" w:pos="831"/>
                <w:tab w:val="left" w:pos="832"/>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Economia e </w:t>
            </w:r>
            <w:r>
              <w:rPr>
                <w:rFonts w:ascii="Times New Roman" w:hAnsi="Times New Roman" w:eastAsia="Times New Roman" w:cs="Times New Roman"/>
                <w:i/>
                <w:color w:val="000000"/>
              </w:rPr>
              <w:t>Dominium</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3: A questão feminina e sua presença no senhorio.</w:t>
            </w:r>
          </w:p>
          <w:p>
            <w:pPr>
              <w:widowControl w:val="0"/>
              <w:numPr>
                <w:ilvl w:val="0"/>
                <w:numId w:val="62"/>
              </w:numPr>
              <w:pBdr>
                <w:top w:val="none" w:color="auto" w:sz="0" w:space="0"/>
                <w:left w:val="none" w:color="auto" w:sz="0" w:space="0"/>
                <w:bottom w:val="none" w:color="auto" w:sz="0" w:space="0"/>
                <w:right w:val="none" w:color="auto" w:sz="0" w:space="0"/>
                <w:between w:val="none" w:color="auto" w:sz="0" w:space="0"/>
              </w:pBdr>
              <w:tabs>
                <w:tab w:val="left" w:pos="0"/>
                <w:tab w:val="left" w:pos="831"/>
                <w:tab w:val="left" w:pos="832"/>
              </w:tabs>
              <w:spacing w:before="139"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Abadessas e Senhoras.</w:t>
            </w:r>
          </w:p>
          <w:p>
            <w:pPr>
              <w:widowControl w:val="0"/>
              <w:numPr>
                <w:ilvl w:val="0"/>
                <w:numId w:val="62"/>
              </w:numPr>
              <w:pBdr>
                <w:top w:val="none" w:color="auto" w:sz="0" w:space="0"/>
                <w:left w:val="none" w:color="auto" w:sz="0" w:space="0"/>
                <w:bottom w:val="none" w:color="auto" w:sz="0" w:space="0"/>
                <w:right w:val="none" w:color="auto" w:sz="0" w:space="0"/>
                <w:between w:val="none" w:color="auto" w:sz="0" w:space="0"/>
              </w:pBdr>
              <w:tabs>
                <w:tab w:val="left" w:pos="0"/>
                <w:tab w:val="left" w:pos="831"/>
                <w:tab w:val="left" w:pos="832"/>
              </w:tabs>
              <w:spacing w:before="138"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Relações de parentesco tessituras de compromissos.</w:t>
            </w:r>
          </w:p>
        </w:tc>
      </w:tr>
      <w:tr>
        <w:tblPrEx>
          <w:tblCellMar>
            <w:top w:w="0" w:type="dxa"/>
            <w:left w:w="22" w:type="dxa"/>
            <w:bottom w:w="0" w:type="dxa"/>
            <w:right w:w="5" w:type="dxa"/>
          </w:tblCellMar>
        </w:tblPrEx>
        <w:trPr>
          <w:trHeight w:val="1575"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BLOCH, R. Howard. </w:t>
            </w:r>
            <w:r>
              <w:rPr>
                <w:rFonts w:ascii="Times New Roman" w:hAnsi="Times New Roman" w:eastAsia="Times New Roman" w:cs="Times New Roman"/>
                <w:b/>
                <w:color w:val="000000"/>
              </w:rPr>
              <w:t>Misoginia Medieval e a Invenção do Amor Romântico Ocidental</w:t>
            </w:r>
            <w:r>
              <w:rPr>
                <w:rFonts w:ascii="Times New Roman" w:hAnsi="Times New Roman" w:eastAsia="Times New Roman" w:cs="Times New Roman"/>
                <w:color w:val="000000"/>
              </w:rPr>
              <w:t>. Rio de Janeiro: Ed. 34 c1995.</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DUBY, Georges. </w:t>
            </w:r>
            <w:r>
              <w:rPr>
                <w:rFonts w:ascii="Times New Roman" w:hAnsi="Times New Roman" w:eastAsia="Times New Roman" w:cs="Times New Roman"/>
                <w:b/>
                <w:color w:val="000000"/>
              </w:rPr>
              <w:t>Damas do Século XII</w:t>
            </w:r>
            <w:r>
              <w:rPr>
                <w:rFonts w:ascii="Times New Roman" w:hAnsi="Times New Roman" w:eastAsia="Times New Roman" w:cs="Times New Roman"/>
                <w:color w:val="000000"/>
              </w:rPr>
              <w:t>: a lembrança das ancestrais. São Paulo: Companhia das Letras [1997].</w:t>
            </w:r>
          </w:p>
          <w:p>
            <w:pPr>
              <w:widowControl w:val="0"/>
              <w:pBdr>
                <w:top w:val="none" w:color="auto" w:sz="0" w:space="0"/>
                <w:left w:val="none" w:color="auto" w:sz="0" w:space="0"/>
                <w:bottom w:val="none" w:color="auto" w:sz="0" w:space="0"/>
                <w:right w:val="none" w:color="auto" w:sz="0" w:space="0"/>
                <w:between w:val="none" w:color="auto" w:sz="0" w:space="0"/>
              </w:pBdr>
              <w:spacing w:before="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GUERREAU, Alain. </w:t>
            </w:r>
            <w:r>
              <w:rPr>
                <w:rFonts w:ascii="Times New Roman" w:hAnsi="Times New Roman" w:eastAsia="Times New Roman" w:cs="Times New Roman"/>
                <w:b/>
                <w:color w:val="000000"/>
              </w:rPr>
              <w:t>O Feudalismo</w:t>
            </w:r>
            <w:r>
              <w:rPr>
                <w:rFonts w:ascii="Times New Roman" w:hAnsi="Times New Roman" w:eastAsia="Times New Roman" w:cs="Times New Roman"/>
                <w:color w:val="000000"/>
              </w:rPr>
              <w:t>: um horizonte teórico. Lisboa: Edições 70 c1980.</w:t>
            </w:r>
          </w:p>
          <w:p>
            <w:pPr>
              <w:widowControl w:val="0"/>
              <w:pBdr>
                <w:top w:val="none" w:color="auto" w:sz="0" w:space="0"/>
                <w:left w:val="none" w:color="auto" w:sz="0" w:space="0"/>
                <w:bottom w:val="none" w:color="auto" w:sz="0" w:space="0"/>
                <w:right w:val="none" w:color="auto" w:sz="0" w:space="0"/>
                <w:between w:val="none" w:color="auto" w:sz="0" w:space="0"/>
              </w:pBdr>
              <w:spacing w:before="1" w:line="240" w:lineRule="auto"/>
              <w:ind w:left="0" w:hanging="2"/>
              <w:rPr>
                <w:rFonts w:ascii="Times New Roman" w:hAnsi="Times New Roman" w:eastAsia="Times New Roman" w:cs="Times New Roman"/>
                <w:color w:val="000000"/>
              </w:rPr>
            </w:pPr>
          </w:p>
        </w:tc>
      </w:tr>
      <w:tr>
        <w:tblPrEx>
          <w:tblCellMar>
            <w:top w:w="0" w:type="dxa"/>
            <w:left w:w="22" w:type="dxa"/>
            <w:bottom w:w="0" w:type="dxa"/>
            <w:right w:w="5" w:type="dxa"/>
          </w:tblCellMar>
        </w:tblPrEx>
        <w:trPr>
          <w:trHeight w:val="1575"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2"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4"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ANDERSON, Perry. </w:t>
            </w:r>
            <w:r>
              <w:rPr>
                <w:rFonts w:ascii="Times New Roman" w:hAnsi="Times New Roman" w:eastAsia="Times New Roman" w:cs="Times New Roman"/>
                <w:b/>
                <w:color w:val="000000"/>
              </w:rPr>
              <w:t>Passagens da Antiguidade ao Feudalismo</w:t>
            </w:r>
            <w:r>
              <w:rPr>
                <w:rFonts w:ascii="Times New Roman" w:hAnsi="Times New Roman" w:eastAsia="Times New Roman" w:cs="Times New Roman"/>
                <w:color w:val="000000"/>
              </w:rPr>
              <w:t>. 2. ed. Porto: Afrontamento 1982,</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5"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BLOCH, Marc Leopold Benjamin. </w:t>
            </w:r>
            <w:r>
              <w:rPr>
                <w:rFonts w:ascii="Times New Roman" w:hAnsi="Times New Roman" w:eastAsia="Times New Roman" w:cs="Times New Roman"/>
                <w:b/>
                <w:color w:val="000000"/>
              </w:rPr>
              <w:t>A Sociedade Feudal</w:t>
            </w:r>
            <w:r>
              <w:rPr>
                <w:rFonts w:ascii="Times New Roman" w:hAnsi="Times New Roman" w:eastAsia="Times New Roman" w:cs="Times New Roman"/>
                <w:color w:val="000000"/>
              </w:rPr>
              <w:t>. 2a.ed. trad. rev. Lisboa: Edições 70, 2001.</w:t>
            </w: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right="61"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BROWN, Elizabeth A. R. </w:t>
            </w:r>
            <w:r>
              <w:rPr>
                <w:rFonts w:ascii="Times New Roman" w:hAnsi="Times New Roman" w:eastAsia="Times New Roman" w:cs="Times New Roman"/>
                <w:color w:val="000000"/>
                <w:u w:val="single"/>
              </w:rPr>
              <w:t>La tiranía de un constructo: el feudalismo y los historiadores de la Europa medieval</w:t>
            </w:r>
            <w:r>
              <w:rPr>
                <w:rFonts w:ascii="Times New Roman" w:hAnsi="Times New Roman" w:eastAsia="Times New Roman" w:cs="Times New Roman"/>
                <w:color w:val="000000"/>
              </w:rPr>
              <w:t xml:space="preserve">. LITTLE, Lester (ed.) &amp; ROSENWEIN, Barbara H. (ed.). </w:t>
            </w:r>
            <w:r>
              <w:rPr>
                <w:rFonts w:ascii="Times New Roman" w:hAnsi="Times New Roman" w:eastAsia="Times New Roman" w:cs="Times New Roman"/>
                <w:b/>
                <w:color w:val="000000"/>
              </w:rPr>
              <w:t>La Edad Media a Debate</w:t>
            </w:r>
            <w:r>
              <w:rPr>
                <w:rFonts w:ascii="Times New Roman" w:hAnsi="Times New Roman" w:eastAsia="Times New Roman" w:cs="Times New Roman"/>
                <w:color w:val="000000"/>
              </w:rPr>
              <w:t xml:space="preserve">. Madrid: Espanha, 2003, p. 239-272. Versão em inglês disponível em: </w:t>
            </w:r>
            <w:r>
              <w:fldChar w:fldCharType="begin"/>
            </w:r>
            <w:r>
              <w:instrText xml:space="preserve"> HYPERLINK "http://isites.harvard.edu/fs/docs/icb.topic1350026.files/Brown-Tyranny-of-a-Construct.pdf" \h </w:instrText>
            </w:r>
            <w:r>
              <w:fldChar w:fldCharType="separate"/>
            </w:r>
            <w:r>
              <w:rPr>
                <w:rFonts w:ascii="Times New Roman" w:hAnsi="Times New Roman" w:eastAsia="Times New Roman" w:cs="Times New Roman"/>
                <w:color w:val="0000FF"/>
                <w:u w:val="single"/>
              </w:rPr>
              <w:t>http://isites.harvard.edu/fs/docs/icb.topic1350026.files/Brown-Tyranny-of-a-Construct.pdf</w:t>
            </w:r>
            <w:r>
              <w:rPr>
                <w:rFonts w:ascii="Times New Roman" w:hAnsi="Times New Roman" w:eastAsia="Times New Roman" w:cs="Times New Roman"/>
                <w:color w:val="0000FF"/>
                <w:u w:val="single"/>
              </w:rPr>
              <w:fldChar w:fldCharType="end"/>
            </w: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right="69"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DUBY, Georges. </w:t>
            </w:r>
            <w:r>
              <w:rPr>
                <w:rFonts w:ascii="Times New Roman" w:hAnsi="Times New Roman" w:eastAsia="Times New Roman" w:cs="Times New Roman"/>
                <w:b/>
                <w:color w:val="000000"/>
              </w:rPr>
              <w:t>O Cavaleiro, a Mulher e  o  Padre</w:t>
            </w:r>
            <w:r>
              <w:rPr>
                <w:rFonts w:ascii="Times New Roman" w:hAnsi="Times New Roman" w:eastAsia="Times New Roman" w:cs="Times New Roman"/>
                <w:color w:val="000000"/>
              </w:rPr>
              <w:t>: o  casamento  na  França  feudal. Lisboa: Dom Quixote,1988.</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FRANCO JUNIOR, Hilário. </w:t>
            </w:r>
            <w:r>
              <w:rPr>
                <w:rFonts w:ascii="Times New Roman" w:hAnsi="Times New Roman" w:eastAsia="Times New Roman" w:cs="Times New Roman"/>
                <w:b/>
                <w:color w:val="000000"/>
              </w:rPr>
              <w:t>O Feudalismo</w:t>
            </w:r>
            <w:r>
              <w:rPr>
                <w:rFonts w:ascii="Times New Roman" w:hAnsi="Times New Roman" w:eastAsia="Times New Roman" w:cs="Times New Roman"/>
                <w:color w:val="000000"/>
              </w:rPr>
              <w:t>. 3. ed. São Paulo: Brasiliense, 1985.</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9"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LE GOFF, Jacques (org.); SCHMITT, Jean-Claude (org.). </w:t>
            </w:r>
            <w:r>
              <w:rPr>
                <w:rFonts w:ascii="Times New Roman" w:hAnsi="Times New Roman" w:eastAsia="Times New Roman" w:cs="Times New Roman"/>
                <w:b/>
                <w:color w:val="000000"/>
              </w:rPr>
              <w:t>Dicionário Temático do Ocidente Medieval</w:t>
            </w:r>
            <w:r>
              <w:rPr>
                <w:rFonts w:ascii="Times New Roman" w:hAnsi="Times New Roman" w:eastAsia="Times New Roman" w:cs="Times New Roman"/>
                <w:color w:val="000000"/>
              </w:rPr>
              <w:t>. Bauru, SP: São Paulo: EDUSC, Imprensa Oficial do Estado, 2006.</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NASCIMENTO, Maria Filomena Dias. </w:t>
            </w:r>
            <w:r>
              <w:rPr>
                <w:rFonts w:ascii="Times New Roman" w:hAnsi="Times New Roman" w:eastAsia="Times New Roman" w:cs="Times New Roman"/>
                <w:color w:val="000000"/>
                <w:u w:val="single"/>
              </w:rPr>
              <w:t>Ser Mulher na Idade Média</w:t>
            </w:r>
            <w:r>
              <w:rPr>
                <w:rFonts w:ascii="Times New Roman" w:hAnsi="Times New Roman" w:eastAsia="Times New Roman" w:cs="Times New Roman"/>
                <w:color w:val="000000"/>
              </w:rPr>
              <w:t xml:space="preserve">. In: </w:t>
            </w:r>
            <w:r>
              <w:rPr>
                <w:rFonts w:ascii="Times New Roman" w:hAnsi="Times New Roman" w:eastAsia="Times New Roman" w:cs="Times New Roman"/>
                <w:b/>
                <w:color w:val="000000"/>
              </w:rPr>
              <w:t>Textos de História</w:t>
            </w:r>
            <w:r>
              <w:rPr>
                <w:rFonts w:ascii="Times New Roman" w:hAnsi="Times New Roman" w:eastAsia="Times New Roman" w:cs="Times New Roman"/>
                <w:color w:val="000000"/>
              </w:rPr>
              <w:t xml:space="preserve">. Vol. 5, No.1, 1997, P. 82-91. Disponível em: </w:t>
            </w:r>
            <w:r>
              <w:fldChar w:fldCharType="begin"/>
            </w:r>
            <w:r>
              <w:instrText xml:space="preserve"> HYPERLINK "http://periodicos.unb.br/index.php/textos/article/view/5807/4813" \h </w:instrText>
            </w:r>
            <w:r>
              <w:fldChar w:fldCharType="separate"/>
            </w:r>
            <w:r>
              <w:rPr>
                <w:rFonts w:ascii="Times New Roman" w:hAnsi="Times New Roman" w:eastAsia="Times New Roman" w:cs="Times New Roman"/>
                <w:color w:val="0000FF"/>
                <w:u w:val="single"/>
              </w:rPr>
              <w:t>http://periodicos.unb.br/index.php/textos/article/view/5807/4813</w:t>
            </w:r>
            <w:r>
              <w:rPr>
                <w:rFonts w:ascii="Times New Roman" w:hAnsi="Times New Roman" w:eastAsia="Times New Roman" w:cs="Times New Roman"/>
                <w:color w:val="0000FF"/>
                <w:u w:val="single"/>
              </w:rPr>
              <w:fldChar w:fldCharType="end"/>
            </w:r>
          </w:p>
        </w:tc>
      </w:tr>
    </w:tbl>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tbl>
      <w:tblPr>
        <w:tblStyle w:val="559"/>
        <w:tblW w:w="9021" w:type="dxa"/>
        <w:tblInd w:w="2" w:type="dxa"/>
        <w:tblLayout w:type="fixed"/>
        <w:tblCellMar>
          <w:top w:w="0" w:type="dxa"/>
          <w:left w:w="22" w:type="dxa"/>
          <w:bottom w:w="0" w:type="dxa"/>
          <w:right w:w="5" w:type="dxa"/>
        </w:tblCellMar>
      </w:tblPr>
      <w:tblGrid>
        <w:gridCol w:w="2830"/>
        <w:gridCol w:w="3118"/>
        <w:gridCol w:w="3073"/>
      </w:tblGrid>
      <w:tr>
        <w:tblPrEx>
          <w:tblCellMar>
            <w:top w:w="0" w:type="dxa"/>
            <w:left w:w="22" w:type="dxa"/>
            <w:bottom w:w="0" w:type="dxa"/>
            <w:right w:w="5" w:type="dxa"/>
          </w:tblCellMar>
        </w:tblPrEx>
        <w:trPr>
          <w:trHeight w:val="2072" w:hRule="atLeast"/>
        </w:trPr>
        <w:tc>
          <w:tcPr>
            <w:tcW w:w="5948"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Seminário em História do Brasil Colônia I</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885"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Nome do Componente Curricular em inglês: </w:t>
            </w:r>
            <w:r>
              <w:rPr>
                <w:rFonts w:ascii="Times New Roman" w:hAnsi="Times New Roman" w:eastAsia="Times New Roman" w:cs="Times New Roman"/>
                <w:color w:val="202020"/>
              </w:rPr>
              <w:t>Seminary in History of Brazil Cologne I</w:t>
            </w:r>
          </w:p>
        </w:tc>
        <w:tc>
          <w:tcPr>
            <w:tcW w:w="3073"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HIS304</w:t>
            </w:r>
          </w:p>
        </w:tc>
      </w:tr>
      <w:tr>
        <w:tblPrEx>
          <w:tblCellMar>
            <w:top w:w="0" w:type="dxa"/>
            <w:left w:w="22" w:type="dxa"/>
            <w:bottom w:w="0" w:type="dxa"/>
            <w:right w:w="5" w:type="dxa"/>
          </w:tblCellMar>
        </w:tblPrEx>
        <w:trPr>
          <w:trHeight w:val="825" w:hRule="atLeast"/>
        </w:trPr>
        <w:tc>
          <w:tcPr>
            <w:tcW w:w="5948"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Departamento de História – DEHIS</w:t>
            </w:r>
          </w:p>
        </w:tc>
        <w:tc>
          <w:tcPr>
            <w:tcW w:w="3073"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5" w:type="dxa"/>
          </w:tblCellMar>
        </w:tblPrEx>
        <w:trPr>
          <w:trHeight w:val="1242" w:hRule="atLeast"/>
        </w:trPr>
        <w:tc>
          <w:tcPr>
            <w:tcW w:w="2830"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428"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2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3118"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3073"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 02 horas/aula</w:t>
            </w:r>
          </w:p>
        </w:tc>
      </w:tr>
      <w:tr>
        <w:tblPrEx>
          <w:tblCellMar>
            <w:top w:w="0" w:type="dxa"/>
            <w:left w:w="22" w:type="dxa"/>
            <w:bottom w:w="0" w:type="dxa"/>
            <w:right w:w="5" w:type="dxa"/>
          </w:tblCellMar>
        </w:tblPrEx>
        <w:trPr>
          <w:trHeight w:val="1243"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Ementa: </w:t>
            </w:r>
            <w:r>
              <w:rPr>
                <w:rFonts w:ascii="Times New Roman" w:hAnsi="Times New Roman" w:eastAsia="Times New Roman" w:cs="Times New Roman"/>
                <w:color w:val="212121"/>
              </w:rPr>
              <w:t>Estudos em temáticas sobre história e historiografia concernentes à</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212121"/>
              </w:rPr>
              <w:t>sociedade e à economia na América portuguesa em perspectiva Atlântica e da Economia Mundo.</w:t>
            </w:r>
          </w:p>
        </w:tc>
      </w:tr>
      <w:tr>
        <w:tblPrEx>
          <w:tblCellMar>
            <w:top w:w="0" w:type="dxa"/>
            <w:left w:w="22" w:type="dxa"/>
            <w:bottom w:w="0" w:type="dxa"/>
            <w:right w:w="5" w:type="dxa"/>
          </w:tblCellMar>
        </w:tblPrEx>
        <w:trPr>
          <w:trHeight w:val="2486"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numPr>
                <w:ilvl w:val="0"/>
                <w:numId w:val="63"/>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História Atlântica e Economia Mundo, definindo abordagens.</w:t>
            </w:r>
          </w:p>
          <w:p>
            <w:pPr>
              <w:widowControl w:val="0"/>
              <w:numPr>
                <w:ilvl w:val="0"/>
                <w:numId w:val="63"/>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Precedentes da colonização Portuguesa.</w:t>
            </w:r>
          </w:p>
          <w:p>
            <w:pPr>
              <w:widowControl w:val="0"/>
              <w:numPr>
                <w:ilvl w:val="0"/>
                <w:numId w:val="63"/>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Portugal no mundo atlântico: África Ocidental e América.</w:t>
            </w:r>
          </w:p>
          <w:p>
            <w:pPr>
              <w:widowControl w:val="0"/>
              <w:numPr>
                <w:ilvl w:val="0"/>
                <w:numId w:val="63"/>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Circulação de gêneros, pessoas e saberes.</w:t>
            </w:r>
          </w:p>
          <w:p>
            <w:pPr>
              <w:widowControl w:val="0"/>
              <w:numPr>
                <w:ilvl w:val="0"/>
                <w:numId w:val="63"/>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Relações entre as forças e potências atlânticas.</w:t>
            </w:r>
          </w:p>
        </w:tc>
      </w:tr>
      <w:tr>
        <w:tblPrEx>
          <w:tblCellMar>
            <w:top w:w="0" w:type="dxa"/>
            <w:left w:w="22" w:type="dxa"/>
            <w:bottom w:w="0" w:type="dxa"/>
            <w:right w:w="5" w:type="dxa"/>
          </w:tblCellMar>
        </w:tblPrEx>
        <w:trPr>
          <w:trHeight w:val="2273"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9"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8"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ALENCASTRO, Luiz Felipe de. </w:t>
            </w:r>
            <w:r>
              <w:rPr>
                <w:rFonts w:ascii="Times New Roman" w:hAnsi="Times New Roman" w:eastAsia="Times New Roman" w:cs="Times New Roman"/>
                <w:b/>
                <w:color w:val="000000"/>
              </w:rPr>
              <w:t xml:space="preserve">O Tratado dos Viventes: Formação do Brasil no Atlântico Sul (séculos XVI e XVII). </w:t>
            </w:r>
            <w:r>
              <w:rPr>
                <w:rFonts w:ascii="Times New Roman" w:hAnsi="Times New Roman" w:eastAsia="Times New Roman" w:cs="Times New Roman"/>
                <w:color w:val="000000"/>
              </w:rPr>
              <w:t>São Paulo: Companhia das Letras, 2000.</w:t>
            </w: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right="65"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COSTA E SILVA, Alberto da. </w:t>
            </w:r>
            <w:r>
              <w:rPr>
                <w:rFonts w:ascii="Times New Roman" w:hAnsi="Times New Roman" w:eastAsia="Times New Roman" w:cs="Times New Roman"/>
                <w:b/>
                <w:color w:val="000000"/>
              </w:rPr>
              <w:t xml:space="preserve">Um rio chamado atlântico: </w:t>
            </w:r>
            <w:r>
              <w:rPr>
                <w:rFonts w:ascii="Times New Roman" w:hAnsi="Times New Roman" w:eastAsia="Times New Roman" w:cs="Times New Roman"/>
                <w:color w:val="000000"/>
              </w:rPr>
              <w:t>a África no Brasil e o Brasil na África. Rio de Janeiro: Nova Fronteira, 2003.</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58"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WALLERSTEIN, Immanuel. </w:t>
            </w:r>
            <w:r>
              <w:rPr>
                <w:rFonts w:ascii="Times New Roman" w:hAnsi="Times New Roman" w:eastAsia="Times New Roman" w:cs="Times New Roman"/>
                <w:b/>
                <w:color w:val="000000"/>
              </w:rPr>
              <w:t>El moderno sistema mundial: la agricultura capitalista y los orígenes de la economía-mundo europea en siglo XVI</w:t>
            </w:r>
            <w:r>
              <w:rPr>
                <w:rFonts w:ascii="Times New Roman" w:hAnsi="Times New Roman" w:eastAsia="Times New Roman" w:cs="Times New Roman"/>
                <w:color w:val="000000"/>
              </w:rPr>
              <w:t>. México: Siglo XXI, 1999.</w:t>
            </w:r>
          </w:p>
        </w:tc>
      </w:tr>
      <w:tr>
        <w:tblPrEx>
          <w:tblCellMar>
            <w:top w:w="0" w:type="dxa"/>
            <w:left w:w="22" w:type="dxa"/>
            <w:bottom w:w="0" w:type="dxa"/>
            <w:right w:w="5" w:type="dxa"/>
          </w:tblCellMar>
        </w:tblPrEx>
        <w:trPr>
          <w:trHeight w:val="2272"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2"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6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BETHEL, Leslie (org). </w:t>
            </w:r>
            <w:r>
              <w:rPr>
                <w:rFonts w:ascii="Times New Roman" w:hAnsi="Times New Roman" w:eastAsia="Times New Roman" w:cs="Times New Roman"/>
                <w:b/>
                <w:color w:val="000000"/>
              </w:rPr>
              <w:t xml:space="preserve">História da América Latina: </w:t>
            </w:r>
            <w:r>
              <w:rPr>
                <w:rFonts w:ascii="Times New Roman" w:hAnsi="Times New Roman" w:eastAsia="Times New Roman" w:cs="Times New Roman"/>
                <w:color w:val="000000"/>
              </w:rPr>
              <w:t>A América Latina Colonial</w:t>
            </w:r>
            <w:r>
              <w:rPr>
                <w:rFonts w:ascii="Times New Roman" w:hAnsi="Times New Roman" w:eastAsia="Times New Roman" w:cs="Times New Roman"/>
                <w:i/>
                <w:color w:val="000000"/>
              </w:rPr>
              <w:t xml:space="preserve">. </w:t>
            </w:r>
            <w:r>
              <w:rPr>
                <w:rFonts w:ascii="Times New Roman" w:hAnsi="Times New Roman" w:eastAsia="Times New Roman" w:cs="Times New Roman"/>
                <w:color w:val="000000"/>
              </w:rPr>
              <w:t>São Paulo: EDUSP, 1999.</w:t>
            </w: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COSTA E SILVA, Alberto da. </w:t>
            </w:r>
            <w:r>
              <w:rPr>
                <w:rFonts w:ascii="Times New Roman" w:hAnsi="Times New Roman" w:eastAsia="Times New Roman" w:cs="Times New Roman"/>
                <w:b/>
                <w:color w:val="000000"/>
              </w:rPr>
              <w:t xml:space="preserve">A manilha e o libambo: a África e a escravidão de 1500 a 1700. </w:t>
            </w:r>
            <w:r>
              <w:rPr>
                <w:rFonts w:ascii="Times New Roman" w:hAnsi="Times New Roman" w:eastAsia="Times New Roman" w:cs="Times New Roman"/>
                <w:color w:val="000000"/>
              </w:rPr>
              <w:t>Rio de Janeiro: MINC/BN, Departamento Nacional do Livro, 2002.</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GILROY, Paul. </w:t>
            </w:r>
            <w:r>
              <w:rPr>
                <w:rFonts w:ascii="Times New Roman" w:hAnsi="Times New Roman" w:eastAsia="Times New Roman" w:cs="Times New Roman"/>
                <w:b/>
                <w:color w:val="000000"/>
              </w:rPr>
              <w:t xml:space="preserve">O Atlântico Negro: Modernidade e dupla consciência. </w:t>
            </w:r>
            <w:r>
              <w:rPr>
                <w:rFonts w:ascii="Times New Roman" w:hAnsi="Times New Roman" w:eastAsia="Times New Roman" w:cs="Times New Roman"/>
                <w:color w:val="000000"/>
              </w:rPr>
              <w:t>Rio de Janeiro: Editora 34, 2001.</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RUSSELL-WOOD, A. J.R. </w:t>
            </w:r>
            <w:r>
              <w:rPr>
                <w:rFonts w:ascii="Times New Roman" w:hAnsi="Times New Roman" w:eastAsia="Times New Roman" w:cs="Times New Roman"/>
                <w:b/>
                <w:color w:val="000000"/>
              </w:rPr>
              <w:t>Histórias do Atlântico português.</w:t>
            </w:r>
            <w:r>
              <w:rPr>
                <w:rFonts w:ascii="Times New Roman" w:hAnsi="Times New Roman" w:eastAsia="Times New Roman" w:cs="Times New Roman"/>
                <w:color w:val="000000"/>
              </w:rPr>
              <w:t>1.ed. São Paulo: Editora Unesp, 2014.</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RUSSELL-WOOD, A. J.R. </w:t>
            </w:r>
            <w:r>
              <w:rPr>
                <w:rFonts w:ascii="Times New Roman" w:hAnsi="Times New Roman" w:eastAsia="Times New Roman" w:cs="Times New Roman"/>
                <w:b/>
                <w:color w:val="000000"/>
              </w:rPr>
              <w:t xml:space="preserve">Um mundo em movimento: </w:t>
            </w:r>
            <w:r>
              <w:rPr>
                <w:rFonts w:ascii="Times New Roman" w:hAnsi="Times New Roman" w:eastAsia="Times New Roman" w:cs="Times New Roman"/>
                <w:color w:val="000000"/>
              </w:rPr>
              <w:t>os portugueses na África, Ásia e América (1415-1808). Algés (Portugal): Difel, 1998.</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THORNTON, John. </w:t>
            </w:r>
            <w:r>
              <w:rPr>
                <w:rFonts w:ascii="Times New Roman" w:hAnsi="Times New Roman" w:eastAsia="Times New Roman" w:cs="Times New Roman"/>
                <w:b/>
                <w:color w:val="000000"/>
              </w:rPr>
              <w:t xml:space="preserve">A África e os Africanos na Formação do Mundo Atlântico (1400-1800). </w:t>
            </w:r>
            <w:r>
              <w:rPr>
                <w:rFonts w:ascii="Times New Roman" w:hAnsi="Times New Roman" w:eastAsia="Times New Roman" w:cs="Times New Roman"/>
                <w:color w:val="000000"/>
              </w:rPr>
              <w:t>Rio de Janeiro: Campus, 2004.</w:t>
            </w:r>
          </w:p>
        </w:tc>
      </w:tr>
    </w:tbl>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tbl>
      <w:tblPr>
        <w:tblStyle w:val="560"/>
        <w:tblW w:w="9021" w:type="dxa"/>
        <w:tblInd w:w="2" w:type="dxa"/>
        <w:tblLayout w:type="fixed"/>
        <w:tblCellMar>
          <w:top w:w="0" w:type="dxa"/>
          <w:left w:w="22" w:type="dxa"/>
          <w:bottom w:w="0" w:type="dxa"/>
          <w:right w:w="22" w:type="dxa"/>
        </w:tblCellMar>
      </w:tblPr>
      <w:tblGrid>
        <w:gridCol w:w="2830"/>
        <w:gridCol w:w="3118"/>
        <w:gridCol w:w="3073"/>
      </w:tblGrid>
      <w:tr>
        <w:tblPrEx>
          <w:tblCellMar>
            <w:top w:w="0" w:type="dxa"/>
            <w:left w:w="22" w:type="dxa"/>
            <w:bottom w:w="0" w:type="dxa"/>
            <w:right w:w="22" w:type="dxa"/>
          </w:tblCellMar>
        </w:tblPrEx>
        <w:trPr>
          <w:trHeight w:val="2073" w:hRule="atLeast"/>
        </w:trPr>
        <w:tc>
          <w:tcPr>
            <w:tcW w:w="5948"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Seminário em História do Brasil Colônia II</w:t>
            </w:r>
          </w:p>
          <w:p>
            <w:pPr>
              <w:widowControl w:val="0"/>
              <w:pBdr>
                <w:top w:val="none" w:color="auto" w:sz="0" w:space="0"/>
                <w:left w:val="none" w:color="auto" w:sz="0" w:space="0"/>
                <w:bottom w:val="none" w:color="auto" w:sz="0" w:space="0"/>
                <w:right w:val="none" w:color="auto" w:sz="0" w:space="0"/>
                <w:between w:val="none" w:color="auto" w:sz="0" w:space="0"/>
              </w:pBdr>
              <w:spacing w:before="2"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before="1" w:line="240" w:lineRule="auto"/>
              <w:ind w:left="0" w:right="885"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Nome do Componente Curricular em inglês: </w:t>
            </w:r>
            <w:r>
              <w:rPr>
                <w:rFonts w:ascii="Times New Roman" w:hAnsi="Times New Roman" w:eastAsia="Times New Roman" w:cs="Times New Roman"/>
                <w:color w:val="202020"/>
              </w:rPr>
              <w:t>Seminary in History of Brazil Cologne II</w:t>
            </w:r>
          </w:p>
        </w:tc>
        <w:tc>
          <w:tcPr>
            <w:tcW w:w="3073"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HIS305</w:t>
            </w:r>
          </w:p>
        </w:tc>
      </w:tr>
      <w:tr>
        <w:tblPrEx>
          <w:tblCellMar>
            <w:top w:w="0" w:type="dxa"/>
            <w:left w:w="22" w:type="dxa"/>
            <w:bottom w:w="0" w:type="dxa"/>
            <w:right w:w="22" w:type="dxa"/>
          </w:tblCellMar>
        </w:tblPrEx>
        <w:trPr>
          <w:trHeight w:val="825" w:hRule="atLeast"/>
        </w:trPr>
        <w:tc>
          <w:tcPr>
            <w:tcW w:w="5948"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Departamento de História – DEHIS</w:t>
            </w:r>
          </w:p>
        </w:tc>
        <w:tc>
          <w:tcPr>
            <w:tcW w:w="3073"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3" w:hRule="atLeast"/>
        </w:trPr>
        <w:tc>
          <w:tcPr>
            <w:tcW w:w="2830"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428"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2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3118"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3073"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426"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              Carga horária semanal prática 02 horas/aula</w:t>
            </w:r>
          </w:p>
        </w:tc>
      </w:tr>
      <w:tr>
        <w:tblPrEx>
          <w:tblCellMar>
            <w:top w:w="0" w:type="dxa"/>
            <w:left w:w="22" w:type="dxa"/>
            <w:bottom w:w="0" w:type="dxa"/>
            <w:right w:w="22" w:type="dxa"/>
          </w:tblCellMar>
        </w:tblPrEx>
        <w:trPr>
          <w:trHeight w:val="834"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Ementa: </w:t>
            </w:r>
            <w:r>
              <w:rPr>
                <w:rFonts w:ascii="Times New Roman" w:hAnsi="Times New Roman" w:eastAsia="Times New Roman" w:cs="Times New Roman"/>
                <w:color w:val="212121"/>
              </w:rPr>
              <w:t>Estudos aprofundados sobre história e historiografia da administração edireito no mundo luso moderno.</w:t>
            </w:r>
          </w:p>
        </w:tc>
      </w:tr>
      <w:tr>
        <w:tblPrEx>
          <w:tblCellMar>
            <w:top w:w="0" w:type="dxa"/>
            <w:left w:w="22" w:type="dxa"/>
            <w:bottom w:w="0" w:type="dxa"/>
            <w:right w:w="22" w:type="dxa"/>
          </w:tblCellMar>
        </w:tblPrEx>
        <w:trPr>
          <w:trHeight w:val="1658"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numPr>
                <w:ilvl w:val="0"/>
                <w:numId w:val="64"/>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O Antigo Regime e as formas do Estado.</w:t>
            </w:r>
          </w:p>
          <w:p>
            <w:pPr>
              <w:widowControl w:val="0"/>
              <w:numPr>
                <w:ilvl w:val="0"/>
                <w:numId w:val="64"/>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 justiça e o direito nas sociedades estamentais.</w:t>
            </w:r>
          </w:p>
          <w:p>
            <w:pPr>
              <w:widowControl w:val="0"/>
              <w:numPr>
                <w:ilvl w:val="0"/>
                <w:numId w:val="64"/>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Justiça e Direito: espaços e especificações.</w:t>
            </w:r>
          </w:p>
          <w:p>
            <w:pPr>
              <w:widowControl w:val="0"/>
              <w:numPr>
                <w:ilvl w:val="0"/>
                <w:numId w:val="64"/>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line="360" w:lineRule="auto"/>
              <w:ind w:left="0" w:right="66" w:hanging="2"/>
              <w:rPr>
                <w:rFonts w:ascii="Times New Roman" w:hAnsi="Times New Roman" w:eastAsia="Times New Roman" w:cs="Times New Roman"/>
                <w:color w:val="000000"/>
              </w:rPr>
            </w:pPr>
            <w:r>
              <w:rPr>
                <w:rFonts w:ascii="Times New Roman" w:hAnsi="Times New Roman" w:eastAsia="Times New Roman" w:cs="Times New Roman"/>
                <w:color w:val="000000"/>
              </w:rPr>
              <w:t>Debates e Problemas acerca da Administração da Justiça no mundo luso e brasileiro.</w:t>
            </w:r>
          </w:p>
          <w:p>
            <w:pPr>
              <w:widowControl w:val="0"/>
              <w:numPr>
                <w:ilvl w:val="0"/>
                <w:numId w:val="64"/>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Experiências e Possibilidades de Pesquisa.</w:t>
            </w:r>
          </w:p>
        </w:tc>
      </w:tr>
      <w:tr>
        <w:tblPrEx>
          <w:tblCellMar>
            <w:top w:w="0" w:type="dxa"/>
            <w:left w:w="22" w:type="dxa"/>
            <w:bottom w:w="0" w:type="dxa"/>
            <w:right w:w="22" w:type="dxa"/>
          </w:tblCellMar>
        </w:tblPrEx>
        <w:trPr>
          <w:trHeight w:val="1815"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2"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HESPANHA, Antônio Manuel. </w:t>
            </w:r>
            <w:r>
              <w:rPr>
                <w:rFonts w:ascii="Times New Roman" w:hAnsi="Times New Roman" w:eastAsia="Times New Roman" w:cs="Times New Roman"/>
                <w:b/>
                <w:color w:val="000000"/>
              </w:rPr>
              <w:t>Panorama histórico da cultura jurídica européia</w:t>
            </w:r>
            <w:r>
              <w:rPr>
                <w:rFonts w:ascii="Times New Roman" w:hAnsi="Times New Roman" w:eastAsia="Times New Roman" w:cs="Times New Roman"/>
                <w:i/>
                <w:color w:val="000000"/>
              </w:rPr>
              <w:t>.</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Portugal: Publicações Europa-América, 1997.</w:t>
            </w:r>
          </w:p>
          <w:p>
            <w:pPr>
              <w:widowControl w:val="0"/>
              <w:pBdr>
                <w:top w:val="none" w:color="auto" w:sz="0" w:space="0"/>
                <w:left w:val="none" w:color="auto" w:sz="0" w:space="0"/>
                <w:bottom w:val="none" w:color="auto" w:sz="0" w:space="0"/>
                <w:right w:val="none" w:color="auto" w:sz="0" w:space="0"/>
                <w:between w:val="none" w:color="auto" w:sz="0" w:space="0"/>
              </w:pBdr>
              <w:spacing w:before="9"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SOUZA, Laura de Melo. </w:t>
            </w:r>
            <w:r>
              <w:rPr>
                <w:rFonts w:ascii="Times New Roman" w:hAnsi="Times New Roman" w:eastAsia="Times New Roman" w:cs="Times New Roman"/>
                <w:b/>
                <w:color w:val="000000"/>
              </w:rPr>
              <w:t xml:space="preserve">O sol e a sombra; </w:t>
            </w:r>
            <w:r>
              <w:rPr>
                <w:rFonts w:ascii="Times New Roman" w:hAnsi="Times New Roman" w:eastAsia="Times New Roman" w:cs="Times New Roman"/>
                <w:color w:val="000000"/>
              </w:rPr>
              <w:t>política e administração do Império Português no século XVIII. São Paulo: Companhia das Letras, 2006.</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SENELLART, Michel. </w:t>
            </w:r>
            <w:r>
              <w:rPr>
                <w:rFonts w:ascii="Times New Roman" w:hAnsi="Times New Roman" w:eastAsia="Times New Roman" w:cs="Times New Roman"/>
                <w:b/>
                <w:color w:val="000000"/>
              </w:rPr>
              <w:t xml:space="preserve">As artes de governar: </w:t>
            </w:r>
            <w:r>
              <w:rPr>
                <w:rFonts w:ascii="Times New Roman" w:hAnsi="Times New Roman" w:eastAsia="Times New Roman" w:cs="Times New Roman"/>
                <w:color w:val="000000"/>
              </w:rPr>
              <w:t>Do regimem medieval ao conceito de Governo. Tradução de Paulo Neves. São Paulo, 2006.</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tc>
      </w:tr>
      <w:tr>
        <w:tblPrEx>
          <w:tblCellMar>
            <w:top w:w="0" w:type="dxa"/>
            <w:left w:w="22" w:type="dxa"/>
            <w:bottom w:w="0" w:type="dxa"/>
            <w:right w:w="22" w:type="dxa"/>
          </w:tblCellMar>
        </w:tblPrEx>
        <w:trPr>
          <w:trHeight w:val="1815"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MATTOSO, José (Org.). </w:t>
            </w:r>
            <w:r>
              <w:rPr>
                <w:rFonts w:ascii="Times New Roman" w:hAnsi="Times New Roman" w:eastAsia="Times New Roman" w:cs="Times New Roman"/>
                <w:b/>
                <w:color w:val="000000"/>
              </w:rPr>
              <w:t xml:space="preserve">História de Portugal: </w:t>
            </w:r>
            <w:r>
              <w:rPr>
                <w:rFonts w:ascii="Times New Roman" w:hAnsi="Times New Roman" w:eastAsia="Times New Roman" w:cs="Times New Roman"/>
                <w:color w:val="000000"/>
              </w:rPr>
              <w:t>o Antigo Regime. Lisboa: Editorial Estampa, 1993.</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48"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DERRIDA, Jacques. </w:t>
            </w:r>
            <w:r>
              <w:rPr>
                <w:rFonts w:ascii="Times New Roman" w:hAnsi="Times New Roman" w:eastAsia="Times New Roman" w:cs="Times New Roman"/>
                <w:b/>
                <w:color w:val="000000"/>
              </w:rPr>
              <w:t xml:space="preserve">Força de Lei. </w:t>
            </w:r>
            <w:r>
              <w:rPr>
                <w:rFonts w:ascii="Times New Roman" w:hAnsi="Times New Roman" w:eastAsia="Times New Roman" w:cs="Times New Roman"/>
                <w:color w:val="000000"/>
              </w:rPr>
              <w:t>O fundamento místico da autoridade. Tradução de Leyla Perrone-Moisés. São Paulo: WMF Martins Fontes, 2007.</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i/>
                <w:color w:val="000000"/>
              </w:rPr>
              <w:t>KANTOROWICZ</w:t>
            </w:r>
            <w:r>
              <w:rPr>
                <w:rFonts w:ascii="Times New Roman" w:hAnsi="Times New Roman" w:eastAsia="Times New Roman" w:cs="Times New Roman"/>
                <w:color w:val="000000"/>
              </w:rPr>
              <w:t xml:space="preserve">, Ernst. </w:t>
            </w:r>
            <w:r>
              <w:rPr>
                <w:rFonts w:ascii="Times New Roman" w:hAnsi="Times New Roman" w:eastAsia="Times New Roman" w:cs="Times New Roman"/>
                <w:b/>
                <w:color w:val="000000"/>
              </w:rPr>
              <w:t xml:space="preserve">Os </w:t>
            </w:r>
            <w:r>
              <w:rPr>
                <w:rFonts w:ascii="Times New Roman" w:hAnsi="Times New Roman" w:eastAsia="Times New Roman" w:cs="Times New Roman"/>
                <w:b/>
                <w:i/>
                <w:color w:val="000000"/>
              </w:rPr>
              <w:t>dois corpos do rei</w:t>
            </w:r>
            <w:r>
              <w:rPr>
                <w:rFonts w:ascii="Times New Roman" w:hAnsi="Times New Roman" w:eastAsia="Times New Roman" w:cs="Times New Roman"/>
                <w:b/>
                <w:color w:val="000000"/>
              </w:rPr>
              <w:t xml:space="preserve">: </w:t>
            </w:r>
            <w:r>
              <w:rPr>
                <w:rFonts w:ascii="Times New Roman" w:hAnsi="Times New Roman" w:eastAsia="Times New Roman" w:cs="Times New Roman"/>
                <w:color w:val="000000"/>
              </w:rPr>
              <w:t>Um estudo sobre teologia política medieval. São Paulo: Companhia das Letras, 2000.</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FOUCAULT, Michel Foucault. </w:t>
            </w:r>
            <w:r>
              <w:rPr>
                <w:rFonts w:ascii="Times New Roman" w:hAnsi="Times New Roman" w:eastAsia="Times New Roman" w:cs="Times New Roman"/>
                <w:b/>
                <w:color w:val="000000"/>
              </w:rPr>
              <w:t xml:space="preserve">Microfísica do poder. </w:t>
            </w:r>
            <w:r>
              <w:rPr>
                <w:rFonts w:ascii="Times New Roman" w:hAnsi="Times New Roman" w:eastAsia="Times New Roman" w:cs="Times New Roman"/>
                <w:color w:val="000000"/>
              </w:rPr>
              <w:t>Rio de Janeiro: Graal, 1985.</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SKINER, Quentin. </w:t>
            </w:r>
            <w:r>
              <w:rPr>
                <w:rFonts w:ascii="Times New Roman" w:hAnsi="Times New Roman" w:eastAsia="Times New Roman" w:cs="Times New Roman"/>
                <w:b/>
                <w:color w:val="000000"/>
              </w:rPr>
              <w:t>As fundações do pensamento político moderno</w:t>
            </w:r>
            <w:r>
              <w:rPr>
                <w:rFonts w:ascii="Times New Roman" w:hAnsi="Times New Roman" w:eastAsia="Times New Roman" w:cs="Times New Roman"/>
                <w:i/>
                <w:color w:val="000000"/>
              </w:rPr>
              <w:t xml:space="preserve">. </w:t>
            </w:r>
            <w:r>
              <w:rPr>
                <w:rFonts w:ascii="Times New Roman" w:hAnsi="Times New Roman" w:eastAsia="Times New Roman" w:cs="Times New Roman"/>
                <w:color w:val="000000"/>
              </w:rPr>
              <w:t>Trad. Renato Janine Ribeiro e Laura Teixeira Motta. São Paulo: Companhia das Letras, 1996.</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HESPANHA, António Manuel. </w:t>
            </w:r>
            <w:r>
              <w:rPr>
                <w:rFonts w:ascii="Times New Roman" w:hAnsi="Times New Roman" w:eastAsia="Times New Roman" w:cs="Times New Roman"/>
                <w:b/>
                <w:color w:val="000000"/>
              </w:rPr>
              <w:t xml:space="preserve">Justiça e Litigiosidade: </w:t>
            </w:r>
            <w:r>
              <w:rPr>
                <w:rFonts w:ascii="Times New Roman" w:hAnsi="Times New Roman" w:eastAsia="Times New Roman" w:cs="Times New Roman"/>
                <w:color w:val="000000"/>
              </w:rPr>
              <w:t>história e prospectiva. Lisboa: Fundação Calouste Gulbenkian, 1993.</w:t>
            </w:r>
          </w:p>
        </w:tc>
      </w:tr>
    </w:tbl>
    <w:p>
      <w:pPr>
        <w:pBdr>
          <w:top w:val="none" w:color="auto" w:sz="0" w:space="0"/>
          <w:left w:val="none" w:color="auto" w:sz="0" w:space="0"/>
          <w:bottom w:val="none" w:color="auto" w:sz="0" w:space="0"/>
          <w:right w:val="none" w:color="auto" w:sz="0" w:space="0"/>
          <w:between w:val="none" w:color="auto" w:sz="0" w:space="0"/>
        </w:pBdr>
        <w:spacing w:before="10" w:after="14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10" w:after="14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10" w:after="140" w:line="288" w:lineRule="auto"/>
        <w:ind w:left="0" w:hanging="2"/>
        <w:rPr>
          <w:rFonts w:ascii="Times New Roman" w:hAnsi="Times New Roman" w:eastAsia="Times New Roman" w:cs="Times New Roman"/>
          <w:color w:val="000000"/>
        </w:rPr>
      </w:pPr>
    </w:p>
    <w:tbl>
      <w:tblPr>
        <w:tblStyle w:val="561"/>
        <w:tblW w:w="9021" w:type="dxa"/>
        <w:tblInd w:w="2" w:type="dxa"/>
        <w:tblLayout w:type="fixed"/>
        <w:tblCellMar>
          <w:top w:w="0" w:type="dxa"/>
          <w:left w:w="22" w:type="dxa"/>
          <w:bottom w:w="0" w:type="dxa"/>
          <w:right w:w="5" w:type="dxa"/>
        </w:tblCellMar>
      </w:tblPr>
      <w:tblGrid>
        <w:gridCol w:w="2830"/>
        <w:gridCol w:w="3118"/>
        <w:gridCol w:w="3073"/>
      </w:tblGrid>
      <w:tr>
        <w:tblPrEx>
          <w:tblCellMar>
            <w:top w:w="0" w:type="dxa"/>
            <w:left w:w="22" w:type="dxa"/>
            <w:bottom w:w="0" w:type="dxa"/>
            <w:right w:w="5" w:type="dxa"/>
          </w:tblCellMar>
        </w:tblPrEx>
        <w:trPr>
          <w:trHeight w:val="2073" w:hRule="atLeast"/>
        </w:trPr>
        <w:tc>
          <w:tcPr>
            <w:tcW w:w="5948"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Seminário em História do Brasil Colônia III</w:t>
            </w:r>
          </w:p>
          <w:p>
            <w:pPr>
              <w:widowControl w:val="0"/>
              <w:pBdr>
                <w:top w:val="none" w:color="auto" w:sz="0" w:space="0"/>
                <w:left w:val="none" w:color="auto" w:sz="0" w:space="0"/>
                <w:bottom w:val="none" w:color="auto" w:sz="0" w:space="0"/>
                <w:right w:val="none" w:color="auto" w:sz="0" w:space="0"/>
                <w:between w:val="none" w:color="auto" w:sz="0" w:space="0"/>
              </w:pBdr>
              <w:spacing w:before="2"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885"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Nome do Componente Curricular em inglês: </w:t>
            </w:r>
            <w:r>
              <w:rPr>
                <w:rFonts w:ascii="Times New Roman" w:hAnsi="Times New Roman" w:eastAsia="Times New Roman" w:cs="Times New Roman"/>
                <w:color w:val="202020"/>
              </w:rPr>
              <w:t>Seminary in History of Brazil Cologne III</w:t>
            </w:r>
          </w:p>
        </w:tc>
        <w:tc>
          <w:tcPr>
            <w:tcW w:w="3073"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HIS306</w:t>
            </w:r>
          </w:p>
        </w:tc>
      </w:tr>
      <w:tr>
        <w:tblPrEx>
          <w:tblCellMar>
            <w:top w:w="0" w:type="dxa"/>
            <w:left w:w="22" w:type="dxa"/>
            <w:bottom w:w="0" w:type="dxa"/>
            <w:right w:w="5" w:type="dxa"/>
          </w:tblCellMar>
        </w:tblPrEx>
        <w:trPr>
          <w:trHeight w:val="825" w:hRule="atLeast"/>
        </w:trPr>
        <w:tc>
          <w:tcPr>
            <w:tcW w:w="5948"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Departamento de História - DEHIS</w:t>
            </w:r>
          </w:p>
        </w:tc>
        <w:tc>
          <w:tcPr>
            <w:tcW w:w="3073"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5" w:type="dxa"/>
          </w:tblCellMar>
        </w:tblPrEx>
        <w:trPr>
          <w:trHeight w:val="1243" w:hRule="atLeast"/>
        </w:trPr>
        <w:tc>
          <w:tcPr>
            <w:tcW w:w="2830"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3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right="645"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semestral 90 horas</w:t>
            </w:r>
          </w:p>
        </w:tc>
        <w:tc>
          <w:tcPr>
            <w:tcW w:w="3118"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3073"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02 horas/aula</w:t>
            </w:r>
          </w:p>
        </w:tc>
      </w:tr>
      <w:tr>
        <w:tblPrEx>
          <w:tblCellMar>
            <w:top w:w="0" w:type="dxa"/>
            <w:left w:w="22" w:type="dxa"/>
            <w:bottom w:w="0" w:type="dxa"/>
            <w:right w:w="5" w:type="dxa"/>
          </w:tblCellMar>
        </w:tblPrEx>
        <w:trPr>
          <w:trHeight w:val="548"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Ementa: </w:t>
            </w:r>
            <w:r>
              <w:rPr>
                <w:rFonts w:ascii="Times New Roman" w:hAnsi="Times New Roman" w:eastAsia="Times New Roman" w:cs="Times New Roman"/>
                <w:color w:val="212121"/>
              </w:rPr>
              <w:t>Os impérios coloniais e as dimensões do processo de colonização de povos,</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212121"/>
              </w:rPr>
              <w:t>culturas e espaços ultramarinos.</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212121"/>
              </w:rPr>
            </w:pPr>
          </w:p>
        </w:tc>
      </w:tr>
      <w:tr>
        <w:tblPrEx>
          <w:tblCellMar>
            <w:top w:w="0" w:type="dxa"/>
            <w:left w:w="22" w:type="dxa"/>
            <w:bottom w:w="0" w:type="dxa"/>
            <w:right w:w="5" w:type="dxa"/>
          </w:tblCellMar>
        </w:tblPrEx>
        <w:trPr>
          <w:trHeight w:val="547"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numPr>
                <w:ilvl w:val="0"/>
                <w:numId w:val="65"/>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O mundo em movimento.</w:t>
            </w:r>
          </w:p>
          <w:p>
            <w:pPr>
              <w:widowControl w:val="0"/>
              <w:numPr>
                <w:ilvl w:val="0"/>
                <w:numId w:val="65"/>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Histórias Conectadas, História Mundo, usos da comparação.</w:t>
            </w:r>
          </w:p>
          <w:p>
            <w:pPr>
              <w:widowControl w:val="0"/>
              <w:numPr>
                <w:ilvl w:val="0"/>
                <w:numId w:val="65"/>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História Atlântica: um fragmento?</w:t>
            </w:r>
          </w:p>
          <w:p>
            <w:pPr>
              <w:widowControl w:val="0"/>
              <w:numPr>
                <w:ilvl w:val="0"/>
                <w:numId w:val="65"/>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 experiência portuguesa.</w:t>
            </w:r>
          </w:p>
          <w:p>
            <w:pPr>
              <w:widowControl w:val="0"/>
              <w:numPr>
                <w:ilvl w:val="0"/>
                <w:numId w:val="65"/>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Fontes e possibilidades de pesquisa.</w:t>
            </w:r>
          </w:p>
        </w:tc>
      </w:tr>
      <w:tr>
        <w:tblPrEx>
          <w:tblCellMar>
            <w:top w:w="0" w:type="dxa"/>
            <w:left w:w="22" w:type="dxa"/>
            <w:bottom w:w="0" w:type="dxa"/>
            <w:right w:w="5" w:type="dxa"/>
          </w:tblCellMar>
        </w:tblPrEx>
        <w:trPr>
          <w:trHeight w:val="2971"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ALENCASTRO, Luiz Felipe de. </w:t>
            </w:r>
            <w:r>
              <w:rPr>
                <w:rFonts w:ascii="Times New Roman" w:hAnsi="Times New Roman" w:eastAsia="Times New Roman" w:cs="Times New Roman"/>
                <w:b/>
                <w:color w:val="000000"/>
              </w:rPr>
              <w:t>O Tratado dos Viventes: Formação do Brasil no Atlântico Sul (séculos XVI e XVII).</w:t>
            </w:r>
            <w:r>
              <w:rPr>
                <w:rFonts w:ascii="Times New Roman" w:hAnsi="Times New Roman" w:eastAsia="Times New Roman" w:cs="Times New Roman"/>
                <w:color w:val="000000"/>
              </w:rPr>
              <w:t>São Paulo: Companhia das Letras, 2000.</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COSTA E SILVA, Alberto da.</w:t>
            </w:r>
            <w:r>
              <w:rPr>
                <w:rFonts w:ascii="Times New Roman" w:hAnsi="Times New Roman" w:eastAsia="Times New Roman" w:cs="Times New Roman"/>
                <w:b/>
                <w:color w:val="000000"/>
              </w:rPr>
              <w:t xml:space="preserve">Um rio chamado atlântico: </w:t>
            </w:r>
            <w:r>
              <w:rPr>
                <w:rFonts w:ascii="Times New Roman" w:hAnsi="Times New Roman" w:eastAsia="Times New Roman" w:cs="Times New Roman"/>
                <w:color w:val="000000"/>
              </w:rPr>
              <w:t>a África no Brasil e o Brasil na África. Rio de Janeiro: Nova Fronteira, 2003.</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RUSSELL-WOOD, A. J.R. </w:t>
            </w:r>
            <w:r>
              <w:rPr>
                <w:rFonts w:ascii="Times New Roman" w:hAnsi="Times New Roman" w:eastAsia="Times New Roman" w:cs="Times New Roman"/>
                <w:b/>
                <w:color w:val="000000"/>
              </w:rPr>
              <w:t xml:space="preserve">Um mundo em movimento: </w:t>
            </w:r>
            <w:r>
              <w:rPr>
                <w:rFonts w:ascii="Times New Roman" w:hAnsi="Times New Roman" w:eastAsia="Times New Roman" w:cs="Times New Roman"/>
                <w:color w:val="000000"/>
              </w:rPr>
              <w:t>os portugueses na África, Ásia e América (1415-1808). Algés (Portugal): Difel, 1998.</w:t>
            </w:r>
          </w:p>
        </w:tc>
      </w:tr>
      <w:tr>
        <w:tblPrEx>
          <w:tblCellMar>
            <w:top w:w="0" w:type="dxa"/>
            <w:left w:w="22" w:type="dxa"/>
            <w:bottom w:w="0" w:type="dxa"/>
            <w:right w:w="5" w:type="dxa"/>
          </w:tblCellMar>
        </w:tblPrEx>
        <w:trPr>
          <w:trHeight w:val="4812" w:hRule="atLeast"/>
        </w:trPr>
        <w:tc>
          <w:tcPr>
            <w:tcW w:w="9021" w:type="dxa"/>
            <w:gridSpan w:val="3"/>
            <w:tcBorders>
              <w:top w:val="single" w:color="000000" w:sz="4"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BOUCHERON, Patrick; DELALANDE, Nicolas (orgs). </w:t>
            </w:r>
            <w:r>
              <w:rPr>
                <w:rFonts w:ascii="Times New Roman" w:hAnsi="Times New Roman" w:eastAsia="Times New Roman" w:cs="Times New Roman"/>
                <w:b/>
                <w:color w:val="000000"/>
              </w:rPr>
              <w:t>Por uma história-mundo.</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Tradução Fernando Scheibe. Belo Horizonte: Autêntica Editora, 2015.</w:t>
            </w: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GILROY, Paul. </w:t>
            </w:r>
            <w:r>
              <w:rPr>
                <w:rFonts w:ascii="Times New Roman" w:hAnsi="Times New Roman" w:eastAsia="Times New Roman" w:cs="Times New Roman"/>
                <w:b/>
                <w:color w:val="000000"/>
              </w:rPr>
              <w:t>O Atlântico Negro: Modernidade e dupla consciência</w:t>
            </w:r>
            <w:r>
              <w:rPr>
                <w:rFonts w:ascii="Times New Roman" w:hAnsi="Times New Roman" w:eastAsia="Times New Roman" w:cs="Times New Roman"/>
                <w:color w:val="000000"/>
              </w:rPr>
              <w:t>. Rio de Janeiro: Editora 34, 2001.</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RUSSELL-WOOD, A. J.R. </w:t>
            </w:r>
            <w:r>
              <w:rPr>
                <w:rFonts w:ascii="Times New Roman" w:hAnsi="Times New Roman" w:eastAsia="Times New Roman" w:cs="Times New Roman"/>
                <w:b/>
                <w:color w:val="000000"/>
              </w:rPr>
              <w:t xml:space="preserve">Histórias do Atlântico português. </w:t>
            </w:r>
            <w:r>
              <w:rPr>
                <w:rFonts w:ascii="Times New Roman" w:hAnsi="Times New Roman" w:eastAsia="Times New Roman" w:cs="Times New Roman"/>
                <w:color w:val="000000"/>
              </w:rPr>
              <w:t>1.ed. São Paulo: Editora Unesp, 2014.</w:t>
            </w:r>
          </w:p>
          <w:p>
            <w:pPr>
              <w:widowControl w:val="0"/>
              <w:pBdr>
                <w:top w:val="none" w:color="auto" w:sz="0" w:space="0"/>
                <w:left w:val="none" w:color="auto" w:sz="0" w:space="0"/>
                <w:bottom w:val="none" w:color="auto" w:sz="0" w:space="0"/>
                <w:right w:val="none" w:color="auto" w:sz="0" w:space="0"/>
                <w:between w:val="none" w:color="auto" w:sz="0" w:space="0"/>
              </w:pBdr>
              <w:tabs>
                <w:tab w:val="left" w:pos="2397"/>
              </w:tabs>
              <w:spacing w:line="360" w:lineRule="auto"/>
              <w:ind w:left="0" w:right="59" w:hanging="2"/>
              <w:rPr>
                <w:rFonts w:ascii="Times New Roman" w:hAnsi="Times New Roman" w:eastAsia="Times New Roman" w:cs="Times New Roman"/>
                <w:color w:val="000000"/>
              </w:rPr>
            </w:pPr>
            <w:r>
              <w:rPr>
                <w:rFonts w:ascii="Times New Roman" w:hAnsi="Times New Roman" w:eastAsia="Times New Roman" w:cs="Times New Roman"/>
                <w:color w:val="000000"/>
              </w:rPr>
              <w:t>THORNTON,  John.</w:t>
            </w:r>
            <w:r>
              <w:rPr>
                <w:rFonts w:ascii="Times New Roman" w:hAnsi="Times New Roman" w:eastAsia="Times New Roman" w:cs="Times New Roman"/>
                <w:color w:val="000000"/>
              </w:rPr>
              <w:tab/>
            </w:r>
            <w:r>
              <w:rPr>
                <w:rFonts w:ascii="Times New Roman" w:hAnsi="Times New Roman" w:eastAsia="Times New Roman" w:cs="Times New Roman"/>
                <w:b/>
                <w:color w:val="000000"/>
              </w:rPr>
              <w:t xml:space="preserve">A África e os Africanos na Formação do Mundo Atlântico(1400-1800). </w:t>
            </w:r>
            <w:r>
              <w:rPr>
                <w:rFonts w:ascii="Times New Roman" w:hAnsi="Times New Roman" w:eastAsia="Times New Roman" w:cs="Times New Roman"/>
                <w:color w:val="000000"/>
              </w:rPr>
              <w:t>Rio de Janeiro: Campus,2004.</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GRUZINSKI, Serge. Os mundos misturados das monarquias católicas e outras connected histories. </w:t>
            </w:r>
            <w:r>
              <w:rPr>
                <w:rFonts w:ascii="Times New Roman" w:hAnsi="Times New Roman" w:eastAsia="Times New Roman" w:cs="Times New Roman"/>
                <w:b/>
                <w:color w:val="000000"/>
              </w:rPr>
              <w:t xml:space="preserve">Topoi, </w:t>
            </w:r>
            <w:r>
              <w:rPr>
                <w:rFonts w:ascii="Times New Roman" w:hAnsi="Times New Roman" w:eastAsia="Times New Roman" w:cs="Times New Roman"/>
                <w:color w:val="000000"/>
              </w:rPr>
              <w:t>Rio de Janeiro, mar.2001</w:t>
            </w:r>
          </w:p>
        </w:tc>
      </w:tr>
    </w:tbl>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tbl>
      <w:tblPr>
        <w:tblStyle w:val="562"/>
        <w:tblW w:w="9021" w:type="dxa"/>
        <w:tblInd w:w="2" w:type="dxa"/>
        <w:tblLayout w:type="fixed"/>
        <w:tblCellMar>
          <w:top w:w="0" w:type="dxa"/>
          <w:left w:w="22" w:type="dxa"/>
          <w:bottom w:w="0" w:type="dxa"/>
          <w:right w:w="5" w:type="dxa"/>
        </w:tblCellMar>
      </w:tblPr>
      <w:tblGrid>
        <w:gridCol w:w="2830"/>
        <w:gridCol w:w="3118"/>
        <w:gridCol w:w="3073"/>
      </w:tblGrid>
      <w:tr>
        <w:tblPrEx>
          <w:tblCellMar>
            <w:top w:w="0" w:type="dxa"/>
            <w:left w:w="22" w:type="dxa"/>
            <w:bottom w:w="0" w:type="dxa"/>
            <w:right w:w="5" w:type="dxa"/>
          </w:tblCellMar>
        </w:tblPrEx>
        <w:trPr>
          <w:trHeight w:val="2068" w:hRule="atLeast"/>
        </w:trPr>
        <w:tc>
          <w:tcPr>
            <w:tcW w:w="5948"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809"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Tópicos de História do Brasil Império I</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885"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Topics of History of Brazil Empire I</w:t>
            </w:r>
          </w:p>
        </w:tc>
        <w:tc>
          <w:tcPr>
            <w:tcW w:w="3073"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HIS307</w:t>
            </w:r>
          </w:p>
        </w:tc>
      </w:tr>
      <w:tr>
        <w:tblPrEx>
          <w:tblCellMar>
            <w:top w:w="0" w:type="dxa"/>
            <w:left w:w="22" w:type="dxa"/>
            <w:bottom w:w="0" w:type="dxa"/>
            <w:right w:w="5" w:type="dxa"/>
          </w:tblCellMar>
        </w:tblPrEx>
        <w:trPr>
          <w:trHeight w:val="830" w:hRule="atLeast"/>
        </w:trPr>
        <w:tc>
          <w:tcPr>
            <w:tcW w:w="5948"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DEHIS</w:t>
            </w:r>
          </w:p>
        </w:tc>
        <w:tc>
          <w:tcPr>
            <w:tcW w:w="3073"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5" w:type="dxa"/>
          </w:tblCellMar>
        </w:tblPrEx>
        <w:trPr>
          <w:trHeight w:val="1237" w:hRule="atLeast"/>
        </w:trPr>
        <w:tc>
          <w:tcPr>
            <w:tcW w:w="2830"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428"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2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3118"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3073"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02 horas/aula</w:t>
            </w:r>
          </w:p>
        </w:tc>
      </w:tr>
      <w:tr>
        <w:tblPrEx>
          <w:tblCellMar>
            <w:top w:w="0" w:type="dxa"/>
            <w:left w:w="22" w:type="dxa"/>
            <w:bottom w:w="0" w:type="dxa"/>
            <w:right w:w="5" w:type="dxa"/>
          </w:tblCellMar>
        </w:tblPrEx>
        <w:trPr>
          <w:trHeight w:val="830"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Ementa: Atividades práticas/investigativas que visem o aprofundamento de temáticas</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 sociais concernentes à sociedade Brasileira do século XIX.</w:t>
            </w:r>
          </w:p>
        </w:tc>
      </w:tr>
      <w:tr>
        <w:tblPrEx>
          <w:tblCellMar>
            <w:top w:w="0" w:type="dxa"/>
            <w:left w:w="22" w:type="dxa"/>
            <w:bottom w:w="0" w:type="dxa"/>
            <w:right w:w="5" w:type="dxa"/>
          </w:tblCellMar>
        </w:tblPrEx>
        <w:trPr>
          <w:trHeight w:val="2078"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p>
          <w:p>
            <w:pPr>
              <w:widowControl w:val="0"/>
              <w:numPr>
                <w:ilvl w:val="0"/>
                <w:numId w:val="66"/>
              </w:num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O Brasil no XIX</w:t>
            </w:r>
          </w:p>
          <w:p>
            <w:pPr>
              <w:widowControl w:val="0"/>
              <w:numPr>
                <w:ilvl w:val="0"/>
                <w:numId w:val="66"/>
              </w:numPr>
              <w:pBdr>
                <w:top w:val="none" w:color="auto" w:sz="0" w:space="0"/>
                <w:left w:val="none" w:color="auto" w:sz="0" w:space="0"/>
                <w:bottom w:val="none" w:color="auto" w:sz="0" w:space="0"/>
                <w:right w:val="none" w:color="auto" w:sz="0" w:space="0"/>
                <w:between w:val="none" w:color="auto" w:sz="0" w:space="0"/>
              </w:pBdr>
              <w:tabs>
                <w:tab w:val="left" w:pos="0"/>
                <w:tab w:val="left" w:pos="534"/>
                <w:tab w:val="left" w:pos="535"/>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 vida urbana e social no Império.</w:t>
            </w:r>
          </w:p>
          <w:p>
            <w:pPr>
              <w:widowControl w:val="0"/>
              <w:numPr>
                <w:ilvl w:val="0"/>
                <w:numId w:val="66"/>
              </w:numPr>
              <w:pBdr>
                <w:top w:val="none" w:color="auto" w:sz="0" w:space="0"/>
                <w:left w:val="none" w:color="auto" w:sz="0" w:space="0"/>
                <w:bottom w:val="none" w:color="auto" w:sz="0" w:space="0"/>
                <w:right w:val="none" w:color="auto" w:sz="0" w:space="0"/>
                <w:between w:val="none" w:color="auto" w:sz="0" w:space="0"/>
              </w:pBdr>
              <w:tabs>
                <w:tab w:val="left" w:pos="0"/>
                <w:tab w:val="left" w:pos="534"/>
                <w:tab w:val="left" w:pos="535"/>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Regulando a sociedade</w:t>
            </w:r>
          </w:p>
          <w:p>
            <w:pPr>
              <w:widowControl w:val="0"/>
              <w:numPr>
                <w:ilvl w:val="0"/>
                <w:numId w:val="66"/>
              </w:numPr>
              <w:pBdr>
                <w:top w:val="none" w:color="auto" w:sz="0" w:space="0"/>
                <w:left w:val="none" w:color="auto" w:sz="0" w:space="0"/>
                <w:bottom w:val="none" w:color="auto" w:sz="0" w:space="0"/>
                <w:right w:val="none" w:color="auto" w:sz="0" w:space="0"/>
                <w:between w:val="none" w:color="auto" w:sz="0" w:space="0"/>
              </w:pBdr>
              <w:tabs>
                <w:tab w:val="left" w:pos="0"/>
                <w:tab w:val="left" w:pos="534"/>
                <w:tab w:val="left" w:pos="535"/>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Civilizando a sociedade brasileira</w:t>
            </w:r>
          </w:p>
        </w:tc>
      </w:tr>
      <w:tr>
        <w:tblPrEx>
          <w:tblCellMar>
            <w:top w:w="0" w:type="dxa"/>
            <w:left w:w="22" w:type="dxa"/>
            <w:bottom w:w="0" w:type="dxa"/>
            <w:right w:w="5" w:type="dxa"/>
          </w:tblCellMar>
        </w:tblPrEx>
        <w:trPr>
          <w:trHeight w:val="3545"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4"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RIBEIRO, Lourival. </w:t>
            </w:r>
            <w:r>
              <w:rPr>
                <w:rFonts w:ascii="Times New Roman" w:hAnsi="Times New Roman" w:eastAsia="Times New Roman" w:cs="Times New Roman"/>
                <w:b/>
                <w:color w:val="000000"/>
              </w:rPr>
              <w:t>O Barão de Lavradio e a higiene no Rio de Janeiro Imperial</w:t>
            </w:r>
            <w:r>
              <w:rPr>
                <w:rFonts w:ascii="Times New Roman" w:hAnsi="Times New Roman" w:eastAsia="Times New Roman" w:cs="Times New Roman"/>
                <w:color w:val="000000"/>
              </w:rPr>
              <w:t>. Belo Horizonte (MG): Ed. Itatiaia 1992.). Call number: 94(815.3) R484</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3"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NEVES, Margarida de Souza; HEIZER, Alda. </w:t>
            </w:r>
            <w:r>
              <w:rPr>
                <w:rFonts w:ascii="Times New Roman" w:hAnsi="Times New Roman" w:eastAsia="Times New Roman" w:cs="Times New Roman"/>
                <w:b/>
                <w:color w:val="000000"/>
              </w:rPr>
              <w:t>A ordem e o progresso: o Brasil de 1870 a 1910</w:t>
            </w:r>
            <w:r>
              <w:rPr>
                <w:rFonts w:ascii="Times New Roman" w:hAnsi="Times New Roman" w:eastAsia="Times New Roman" w:cs="Times New Roman"/>
                <w:color w:val="000000"/>
              </w:rPr>
              <w:t>. São Paulo: Atual c1991. 97 p. Call number: 94(81).06/.075 N518o (ICHS) c1991</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3"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SENNETT, Richard. </w:t>
            </w:r>
            <w:r>
              <w:rPr>
                <w:rFonts w:ascii="Times New Roman" w:hAnsi="Times New Roman" w:eastAsia="Times New Roman" w:cs="Times New Roman"/>
                <w:b/>
                <w:color w:val="000000"/>
              </w:rPr>
              <w:t xml:space="preserve">Carne e pedra: </w:t>
            </w:r>
            <w:r>
              <w:rPr>
                <w:rFonts w:ascii="Times New Roman" w:hAnsi="Times New Roman" w:eastAsia="Times New Roman" w:cs="Times New Roman"/>
                <w:color w:val="000000"/>
              </w:rPr>
              <w:t>o corpo e a cidade na civilização ocidental. 4. ed. Riode Janeiro (RJ): Record 2006. 362 p. ISBN 8501046205 (broch.). Call number: 3:711.4(091) S478c (ICHS) 1997</w:t>
            </w:r>
          </w:p>
        </w:tc>
      </w:tr>
      <w:tr>
        <w:tblPrEx>
          <w:tblCellMar>
            <w:top w:w="0" w:type="dxa"/>
            <w:left w:w="22" w:type="dxa"/>
            <w:bottom w:w="0" w:type="dxa"/>
            <w:right w:w="5" w:type="dxa"/>
          </w:tblCellMar>
        </w:tblPrEx>
        <w:trPr>
          <w:trHeight w:val="3816" w:hRule="atLeast"/>
        </w:trPr>
        <w:tc>
          <w:tcPr>
            <w:tcW w:w="9021" w:type="dxa"/>
            <w:gridSpan w:val="3"/>
            <w:tcBorders>
              <w:top w:val="single" w:color="000000" w:sz="4"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5"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GONDRA, José Gonçalves. </w:t>
            </w:r>
            <w:r>
              <w:rPr>
                <w:rFonts w:ascii="Times New Roman" w:hAnsi="Times New Roman" w:eastAsia="Times New Roman" w:cs="Times New Roman"/>
                <w:b/>
                <w:color w:val="000000"/>
              </w:rPr>
              <w:t xml:space="preserve">Artes de civilizar: </w:t>
            </w:r>
            <w:r>
              <w:rPr>
                <w:rFonts w:ascii="Times New Roman" w:hAnsi="Times New Roman" w:eastAsia="Times New Roman" w:cs="Times New Roman"/>
                <w:color w:val="000000"/>
              </w:rPr>
              <w:t>medicina, higiene e educação escolar na corte imperial. Rio de Janeiro: EdUERJ 2004. Call number: 37:61 G637a (ICHS) 2004.</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3"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LAPA, José Roberto do Amaral. </w:t>
            </w:r>
            <w:r>
              <w:rPr>
                <w:rFonts w:ascii="Times New Roman" w:hAnsi="Times New Roman" w:eastAsia="Times New Roman" w:cs="Times New Roman"/>
                <w:b/>
                <w:color w:val="000000"/>
              </w:rPr>
              <w:t xml:space="preserve">A cidade: </w:t>
            </w:r>
            <w:r>
              <w:rPr>
                <w:rFonts w:ascii="Times New Roman" w:hAnsi="Times New Roman" w:eastAsia="Times New Roman" w:cs="Times New Roman"/>
                <w:color w:val="000000"/>
              </w:rPr>
              <w:t>Os cantos e os antros – Campinas1850- 1900. São Paulo: Edusp; Campinas, Unicamp, 2008.</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b/>
                <w:color w:val="000000"/>
              </w:rPr>
              <w:t xml:space="preserve">REVISTA do Patrimônio Histórico e Artístico Nacional (Cidade), </w:t>
            </w:r>
            <w:r>
              <w:rPr>
                <w:rFonts w:ascii="Times New Roman" w:hAnsi="Times New Roman" w:eastAsia="Times New Roman" w:cs="Times New Roman"/>
                <w:color w:val="000000"/>
              </w:rPr>
              <w:t>23, 1994.</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52"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HERSCHMANN, Micael; KROPF, Simone: NUNES, Clarice. </w:t>
            </w:r>
            <w:r>
              <w:rPr>
                <w:rFonts w:ascii="Times New Roman" w:hAnsi="Times New Roman" w:eastAsia="Times New Roman" w:cs="Times New Roman"/>
                <w:b/>
                <w:color w:val="000000"/>
              </w:rPr>
              <w:t>Missionários do Progresso</w:t>
            </w:r>
            <w:r>
              <w:rPr>
                <w:rFonts w:ascii="Times New Roman" w:hAnsi="Times New Roman" w:eastAsia="Times New Roman" w:cs="Times New Roman"/>
                <w:color w:val="000000"/>
              </w:rPr>
              <w:t>: Médicos, engenheiros e Educadores no Rio de Janeiro, 1870-1937. Rio de Janeiro: Diadorim, 1996.</w:t>
            </w:r>
          </w:p>
        </w:tc>
      </w:tr>
    </w:tbl>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10" w:after="1" w:line="288" w:lineRule="auto"/>
        <w:ind w:left="0" w:hanging="2"/>
        <w:rPr>
          <w:rFonts w:ascii="Times New Roman" w:hAnsi="Times New Roman" w:eastAsia="Times New Roman" w:cs="Times New Roman"/>
          <w:color w:val="000000"/>
        </w:rPr>
      </w:pPr>
    </w:p>
    <w:tbl>
      <w:tblPr>
        <w:tblStyle w:val="563"/>
        <w:tblW w:w="9021" w:type="dxa"/>
        <w:tblInd w:w="2" w:type="dxa"/>
        <w:tblLayout w:type="fixed"/>
        <w:tblCellMar>
          <w:top w:w="0" w:type="dxa"/>
          <w:left w:w="22" w:type="dxa"/>
          <w:bottom w:w="0" w:type="dxa"/>
          <w:right w:w="22" w:type="dxa"/>
        </w:tblCellMar>
      </w:tblPr>
      <w:tblGrid>
        <w:gridCol w:w="2902"/>
        <w:gridCol w:w="3121"/>
        <w:gridCol w:w="2998"/>
      </w:tblGrid>
      <w:tr>
        <w:tblPrEx>
          <w:tblCellMar>
            <w:top w:w="0" w:type="dxa"/>
            <w:left w:w="22" w:type="dxa"/>
            <w:bottom w:w="0" w:type="dxa"/>
            <w:right w:w="22" w:type="dxa"/>
          </w:tblCellMar>
        </w:tblPrEx>
        <w:trPr>
          <w:trHeight w:val="1940" w:hRule="atLeast"/>
        </w:trPr>
        <w:tc>
          <w:tcPr>
            <w:tcW w:w="6023" w:type="dxa"/>
            <w:gridSpan w:val="2"/>
            <w:tcBorders>
              <w:top w:val="single" w:color="000000" w:sz="18" w:space="0"/>
              <w:lef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w:t>
            </w:r>
          </w:p>
          <w:p>
            <w:pPr>
              <w:widowControl w:val="0"/>
              <w:pBdr>
                <w:top w:val="none" w:color="auto" w:sz="0" w:space="0"/>
                <w:left w:val="none" w:color="auto" w:sz="0" w:space="0"/>
                <w:bottom w:val="none" w:color="auto" w:sz="0" w:space="0"/>
                <w:right w:val="none" w:color="auto" w:sz="0" w:space="0"/>
                <w:between w:val="none" w:color="auto" w:sz="0" w:space="0"/>
              </w:pBdr>
              <w:spacing w:before="14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Tópicos de História do Brasil Império II</w:t>
            </w:r>
          </w:p>
          <w:p>
            <w:pPr>
              <w:widowControl w:val="0"/>
              <w:pBdr>
                <w:top w:val="none" w:color="auto" w:sz="0" w:space="0"/>
                <w:left w:val="none" w:color="auto" w:sz="0" w:space="0"/>
                <w:bottom w:val="none" w:color="auto" w:sz="0" w:space="0"/>
                <w:right w:val="none" w:color="auto" w:sz="0" w:space="0"/>
                <w:between w:val="none" w:color="auto" w:sz="0" w:space="0"/>
              </w:pBdr>
              <w:spacing w:before="5"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before="1" w:line="240" w:lineRule="auto"/>
              <w:ind w:left="0" w:right="1013"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Topics of History of Brazil Empire II</w:t>
            </w:r>
          </w:p>
        </w:tc>
        <w:tc>
          <w:tcPr>
            <w:tcW w:w="2998" w:type="dxa"/>
            <w:tcBorders>
              <w:top w:val="single" w:color="000000" w:sz="18" w:space="0"/>
              <w:left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HIS308</w:t>
            </w:r>
          </w:p>
        </w:tc>
      </w:tr>
      <w:tr>
        <w:tblPrEx>
          <w:tblCellMar>
            <w:top w:w="0" w:type="dxa"/>
            <w:left w:w="22" w:type="dxa"/>
            <w:bottom w:w="0" w:type="dxa"/>
            <w:right w:w="22" w:type="dxa"/>
          </w:tblCellMar>
        </w:tblPrEx>
        <w:trPr>
          <w:trHeight w:val="825" w:hRule="atLeast"/>
        </w:trPr>
        <w:tc>
          <w:tcPr>
            <w:tcW w:w="6023"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DEHIS</w:t>
            </w:r>
          </w:p>
        </w:tc>
        <w:tc>
          <w:tcPr>
            <w:tcW w:w="2998"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2" w:hRule="atLeast"/>
        </w:trPr>
        <w:tc>
          <w:tcPr>
            <w:tcW w:w="2902"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502"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Carga horária  semestral </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717"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3121"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2998"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02 horas/aula</w:t>
            </w:r>
          </w:p>
        </w:tc>
      </w:tr>
      <w:tr>
        <w:tblPrEx>
          <w:tblCellMar>
            <w:top w:w="0" w:type="dxa"/>
            <w:left w:w="22" w:type="dxa"/>
            <w:bottom w:w="0" w:type="dxa"/>
            <w:right w:w="22" w:type="dxa"/>
          </w:tblCellMar>
        </w:tblPrEx>
        <w:trPr>
          <w:trHeight w:val="830"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Ementa: Atividades práticas/investigativas que visem o aprofundamento de temáticas</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 natureza culturais concernentes à sociedade Brasileira do século XIX</w:t>
            </w:r>
          </w:p>
        </w:tc>
      </w:tr>
      <w:tr>
        <w:tblPrEx>
          <w:tblCellMar>
            <w:top w:w="0" w:type="dxa"/>
            <w:left w:w="22" w:type="dxa"/>
            <w:bottom w:w="0" w:type="dxa"/>
            <w:right w:w="22" w:type="dxa"/>
          </w:tblCellMar>
        </w:tblPrEx>
        <w:trPr>
          <w:trHeight w:val="2068"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numPr>
                <w:ilvl w:val="0"/>
                <w:numId w:val="67"/>
              </w:numPr>
              <w:pBdr>
                <w:top w:val="none" w:color="auto" w:sz="0" w:space="0"/>
                <w:left w:val="none" w:color="auto" w:sz="0" w:space="0"/>
                <w:bottom w:val="none" w:color="auto" w:sz="0" w:space="0"/>
                <w:right w:val="none" w:color="auto" w:sz="0" w:space="0"/>
                <w:between w:val="none" w:color="auto" w:sz="0" w:space="0"/>
              </w:pBdr>
              <w:spacing w:before="137" w:line="360" w:lineRule="auto"/>
              <w:ind w:left="0" w:right="354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Cultura e diversidade no Brasil dos oitocentos. </w:t>
            </w:r>
          </w:p>
          <w:p>
            <w:pPr>
              <w:widowControl w:val="0"/>
              <w:numPr>
                <w:ilvl w:val="0"/>
                <w:numId w:val="67"/>
              </w:numPr>
              <w:pBdr>
                <w:top w:val="none" w:color="auto" w:sz="0" w:space="0"/>
                <w:left w:val="none" w:color="auto" w:sz="0" w:space="0"/>
                <w:bottom w:val="none" w:color="auto" w:sz="0" w:space="0"/>
                <w:right w:val="none" w:color="auto" w:sz="0" w:space="0"/>
                <w:between w:val="none" w:color="auto" w:sz="0" w:space="0"/>
              </w:pBdr>
              <w:spacing w:line="360" w:lineRule="auto"/>
              <w:ind w:left="0" w:right="354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 O império através das Letras.</w:t>
            </w:r>
          </w:p>
          <w:p>
            <w:pPr>
              <w:widowControl w:val="0"/>
              <w:numPr>
                <w:ilvl w:val="0"/>
                <w:numId w:val="67"/>
              </w:numPr>
              <w:pBdr>
                <w:top w:val="none" w:color="auto" w:sz="0" w:space="0"/>
                <w:left w:val="none" w:color="auto" w:sz="0" w:space="0"/>
                <w:bottom w:val="none" w:color="auto" w:sz="0" w:space="0"/>
                <w:right w:val="none" w:color="auto" w:sz="0" w:space="0"/>
                <w:between w:val="none" w:color="auto" w:sz="0" w:space="0"/>
              </w:pBdr>
              <w:tabs>
                <w:tab w:val="left" w:pos="0"/>
                <w:tab w:val="left" w:pos="535"/>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Variações culturais na sociedade imperial</w:t>
            </w:r>
          </w:p>
          <w:p>
            <w:pPr>
              <w:widowControl w:val="0"/>
              <w:numPr>
                <w:ilvl w:val="0"/>
                <w:numId w:val="67"/>
              </w:numPr>
              <w:pBdr>
                <w:top w:val="none" w:color="auto" w:sz="0" w:space="0"/>
                <w:left w:val="none" w:color="auto" w:sz="0" w:space="0"/>
                <w:bottom w:val="none" w:color="auto" w:sz="0" w:space="0"/>
                <w:right w:val="none" w:color="auto" w:sz="0" w:space="0"/>
                <w:between w:val="none" w:color="auto" w:sz="0" w:space="0"/>
              </w:pBdr>
              <w:tabs>
                <w:tab w:val="left" w:pos="0"/>
                <w:tab w:val="left" w:pos="535"/>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Interrogando o Império através de documentos</w:t>
            </w:r>
          </w:p>
        </w:tc>
      </w:tr>
      <w:tr>
        <w:tblPrEx>
          <w:tblCellMar>
            <w:top w:w="0" w:type="dxa"/>
            <w:left w:w="22" w:type="dxa"/>
            <w:bottom w:w="0" w:type="dxa"/>
            <w:right w:w="22" w:type="dxa"/>
          </w:tblCellMar>
        </w:tblPrEx>
        <w:trPr>
          <w:trHeight w:val="3533"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CHALOUB, Sidney; PEREIRA, Leonardo Affonso de Miranda; NEVES, Margarida de Souza. </w:t>
            </w:r>
            <w:r>
              <w:rPr>
                <w:rFonts w:ascii="Times New Roman" w:hAnsi="Times New Roman" w:eastAsia="Times New Roman" w:cs="Times New Roman"/>
                <w:b/>
                <w:color w:val="000000"/>
              </w:rPr>
              <w:t xml:space="preserve">História em cousas miúdas: </w:t>
            </w:r>
            <w:r>
              <w:rPr>
                <w:rFonts w:ascii="Times New Roman" w:hAnsi="Times New Roman" w:eastAsia="Times New Roman" w:cs="Times New Roman"/>
                <w:color w:val="000000"/>
              </w:rPr>
              <w:t>capítulos de história social da crônica no Brasil. [Campinas]: UNICAMP [2005]. Call number: 82.09 H673 2005.</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5"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SCHWARCZ, Lilia Moritz. </w:t>
            </w:r>
            <w:r>
              <w:rPr>
                <w:rFonts w:ascii="Times New Roman" w:hAnsi="Times New Roman" w:eastAsia="Times New Roman" w:cs="Times New Roman"/>
                <w:b/>
                <w:color w:val="000000"/>
              </w:rPr>
              <w:t xml:space="preserve">As barbas do imperador: </w:t>
            </w:r>
            <w:r>
              <w:rPr>
                <w:rFonts w:ascii="Times New Roman" w:hAnsi="Times New Roman" w:eastAsia="Times New Roman" w:cs="Times New Roman"/>
                <w:color w:val="000000"/>
              </w:rPr>
              <w:t>D. Pedro II, um monarca nos trópicos. 2. ed. São Paulo: Companhia das Letras [2006]. Call number: 929 P372s [2006].</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3"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NEVES, Margarida de Souza; HEIZER, Alda. </w:t>
            </w:r>
            <w:r>
              <w:rPr>
                <w:rFonts w:ascii="Times New Roman" w:hAnsi="Times New Roman" w:eastAsia="Times New Roman" w:cs="Times New Roman"/>
                <w:b/>
                <w:color w:val="000000"/>
              </w:rPr>
              <w:t xml:space="preserve">A ordem e o progresso: </w:t>
            </w:r>
            <w:r>
              <w:rPr>
                <w:rFonts w:ascii="Times New Roman" w:hAnsi="Times New Roman" w:eastAsia="Times New Roman" w:cs="Times New Roman"/>
                <w:color w:val="000000"/>
              </w:rPr>
              <w:t>o Brasil de 1870 a 1910. São Paulo: Atual c1991. 97 p. Call number: 94(81).06/.075 N518o (ICHS)c1991.</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78"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DUARTE, Regina Horta. </w:t>
            </w:r>
            <w:r>
              <w:rPr>
                <w:rFonts w:ascii="Times New Roman" w:hAnsi="Times New Roman" w:eastAsia="Times New Roman" w:cs="Times New Roman"/>
                <w:b/>
                <w:color w:val="000000"/>
              </w:rPr>
              <w:t xml:space="preserve">Noites circenses: </w:t>
            </w:r>
            <w:r>
              <w:rPr>
                <w:rFonts w:ascii="Times New Roman" w:hAnsi="Times New Roman" w:eastAsia="Times New Roman" w:cs="Times New Roman"/>
                <w:color w:val="000000"/>
              </w:rPr>
              <w:t>espetáculos de circo e teatro em Minas Gerais no século XIX. Campinas, SP: UNICAMP [1995]. Call number: 791.83 D812n (ICHS) [1995].</w:t>
            </w:r>
          </w:p>
        </w:tc>
      </w:tr>
      <w:tr>
        <w:tblPrEx>
          <w:tblCellMar>
            <w:top w:w="0" w:type="dxa"/>
            <w:left w:w="22" w:type="dxa"/>
            <w:bottom w:w="0" w:type="dxa"/>
            <w:right w:w="22" w:type="dxa"/>
          </w:tblCellMar>
        </w:tblPrEx>
        <w:trPr>
          <w:trHeight w:val="3532"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8"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LAGO, Pedro Corrêa do; LAGO, Bia Corrêa do. </w:t>
            </w:r>
            <w:r>
              <w:rPr>
                <w:rFonts w:ascii="Times New Roman" w:hAnsi="Times New Roman" w:eastAsia="Times New Roman" w:cs="Times New Roman"/>
                <w:b/>
                <w:i/>
                <w:color w:val="000000"/>
              </w:rPr>
              <w:t xml:space="preserve">Coleção Princesa </w:t>
            </w:r>
            <w:r>
              <w:rPr>
                <w:rFonts w:ascii="Times New Roman" w:hAnsi="Times New Roman" w:eastAsia="Times New Roman" w:cs="Times New Roman"/>
                <w:i/>
                <w:color w:val="000000"/>
              </w:rPr>
              <w:t>I</w:t>
            </w:r>
            <w:r>
              <w:rPr>
                <w:rFonts w:ascii="Times New Roman" w:hAnsi="Times New Roman" w:eastAsia="Times New Roman" w:cs="Times New Roman"/>
                <w:color w:val="000000"/>
              </w:rPr>
              <w:t>sabel: fotografia do século XIX : a descoberta de um tesouro cultural inédito, composto de mais de mil imagens brasileiras . Rio de Janeiro: Capivara 2008. Call number: 77.03(81) L177c 2008R</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9"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RUIZ, Roberto. </w:t>
            </w:r>
            <w:r>
              <w:rPr>
                <w:rFonts w:ascii="Times New Roman" w:hAnsi="Times New Roman" w:eastAsia="Times New Roman" w:cs="Times New Roman"/>
                <w:b/>
                <w:i/>
                <w:color w:val="000000"/>
              </w:rPr>
              <w:t>Hoje tem espetáculo</w:t>
            </w:r>
            <w:r>
              <w:rPr>
                <w:rFonts w:ascii="Times New Roman" w:hAnsi="Times New Roman" w:eastAsia="Times New Roman" w:cs="Times New Roman"/>
                <w:b/>
                <w:color w:val="000000"/>
              </w:rPr>
              <w:t xml:space="preserve">? </w:t>
            </w:r>
            <w:r>
              <w:rPr>
                <w:rFonts w:ascii="Times New Roman" w:hAnsi="Times New Roman" w:eastAsia="Times New Roman" w:cs="Times New Roman"/>
                <w:color w:val="000000"/>
              </w:rPr>
              <w:t>As origens do circo no Brasil. Rio de Janeiro: INACEN [1987]. 144 p. (Memoria).Call number: 791.83(81) R934h (ICHS) [1987]</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2"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Biblioteca Nacional (Brasil). </w:t>
            </w:r>
            <w:r>
              <w:rPr>
                <w:rFonts w:ascii="Times New Roman" w:hAnsi="Times New Roman" w:eastAsia="Times New Roman" w:cs="Times New Roman"/>
                <w:b/>
                <w:i/>
                <w:color w:val="000000"/>
              </w:rPr>
              <w:t>Música no Rio de Janeiro Imperial 1822-1870</w:t>
            </w:r>
            <w:r>
              <w:rPr>
                <w:rFonts w:ascii="Times New Roman" w:hAnsi="Times New Roman" w:eastAsia="Times New Roman" w:cs="Times New Roman"/>
                <w:color w:val="000000"/>
              </w:rPr>
              <w:t>. Rio de Janeiro: Biblioteca Nacional/MEC [1962]. Call number: 016:78(81) B582m (IFAC) [19--?] R R 78(815.3):016 (ORAR) M987</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MEYER, Marlyse. Folhetim: </w:t>
            </w:r>
            <w:r>
              <w:rPr>
                <w:rFonts w:ascii="Times New Roman" w:hAnsi="Times New Roman" w:eastAsia="Times New Roman" w:cs="Times New Roman"/>
                <w:b/>
                <w:i/>
                <w:color w:val="000000"/>
              </w:rPr>
              <w:t>Uma história</w:t>
            </w:r>
            <w:r>
              <w:rPr>
                <w:rFonts w:ascii="Times New Roman" w:hAnsi="Times New Roman" w:eastAsia="Times New Roman" w:cs="Times New Roman"/>
                <w:color w:val="000000"/>
              </w:rPr>
              <w:t>. São Paulo: Cia das Letras, 2005.</w:t>
            </w:r>
          </w:p>
        </w:tc>
      </w:tr>
    </w:tbl>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tbl>
      <w:tblPr>
        <w:tblStyle w:val="564"/>
        <w:tblW w:w="9021" w:type="dxa"/>
        <w:tblInd w:w="2" w:type="dxa"/>
        <w:tblLayout w:type="fixed"/>
        <w:tblCellMar>
          <w:top w:w="0" w:type="dxa"/>
          <w:left w:w="22" w:type="dxa"/>
          <w:bottom w:w="0" w:type="dxa"/>
          <w:right w:w="22" w:type="dxa"/>
        </w:tblCellMar>
      </w:tblPr>
      <w:tblGrid>
        <w:gridCol w:w="2830"/>
        <w:gridCol w:w="3118"/>
        <w:gridCol w:w="3073"/>
      </w:tblGrid>
      <w:tr>
        <w:tblPrEx>
          <w:tblCellMar>
            <w:top w:w="0" w:type="dxa"/>
            <w:left w:w="22" w:type="dxa"/>
            <w:bottom w:w="0" w:type="dxa"/>
            <w:right w:w="22" w:type="dxa"/>
          </w:tblCellMar>
        </w:tblPrEx>
        <w:trPr>
          <w:trHeight w:val="2073" w:hRule="atLeast"/>
        </w:trPr>
        <w:tc>
          <w:tcPr>
            <w:tcW w:w="5948"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809"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Tópicos em História do Brasil Colônia I</w:t>
            </w:r>
          </w:p>
          <w:p>
            <w:pPr>
              <w:widowControl w:val="0"/>
              <w:pBdr>
                <w:top w:val="none" w:color="auto" w:sz="0" w:space="0"/>
                <w:left w:val="none" w:color="auto" w:sz="0" w:space="0"/>
                <w:bottom w:val="none" w:color="auto" w:sz="0" w:space="0"/>
                <w:right w:val="none" w:color="auto" w:sz="0" w:space="0"/>
                <w:between w:val="none" w:color="auto" w:sz="0" w:space="0"/>
              </w:pBdr>
              <w:spacing w:before="1"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885"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Topics in History of Brazil Cologne I</w:t>
            </w:r>
          </w:p>
        </w:tc>
        <w:tc>
          <w:tcPr>
            <w:tcW w:w="3073"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HIS309</w:t>
            </w:r>
          </w:p>
        </w:tc>
      </w:tr>
      <w:tr>
        <w:tblPrEx>
          <w:tblCellMar>
            <w:top w:w="0" w:type="dxa"/>
            <w:left w:w="22" w:type="dxa"/>
            <w:bottom w:w="0" w:type="dxa"/>
            <w:right w:w="22" w:type="dxa"/>
          </w:tblCellMar>
        </w:tblPrEx>
        <w:trPr>
          <w:trHeight w:val="830" w:hRule="atLeast"/>
        </w:trPr>
        <w:tc>
          <w:tcPr>
            <w:tcW w:w="5948"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Departamento de História – DEHIS</w:t>
            </w:r>
          </w:p>
        </w:tc>
        <w:tc>
          <w:tcPr>
            <w:tcW w:w="3073"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38" w:hRule="atLeast"/>
        </w:trPr>
        <w:tc>
          <w:tcPr>
            <w:tcW w:w="2830"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428"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2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3118"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3073"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02 horas/aula</w:t>
            </w:r>
          </w:p>
        </w:tc>
      </w:tr>
      <w:tr>
        <w:tblPrEx>
          <w:tblCellMar>
            <w:top w:w="0" w:type="dxa"/>
            <w:left w:w="22" w:type="dxa"/>
            <w:bottom w:w="0" w:type="dxa"/>
            <w:right w:w="22" w:type="dxa"/>
          </w:tblCellMar>
        </w:tblPrEx>
        <w:trPr>
          <w:trHeight w:val="830"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Ementa: </w:t>
            </w:r>
            <w:r>
              <w:rPr>
                <w:rFonts w:ascii="Times New Roman" w:hAnsi="Times New Roman" w:eastAsia="Times New Roman" w:cs="Times New Roman"/>
                <w:color w:val="212121"/>
              </w:rPr>
              <w:t>Atividades práticas/investigativas em arquivos físicos e virtuais, acerca de</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212121"/>
              </w:rPr>
              <w:t>temáticas diversas concernentes à América portuguesa.</w:t>
            </w:r>
          </w:p>
        </w:tc>
      </w:tr>
      <w:tr>
        <w:tblPrEx>
          <w:tblCellMar>
            <w:top w:w="0" w:type="dxa"/>
            <w:left w:w="22" w:type="dxa"/>
            <w:bottom w:w="0" w:type="dxa"/>
            <w:right w:w="22" w:type="dxa"/>
          </w:tblCellMar>
        </w:tblPrEx>
        <w:trPr>
          <w:trHeight w:val="2523"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numPr>
                <w:ilvl w:val="0"/>
                <w:numId w:val="68"/>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 A natureza e o processo da construção do conhecimento histórico.</w:t>
            </w:r>
          </w:p>
          <w:p>
            <w:pPr>
              <w:widowControl w:val="0"/>
              <w:numPr>
                <w:ilvl w:val="0"/>
                <w:numId w:val="68"/>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 Arquivos físicos e virtuais: Fontes e possibilidades de pesquisa.</w:t>
            </w:r>
          </w:p>
          <w:p>
            <w:pPr>
              <w:widowControl w:val="0"/>
              <w:numPr>
                <w:ilvl w:val="0"/>
                <w:numId w:val="68"/>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 Definir e refinar objetos e objetivos.</w:t>
            </w:r>
          </w:p>
          <w:p>
            <w:pPr>
              <w:widowControl w:val="0"/>
              <w:numPr>
                <w:ilvl w:val="0"/>
                <w:numId w:val="68"/>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 Definir e desenvolver problemáticas e hipóteses.</w:t>
            </w:r>
          </w:p>
          <w:p>
            <w:pPr>
              <w:widowControl w:val="0"/>
              <w:numPr>
                <w:ilvl w:val="0"/>
                <w:numId w:val="68"/>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line="360" w:lineRule="auto"/>
              <w:ind w:left="0" w:right="61"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 Redigir e/ou desenvolver projetos de pesquisa acerca da América portuguesa.</w:t>
            </w:r>
          </w:p>
        </w:tc>
      </w:tr>
      <w:tr>
        <w:tblPrEx>
          <w:tblCellMar>
            <w:top w:w="0" w:type="dxa"/>
            <w:left w:w="22" w:type="dxa"/>
            <w:bottom w:w="0" w:type="dxa"/>
            <w:right w:w="22" w:type="dxa"/>
          </w:tblCellMar>
        </w:tblPrEx>
        <w:trPr>
          <w:trHeight w:val="2070"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tabs>
                <w:tab w:val="left" w:pos="6887"/>
              </w:tabs>
              <w:spacing w:line="360" w:lineRule="auto"/>
              <w:ind w:left="0" w:right="66" w:hanging="2"/>
              <w:rPr>
                <w:rFonts w:ascii="Times New Roman" w:hAnsi="Times New Roman" w:eastAsia="Times New Roman" w:cs="Times New Roman"/>
                <w:color w:val="000000"/>
              </w:rPr>
            </w:pPr>
            <w:r>
              <w:rPr>
                <w:rFonts w:ascii="Times New Roman" w:hAnsi="Times New Roman" w:eastAsia="Times New Roman" w:cs="Times New Roman"/>
                <w:color w:val="000000"/>
              </w:rPr>
              <w:t>CERTEAU,  Michel.  “A Operação Historiográfica”.In.</w:t>
            </w:r>
            <w:r>
              <w:rPr>
                <w:rFonts w:ascii="Times New Roman" w:hAnsi="Times New Roman" w:eastAsia="Times New Roman" w:cs="Times New Roman"/>
                <w:color w:val="000000"/>
                <w:u w:val="single"/>
              </w:rPr>
              <w:tab/>
            </w:r>
            <w:r>
              <w:rPr>
                <w:rFonts w:ascii="Times New Roman" w:hAnsi="Times New Roman" w:eastAsia="Times New Roman" w:cs="Times New Roman"/>
                <w:color w:val="000000"/>
              </w:rPr>
              <w:t xml:space="preserve">. </w:t>
            </w:r>
            <w:r>
              <w:rPr>
                <w:rFonts w:ascii="Times New Roman" w:hAnsi="Times New Roman" w:eastAsia="Times New Roman" w:cs="Times New Roman"/>
                <w:b/>
                <w:color w:val="000000"/>
              </w:rPr>
              <w:t>A Escrita da história. Rio de Janeiro: Forense Universitária,1982.</w:t>
            </w: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CARDOSO, Ciro Flamarion. </w:t>
            </w:r>
            <w:r>
              <w:rPr>
                <w:rFonts w:ascii="Times New Roman" w:hAnsi="Times New Roman" w:eastAsia="Times New Roman" w:cs="Times New Roman"/>
                <w:b/>
                <w:color w:val="000000"/>
              </w:rPr>
              <w:t>Um Historiador fala de Teoria e Metodologia</w:t>
            </w:r>
            <w:r>
              <w:rPr>
                <w:rFonts w:ascii="Times New Roman" w:hAnsi="Times New Roman" w:eastAsia="Times New Roman" w:cs="Times New Roman"/>
                <w:color w:val="000000"/>
              </w:rPr>
              <w:t>. Bauru: Edusc, 2005.</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RICOUER, Paul. </w:t>
            </w:r>
            <w:r>
              <w:rPr>
                <w:rFonts w:ascii="Times New Roman" w:hAnsi="Times New Roman" w:eastAsia="Times New Roman" w:cs="Times New Roman"/>
                <w:b/>
                <w:color w:val="000000"/>
              </w:rPr>
              <w:t xml:space="preserve">A memória, a história e o esquecimento. </w:t>
            </w:r>
            <w:r>
              <w:rPr>
                <w:rFonts w:ascii="Times New Roman" w:hAnsi="Times New Roman" w:eastAsia="Times New Roman" w:cs="Times New Roman"/>
                <w:color w:val="000000"/>
              </w:rPr>
              <w:t>Campinas: Editora Unicamp, 2007.</w:t>
            </w:r>
          </w:p>
        </w:tc>
      </w:tr>
      <w:tr>
        <w:tblPrEx>
          <w:tblCellMar>
            <w:top w:w="0" w:type="dxa"/>
            <w:left w:w="22" w:type="dxa"/>
            <w:bottom w:w="0" w:type="dxa"/>
            <w:right w:w="22" w:type="dxa"/>
          </w:tblCellMar>
        </w:tblPrEx>
        <w:trPr>
          <w:trHeight w:val="2070"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4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ANSART, Pierre.</w:t>
            </w:r>
            <w:r>
              <w:rPr>
                <w:rFonts w:ascii="Times New Roman" w:hAnsi="Times New Roman" w:eastAsia="Times New Roman" w:cs="Times New Roman"/>
                <w:b/>
                <w:color w:val="000000"/>
              </w:rPr>
              <w:t>Memória e (res)sentimento: indagações sobre uma questão sensível</w:t>
            </w:r>
            <w:r>
              <w:rPr>
                <w:rFonts w:ascii="Times New Roman" w:hAnsi="Times New Roman" w:eastAsia="Times New Roman" w:cs="Times New Roman"/>
                <w:i/>
                <w:color w:val="000000"/>
              </w:rPr>
              <w:t xml:space="preserve">. </w:t>
            </w:r>
            <w:r>
              <w:rPr>
                <w:rFonts w:ascii="Times New Roman" w:hAnsi="Times New Roman" w:eastAsia="Times New Roman" w:cs="Times New Roman"/>
                <w:color w:val="000000"/>
              </w:rPr>
              <w:t>Campinas. São Paulo. Editora da Unicamp. 2001.</w:t>
            </w:r>
          </w:p>
          <w:p>
            <w:pPr>
              <w:widowControl w:val="0"/>
              <w:pBdr>
                <w:top w:val="none" w:color="auto" w:sz="0" w:space="0"/>
                <w:left w:val="none" w:color="auto" w:sz="0" w:space="0"/>
                <w:bottom w:val="none" w:color="auto" w:sz="0" w:space="0"/>
                <w:right w:val="none" w:color="auto" w:sz="0" w:space="0"/>
                <w:between w:val="none" w:color="auto" w:sz="0" w:space="0"/>
              </w:pBdr>
              <w:spacing w:before="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BARROS, José D’Assunção. </w:t>
            </w:r>
            <w:r>
              <w:rPr>
                <w:rFonts w:ascii="Times New Roman" w:hAnsi="Times New Roman" w:eastAsia="Times New Roman" w:cs="Times New Roman"/>
                <w:b/>
                <w:color w:val="000000"/>
              </w:rPr>
              <w:t>O Campo da História: especialidades e Abordagens</w:t>
            </w:r>
            <w:r>
              <w:rPr>
                <w:rFonts w:ascii="Times New Roman" w:hAnsi="Times New Roman" w:eastAsia="Times New Roman" w:cs="Times New Roman"/>
                <w:i/>
                <w:color w:val="000000"/>
              </w:rPr>
              <w:t>.</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Petrópolis, Rj: Vozes, 2011.</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before="9"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47"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BARROS, José D’Assunção. </w:t>
            </w:r>
            <w:r>
              <w:rPr>
                <w:rFonts w:ascii="Times New Roman" w:hAnsi="Times New Roman" w:eastAsia="Times New Roman" w:cs="Times New Roman"/>
                <w:b/>
                <w:color w:val="000000"/>
              </w:rPr>
              <w:t xml:space="preserve">O projeto de Pesquisa em História: </w:t>
            </w:r>
            <w:r>
              <w:rPr>
                <w:rFonts w:ascii="Times New Roman" w:hAnsi="Times New Roman" w:eastAsia="Times New Roman" w:cs="Times New Roman"/>
                <w:color w:val="000000"/>
              </w:rPr>
              <w:t>da escolha do tema ao quadro teórico. Petrópolis/RJ: Editora Vozes, 2005.</w:t>
            </w: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right="486"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CARDOSO, C. F. &amp; VAINFAS, R. (org.) </w:t>
            </w:r>
            <w:r>
              <w:rPr>
                <w:rFonts w:ascii="Times New Roman" w:hAnsi="Times New Roman" w:eastAsia="Times New Roman" w:cs="Times New Roman"/>
                <w:b/>
                <w:color w:val="000000"/>
              </w:rPr>
              <w:t xml:space="preserve">Domínios da História, </w:t>
            </w:r>
            <w:r>
              <w:rPr>
                <w:rFonts w:ascii="Times New Roman" w:hAnsi="Times New Roman" w:eastAsia="Times New Roman" w:cs="Times New Roman"/>
                <w:color w:val="000000"/>
              </w:rPr>
              <w:t>Rio de Janeiro: Campus, 1997.</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FEBREVE, Lucien. </w:t>
            </w:r>
            <w:r>
              <w:rPr>
                <w:rFonts w:ascii="Times New Roman" w:hAnsi="Times New Roman" w:eastAsia="Times New Roman" w:cs="Times New Roman"/>
                <w:b/>
                <w:color w:val="000000"/>
              </w:rPr>
              <w:t xml:space="preserve">Olhares sobre a História. </w:t>
            </w:r>
            <w:r>
              <w:rPr>
                <w:rFonts w:ascii="Times New Roman" w:hAnsi="Times New Roman" w:eastAsia="Times New Roman" w:cs="Times New Roman"/>
                <w:color w:val="000000"/>
              </w:rPr>
              <w:t>Lisboa: Editora Asa, 1996.</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GINZBURG, Carlo. </w:t>
            </w:r>
            <w:r>
              <w:rPr>
                <w:rFonts w:ascii="Times New Roman" w:hAnsi="Times New Roman" w:eastAsia="Times New Roman" w:cs="Times New Roman"/>
                <w:b/>
                <w:color w:val="000000"/>
              </w:rPr>
              <w:t xml:space="preserve">O fio e os rastros: </w:t>
            </w:r>
            <w:r>
              <w:rPr>
                <w:rFonts w:ascii="Times New Roman" w:hAnsi="Times New Roman" w:eastAsia="Times New Roman" w:cs="Times New Roman"/>
                <w:color w:val="000000"/>
              </w:rPr>
              <w:t>verdadeiro, falso, fictício. São Paulo: Companhia das letras, 2007.</w:t>
            </w:r>
          </w:p>
        </w:tc>
      </w:tr>
    </w:tbl>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tbl>
      <w:tblPr>
        <w:tblStyle w:val="565"/>
        <w:tblW w:w="9021" w:type="dxa"/>
        <w:tblInd w:w="2" w:type="dxa"/>
        <w:tblLayout w:type="fixed"/>
        <w:tblCellMar>
          <w:top w:w="0" w:type="dxa"/>
          <w:left w:w="22" w:type="dxa"/>
          <w:bottom w:w="0" w:type="dxa"/>
          <w:right w:w="5" w:type="dxa"/>
        </w:tblCellMar>
      </w:tblPr>
      <w:tblGrid>
        <w:gridCol w:w="2756"/>
        <w:gridCol w:w="3123"/>
        <w:gridCol w:w="3142"/>
      </w:tblGrid>
      <w:tr>
        <w:tblPrEx>
          <w:tblCellMar>
            <w:top w:w="0" w:type="dxa"/>
            <w:left w:w="22" w:type="dxa"/>
            <w:bottom w:w="0" w:type="dxa"/>
            <w:right w:w="5" w:type="dxa"/>
          </w:tblCellMar>
        </w:tblPrEx>
        <w:trPr>
          <w:trHeight w:val="2068" w:hRule="atLeast"/>
        </w:trPr>
        <w:tc>
          <w:tcPr>
            <w:tcW w:w="5879"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318"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Tópicos em História do Brasil Colônia II</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531"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Topics in History of Brazil Cologne II</w:t>
            </w:r>
          </w:p>
        </w:tc>
        <w:tc>
          <w:tcPr>
            <w:tcW w:w="3142"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HIS310</w:t>
            </w:r>
          </w:p>
        </w:tc>
      </w:tr>
      <w:tr>
        <w:tblPrEx>
          <w:tblCellMar>
            <w:top w:w="0" w:type="dxa"/>
            <w:left w:w="22" w:type="dxa"/>
            <w:bottom w:w="0" w:type="dxa"/>
            <w:right w:w="5" w:type="dxa"/>
          </w:tblCellMar>
        </w:tblPrEx>
        <w:trPr>
          <w:trHeight w:val="830" w:hRule="atLeast"/>
        </w:trPr>
        <w:tc>
          <w:tcPr>
            <w:tcW w:w="5879"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w:t>
            </w:r>
          </w:p>
          <w:p>
            <w:pPr>
              <w:widowControl w:val="0"/>
              <w:pBdr>
                <w:top w:val="none" w:color="auto" w:sz="0" w:space="0"/>
                <w:left w:val="none" w:color="auto" w:sz="0" w:space="0"/>
                <w:bottom w:val="none" w:color="auto" w:sz="0" w:space="0"/>
                <w:right w:val="none" w:color="auto" w:sz="0" w:space="0"/>
                <w:between w:val="none" w:color="auto" w:sz="0" w:space="0"/>
              </w:pBdr>
              <w:spacing w:before="14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Departamento de História - DEHIS</w:t>
            </w:r>
          </w:p>
        </w:tc>
        <w:tc>
          <w:tcPr>
            <w:tcW w:w="3142"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5" w:type="dxa"/>
          </w:tblCellMar>
        </w:tblPrEx>
        <w:trPr>
          <w:trHeight w:val="1243" w:hRule="atLeast"/>
        </w:trPr>
        <w:tc>
          <w:tcPr>
            <w:tcW w:w="2756"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348"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353"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3123"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04horas/aula</w:t>
            </w:r>
          </w:p>
        </w:tc>
        <w:tc>
          <w:tcPr>
            <w:tcW w:w="3142"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 02 horas/aula</w:t>
            </w:r>
          </w:p>
        </w:tc>
      </w:tr>
      <w:tr>
        <w:tblPrEx>
          <w:tblCellMar>
            <w:top w:w="0" w:type="dxa"/>
            <w:left w:w="22" w:type="dxa"/>
            <w:bottom w:w="0" w:type="dxa"/>
            <w:right w:w="5" w:type="dxa"/>
          </w:tblCellMar>
        </w:tblPrEx>
        <w:trPr>
          <w:trHeight w:val="412"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Ementa: </w:t>
            </w:r>
            <w:r>
              <w:rPr>
                <w:rFonts w:ascii="Times New Roman" w:hAnsi="Times New Roman" w:eastAsia="Times New Roman" w:cs="Times New Roman"/>
                <w:color w:val="212121"/>
              </w:rPr>
              <w:t>Estudo de temáticas socioculturais sobre História da América Portuguesa.</w:t>
            </w:r>
          </w:p>
        </w:tc>
      </w:tr>
      <w:tr>
        <w:tblPrEx>
          <w:tblCellMar>
            <w:top w:w="0" w:type="dxa"/>
            <w:left w:w="22" w:type="dxa"/>
            <w:bottom w:w="0" w:type="dxa"/>
            <w:right w:w="5" w:type="dxa"/>
          </w:tblCellMar>
        </w:tblPrEx>
        <w:trPr>
          <w:trHeight w:val="1448"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numPr>
                <w:ilvl w:val="0"/>
                <w:numId w:val="69"/>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Conectando mundos: dinâmicas da circulação.</w:t>
            </w:r>
          </w:p>
          <w:p>
            <w:pPr>
              <w:widowControl w:val="0"/>
              <w:numPr>
                <w:ilvl w:val="0"/>
                <w:numId w:val="69"/>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Decifrando mundos: conhecer e dominar.</w:t>
            </w:r>
          </w:p>
          <w:p>
            <w:pPr>
              <w:widowControl w:val="0"/>
              <w:numPr>
                <w:ilvl w:val="0"/>
                <w:numId w:val="69"/>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Povo, população e agentes da colonização.</w:t>
            </w:r>
          </w:p>
          <w:p>
            <w:pPr>
              <w:widowControl w:val="0"/>
              <w:numPr>
                <w:ilvl w:val="0"/>
                <w:numId w:val="69"/>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Culto, cultivo, cultura.</w:t>
            </w:r>
          </w:p>
          <w:p>
            <w:pPr>
              <w:widowControl w:val="0"/>
              <w:numPr>
                <w:ilvl w:val="0"/>
                <w:numId w:val="69"/>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Educar e instruir: lugares e </w:t>
            </w:r>
            <w:r>
              <w:rPr>
                <w:rFonts w:ascii="Times New Roman" w:hAnsi="Times New Roman" w:eastAsia="Times New Roman" w:cs="Times New Roman"/>
              </w:rPr>
              <w:t>práticas</w:t>
            </w:r>
            <w:r>
              <w:rPr>
                <w:rFonts w:ascii="Times New Roman" w:hAnsi="Times New Roman" w:eastAsia="Times New Roman" w:cs="Times New Roman"/>
                <w:color w:val="000000"/>
              </w:rPr>
              <w:t xml:space="preserve"> de circulação de saberes.</w:t>
            </w:r>
          </w:p>
          <w:p>
            <w:pPr>
              <w:widowControl w:val="0"/>
              <w:numPr>
                <w:ilvl w:val="0"/>
                <w:numId w:val="69"/>
              </w:numPr>
              <w:pBdr>
                <w:top w:val="none" w:color="auto" w:sz="0" w:space="0"/>
                <w:left w:val="none" w:color="auto" w:sz="0" w:space="0"/>
                <w:bottom w:val="none" w:color="auto" w:sz="0" w:space="0"/>
                <w:right w:val="none" w:color="auto" w:sz="0" w:space="0"/>
                <w:between w:val="none" w:color="auto" w:sz="0" w:space="0"/>
              </w:pBdr>
              <w:tabs>
                <w:tab w:val="left" w:pos="0"/>
                <w:tab w:val="left" w:pos="832"/>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Fontes e possibilidades de pesquisa.</w:t>
            </w:r>
          </w:p>
        </w:tc>
      </w:tr>
      <w:tr>
        <w:tblPrEx>
          <w:tblCellMar>
            <w:top w:w="0" w:type="dxa"/>
            <w:left w:w="22" w:type="dxa"/>
            <w:bottom w:w="0" w:type="dxa"/>
            <w:right w:w="5" w:type="dxa"/>
          </w:tblCellMar>
        </w:tblPrEx>
        <w:trPr>
          <w:trHeight w:val="1447"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9"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BOSI, Alfredo. </w:t>
            </w:r>
            <w:r>
              <w:rPr>
                <w:rFonts w:ascii="Times New Roman" w:hAnsi="Times New Roman" w:eastAsia="Times New Roman" w:cs="Times New Roman"/>
                <w:b/>
                <w:color w:val="000000"/>
              </w:rPr>
              <w:t xml:space="preserve">Dialética da Colonização. </w:t>
            </w:r>
            <w:r>
              <w:rPr>
                <w:rFonts w:ascii="Times New Roman" w:hAnsi="Times New Roman" w:eastAsia="Times New Roman" w:cs="Times New Roman"/>
                <w:color w:val="000000"/>
              </w:rPr>
              <w:t>3.ed. São Paulo: Companhia das Letras, 1992.</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9"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RUSSELL-WOOD, A. J.R. </w:t>
            </w:r>
            <w:r>
              <w:rPr>
                <w:rFonts w:ascii="Times New Roman" w:hAnsi="Times New Roman" w:eastAsia="Times New Roman" w:cs="Times New Roman"/>
                <w:i/>
                <w:color w:val="000000"/>
              </w:rPr>
              <w:t>Histórias do Atlântico português.</w:t>
            </w:r>
            <w:r>
              <w:rPr>
                <w:rFonts w:ascii="Times New Roman" w:hAnsi="Times New Roman" w:eastAsia="Times New Roman" w:cs="Times New Roman"/>
                <w:color w:val="000000"/>
              </w:rPr>
              <w:t>1.ed. São Paulo: Editora Unesp, 2014.</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NOVAIS, Fernando. </w:t>
            </w:r>
            <w:r>
              <w:rPr>
                <w:rFonts w:ascii="Times New Roman" w:hAnsi="Times New Roman" w:eastAsia="Times New Roman" w:cs="Times New Roman"/>
                <w:b/>
                <w:color w:val="000000"/>
              </w:rPr>
              <w:t>Aproximações: estudos de história e historiografia</w:t>
            </w:r>
            <w:r>
              <w:rPr>
                <w:rFonts w:ascii="Times New Roman" w:hAnsi="Times New Roman" w:eastAsia="Times New Roman" w:cs="Times New Roman"/>
                <w:i/>
                <w:color w:val="000000"/>
              </w:rPr>
              <w:t xml:space="preserve">. </w:t>
            </w:r>
            <w:r>
              <w:rPr>
                <w:rFonts w:ascii="Times New Roman" w:hAnsi="Times New Roman" w:eastAsia="Times New Roman" w:cs="Times New Roman"/>
                <w:color w:val="000000"/>
              </w:rPr>
              <w:t>São Paulo: Cosac Naify, 2005.</w:t>
            </w:r>
          </w:p>
        </w:tc>
      </w:tr>
      <w:tr>
        <w:tblPrEx>
          <w:tblCellMar>
            <w:top w:w="0" w:type="dxa"/>
            <w:left w:w="22" w:type="dxa"/>
            <w:bottom w:w="0" w:type="dxa"/>
            <w:right w:w="5" w:type="dxa"/>
          </w:tblCellMar>
        </w:tblPrEx>
        <w:trPr>
          <w:trHeight w:val="1656"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GILROY, Paul.</w:t>
            </w:r>
            <w:r>
              <w:rPr>
                <w:rFonts w:ascii="Times New Roman" w:hAnsi="Times New Roman" w:eastAsia="Times New Roman" w:cs="Times New Roman"/>
                <w:b/>
                <w:color w:val="000000"/>
              </w:rPr>
              <w:t xml:space="preserve">O Atlântico Negro: </w:t>
            </w:r>
            <w:r>
              <w:rPr>
                <w:rFonts w:ascii="Times New Roman" w:hAnsi="Times New Roman" w:eastAsia="Times New Roman" w:cs="Times New Roman"/>
                <w:color w:val="000000"/>
              </w:rPr>
              <w:t>Modernidade e dupla consciência. Rio de Janeiro: Editora 34, 2001.</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2"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RUSSELL-WOOD, A. J.R. </w:t>
            </w:r>
            <w:r>
              <w:rPr>
                <w:rFonts w:ascii="Times New Roman" w:hAnsi="Times New Roman" w:eastAsia="Times New Roman" w:cs="Times New Roman"/>
                <w:b/>
                <w:color w:val="000000"/>
              </w:rPr>
              <w:t xml:space="preserve">Um mundo em movimento: </w:t>
            </w:r>
            <w:r>
              <w:rPr>
                <w:rFonts w:ascii="Times New Roman" w:hAnsi="Times New Roman" w:eastAsia="Times New Roman" w:cs="Times New Roman"/>
                <w:color w:val="000000"/>
              </w:rPr>
              <w:t>os portugueses na África, Ásia e América (1415-1808). Algés (Portugal): Difel, 1998.</w:t>
            </w: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right="6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FARIA, Sheila de Castro. </w:t>
            </w:r>
            <w:r>
              <w:rPr>
                <w:rFonts w:ascii="Times New Roman" w:hAnsi="Times New Roman" w:eastAsia="Times New Roman" w:cs="Times New Roman"/>
                <w:b/>
                <w:color w:val="000000"/>
              </w:rPr>
              <w:t xml:space="preserve">A colônia em movimento: </w:t>
            </w:r>
            <w:r>
              <w:rPr>
                <w:rFonts w:ascii="Times New Roman" w:hAnsi="Times New Roman" w:eastAsia="Times New Roman" w:cs="Times New Roman"/>
                <w:color w:val="000000"/>
              </w:rPr>
              <w:t>fortuna e família no cotidiano colonial. Rio de Janeiro: Nova Fronteira, 1998.</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3"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SILVA, Maria Beatriz Nizza. </w:t>
            </w:r>
            <w:r>
              <w:rPr>
                <w:rFonts w:ascii="Times New Roman" w:hAnsi="Times New Roman" w:eastAsia="Times New Roman" w:cs="Times New Roman"/>
                <w:b/>
                <w:color w:val="000000"/>
              </w:rPr>
              <w:t>Cultura letrada e cultura da oralidade no Brasil</w:t>
            </w:r>
            <w:r>
              <w:rPr>
                <w:rFonts w:ascii="Times New Roman" w:hAnsi="Times New Roman" w:eastAsia="Times New Roman" w:cs="Times New Roman"/>
                <w:i/>
                <w:color w:val="000000"/>
              </w:rPr>
              <w:t xml:space="preserve">; </w:t>
            </w:r>
            <w:r>
              <w:rPr>
                <w:rFonts w:ascii="Times New Roman" w:hAnsi="Times New Roman" w:eastAsia="Times New Roman" w:cs="Times New Roman"/>
                <w:color w:val="000000"/>
              </w:rPr>
              <w:t>do fim do séc. XVIII e início do XIX. Coimbra: Faculdade de Letras da Universidade de Coimbra/Instituto de História Econômica e Social,1999.</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3"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FRAGOSO, João; BICALHO, Maria Fernanda; GOUVÊA, Maria de Fátima. </w:t>
            </w:r>
            <w:r>
              <w:rPr>
                <w:rFonts w:ascii="Times New Roman" w:hAnsi="Times New Roman" w:eastAsia="Times New Roman" w:cs="Times New Roman"/>
                <w:b/>
                <w:color w:val="000000"/>
              </w:rPr>
              <w:t xml:space="preserve">O Antigo Regime nos Trópicos: a dinâmica imperial portuguesa (séculos XVI- XVIII). </w:t>
            </w:r>
            <w:r>
              <w:rPr>
                <w:rFonts w:ascii="Times New Roman" w:hAnsi="Times New Roman" w:eastAsia="Times New Roman" w:cs="Times New Roman"/>
                <w:color w:val="000000"/>
              </w:rPr>
              <w:t>Rio de Janeiro: Civilização Brasileira: 2001.</w:t>
            </w:r>
          </w:p>
        </w:tc>
      </w:tr>
    </w:tbl>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tbl>
      <w:tblPr>
        <w:tblStyle w:val="566"/>
        <w:tblW w:w="9021" w:type="dxa"/>
        <w:tblInd w:w="2" w:type="dxa"/>
        <w:tblLayout w:type="fixed"/>
        <w:tblCellMar>
          <w:top w:w="0" w:type="dxa"/>
          <w:left w:w="22" w:type="dxa"/>
          <w:bottom w:w="0" w:type="dxa"/>
          <w:right w:w="5" w:type="dxa"/>
        </w:tblCellMar>
      </w:tblPr>
      <w:tblGrid>
        <w:gridCol w:w="2756"/>
        <w:gridCol w:w="3123"/>
        <w:gridCol w:w="3142"/>
      </w:tblGrid>
      <w:tr>
        <w:tblPrEx>
          <w:tblCellMar>
            <w:top w:w="0" w:type="dxa"/>
            <w:left w:w="22" w:type="dxa"/>
            <w:bottom w:w="0" w:type="dxa"/>
            <w:right w:w="5" w:type="dxa"/>
          </w:tblCellMar>
        </w:tblPrEx>
        <w:trPr>
          <w:trHeight w:val="2068" w:hRule="atLeast"/>
        </w:trPr>
        <w:tc>
          <w:tcPr>
            <w:tcW w:w="5879"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531"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Nome do Componente Curricular em português: Histórias Indígenas na América Hispânica </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531"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531"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Indigenous Histories in Hispanic América</w:t>
            </w:r>
          </w:p>
        </w:tc>
        <w:tc>
          <w:tcPr>
            <w:tcW w:w="3142"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HIS311</w:t>
            </w:r>
          </w:p>
        </w:tc>
      </w:tr>
      <w:tr>
        <w:tblPrEx>
          <w:tblCellMar>
            <w:top w:w="0" w:type="dxa"/>
            <w:left w:w="22" w:type="dxa"/>
            <w:bottom w:w="0" w:type="dxa"/>
            <w:right w:w="5" w:type="dxa"/>
          </w:tblCellMar>
        </w:tblPrEx>
        <w:trPr>
          <w:trHeight w:val="830" w:hRule="atLeast"/>
        </w:trPr>
        <w:tc>
          <w:tcPr>
            <w:tcW w:w="5879"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w:t>
            </w:r>
          </w:p>
          <w:p>
            <w:pPr>
              <w:widowControl w:val="0"/>
              <w:pBdr>
                <w:top w:val="none" w:color="auto" w:sz="0" w:space="0"/>
                <w:left w:val="none" w:color="auto" w:sz="0" w:space="0"/>
                <w:bottom w:val="none" w:color="auto" w:sz="0" w:space="0"/>
                <w:right w:val="none" w:color="auto" w:sz="0" w:space="0"/>
                <w:between w:val="none" w:color="auto" w:sz="0" w:space="0"/>
              </w:pBdr>
              <w:spacing w:before="14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Departamento de História - DEHIS</w:t>
            </w:r>
          </w:p>
        </w:tc>
        <w:tc>
          <w:tcPr>
            <w:tcW w:w="3142"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5" w:type="dxa"/>
          </w:tblCellMar>
        </w:tblPrEx>
        <w:trPr>
          <w:trHeight w:val="1243" w:hRule="atLeast"/>
        </w:trPr>
        <w:tc>
          <w:tcPr>
            <w:tcW w:w="2756"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348"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353"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3123"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04horas/aula</w:t>
            </w:r>
          </w:p>
        </w:tc>
        <w:tc>
          <w:tcPr>
            <w:tcW w:w="3142"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 02 horas/aula</w:t>
            </w:r>
          </w:p>
        </w:tc>
      </w:tr>
      <w:tr>
        <w:tblPrEx>
          <w:tblCellMar>
            <w:top w:w="0" w:type="dxa"/>
            <w:left w:w="22" w:type="dxa"/>
            <w:bottom w:w="0" w:type="dxa"/>
            <w:right w:w="5" w:type="dxa"/>
          </w:tblCellMar>
        </w:tblPrEx>
        <w:trPr>
          <w:trHeight w:val="412"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Reflexão sobre temas que envolvem a construção de histórias indígenas na América Latina, particularmente na América Hispânica, com ênfase nas interpretações elaboradas por pessoas dos e sobre os seguintes povos: mapuche, guaranis, aimara, quechuas/kichwa, chibcha, maya e nahua. As populações indígenas como personagens dinâmicas, ativas e construtoras de suas histórias.</w:t>
            </w:r>
          </w:p>
        </w:tc>
      </w:tr>
      <w:tr>
        <w:tblPrEx>
          <w:tblCellMar>
            <w:top w:w="0" w:type="dxa"/>
            <w:left w:w="22" w:type="dxa"/>
            <w:bottom w:w="0" w:type="dxa"/>
            <w:right w:w="5" w:type="dxa"/>
          </w:tblCellMar>
        </w:tblPrEx>
        <w:trPr>
          <w:trHeight w:val="407"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Conteúdo programático: </w:t>
            </w:r>
          </w:p>
          <w:p>
            <w:pPr>
              <w:widowControl w:val="0"/>
              <w:numPr>
                <w:ilvl w:val="0"/>
                <w:numId w:val="70"/>
              </w:num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Povos indígenas e políticas indigenistas: diferentes abordagens historiográficas.</w:t>
            </w:r>
          </w:p>
          <w:p>
            <w:pPr>
              <w:widowControl w:val="0"/>
              <w:numPr>
                <w:ilvl w:val="0"/>
                <w:numId w:val="70"/>
              </w:num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  Histórias indígenas e “etnohistória”. </w:t>
            </w:r>
          </w:p>
          <w:p>
            <w:pPr>
              <w:widowControl w:val="0"/>
              <w:numPr>
                <w:ilvl w:val="0"/>
                <w:numId w:val="70"/>
              </w:num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Pluralização de narrativas históricas. </w:t>
            </w:r>
          </w:p>
          <w:p>
            <w:pPr>
              <w:widowControl w:val="0"/>
              <w:numPr>
                <w:ilvl w:val="0"/>
                <w:numId w:val="70"/>
              </w:num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 Memórias subterrâneas e memórias dissidentes. </w:t>
            </w:r>
          </w:p>
          <w:p>
            <w:pPr>
              <w:widowControl w:val="0"/>
              <w:numPr>
                <w:ilvl w:val="0"/>
                <w:numId w:val="70"/>
              </w:num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 Novas epistemologias em/sobre narrativas indígenas. </w:t>
            </w:r>
          </w:p>
          <w:p>
            <w:pPr>
              <w:widowControl w:val="0"/>
              <w:numPr>
                <w:ilvl w:val="0"/>
                <w:numId w:val="70"/>
              </w:num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 História de conflitos interétnicos. </w:t>
            </w:r>
          </w:p>
          <w:p>
            <w:pPr>
              <w:widowControl w:val="0"/>
              <w:numPr>
                <w:ilvl w:val="0"/>
                <w:numId w:val="70"/>
              </w:num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 Memória coletiva e subjetividades ameríndias.</w:t>
            </w:r>
          </w:p>
          <w:p>
            <w:pPr>
              <w:widowControl w:val="0"/>
              <w:numPr>
                <w:ilvl w:val="0"/>
                <w:numId w:val="70"/>
              </w:num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  Memória/História e suas interseccionalidades.</w:t>
            </w:r>
          </w:p>
          <w:p>
            <w:pPr>
              <w:widowControl w:val="0"/>
              <w:numPr>
                <w:ilvl w:val="0"/>
                <w:numId w:val="70"/>
              </w:num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  Universidades interculturais. </w:t>
            </w:r>
          </w:p>
          <w:p>
            <w:pPr>
              <w:widowControl w:val="0"/>
              <w:numPr>
                <w:ilvl w:val="0"/>
                <w:numId w:val="70"/>
              </w:num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 Pesquisadores indígenas. </w:t>
            </w:r>
          </w:p>
          <w:p>
            <w:pPr>
              <w:widowControl w:val="0"/>
              <w:numPr>
                <w:ilvl w:val="0"/>
                <w:numId w:val="70"/>
              </w:num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 Relações de gênero e intergeracionais. </w:t>
            </w:r>
          </w:p>
          <w:p>
            <w:pPr>
              <w:widowControl w:val="0"/>
              <w:numPr>
                <w:ilvl w:val="0"/>
                <w:numId w:val="70"/>
              </w:num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 Colonialidade e </w:t>
            </w:r>
            <w:r>
              <w:rPr>
                <w:rFonts w:ascii="Times New Roman" w:hAnsi="Times New Roman" w:eastAsia="Times New Roman" w:cs="Times New Roman"/>
              </w:rPr>
              <w:t>violência</w:t>
            </w:r>
            <w:r>
              <w:rPr>
                <w:rFonts w:ascii="Times New Roman" w:hAnsi="Times New Roman" w:eastAsia="Times New Roman" w:cs="Times New Roman"/>
                <w:color w:val="000000"/>
              </w:rPr>
              <w:t xml:space="preserve"> contra as mulheres indígenas. </w:t>
            </w:r>
          </w:p>
          <w:p>
            <w:pPr>
              <w:widowControl w:val="0"/>
              <w:numPr>
                <w:ilvl w:val="0"/>
                <w:numId w:val="70"/>
              </w:num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 Espaço doméstico e política. </w:t>
            </w:r>
          </w:p>
          <w:p>
            <w:pPr>
              <w:widowControl w:val="0"/>
              <w:numPr>
                <w:ilvl w:val="0"/>
                <w:numId w:val="70"/>
              </w:num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 Feminismo crítico e críticas ao feminismo</w:t>
            </w:r>
          </w:p>
        </w:tc>
      </w:tr>
      <w:tr>
        <w:tblPrEx>
          <w:tblCellMar>
            <w:top w:w="0" w:type="dxa"/>
            <w:left w:w="22" w:type="dxa"/>
            <w:bottom w:w="0" w:type="dxa"/>
            <w:right w:w="5" w:type="dxa"/>
          </w:tblCellMar>
        </w:tblPrEx>
        <w:trPr>
          <w:trHeight w:val="1447"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9"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before="9"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CUSICANQUI, Silvia Rivera. Chhixinakax utxiwa. Una reflexión sobre prácticas y discursos colonizadores. In: YUPI, Mario (Comp.). Modernidad y pensamiento descolonizador. Memoria del Seminario Internacional. La Paz: U-PIEB – IFEA. Acesso em 16/07/2017. Disponível em: </w:t>
            </w:r>
            <w:r>
              <w:fldChar w:fldCharType="begin"/>
            </w:r>
            <w:r>
              <w:instrText xml:space="preserve"> HYPERLINK "http://www.ram-wan.net/restrepo/decolonial/24-riveradiscursos%20%20descolonizadores.pdf" \h </w:instrText>
            </w:r>
            <w:r>
              <w:fldChar w:fldCharType="separate"/>
            </w:r>
            <w:r>
              <w:rPr>
                <w:rFonts w:ascii="Times New Roman" w:hAnsi="Times New Roman" w:eastAsia="Times New Roman" w:cs="Times New Roman"/>
                <w:color w:val="0000FF"/>
                <w:u w:val="single"/>
              </w:rPr>
              <w:t>http://www.ram-wan.net/restrepo/decolonial/24-riveradiscursos%20%20descolonizadores.pdf</w:t>
            </w:r>
            <w:r>
              <w:rPr>
                <w:rFonts w:ascii="Times New Roman" w:hAnsi="Times New Roman" w:eastAsia="Times New Roman" w:cs="Times New Roman"/>
                <w:color w:val="0000FF"/>
                <w:u w:val="single"/>
              </w:rPr>
              <w:fldChar w:fldCharType="end"/>
            </w:r>
          </w:p>
          <w:p>
            <w:pPr>
              <w:widowControl w:val="0"/>
              <w:pBdr>
                <w:top w:val="none" w:color="auto" w:sz="0" w:space="0"/>
                <w:left w:val="none" w:color="auto" w:sz="0" w:space="0"/>
                <w:bottom w:val="none" w:color="auto" w:sz="0" w:space="0"/>
                <w:right w:val="none" w:color="auto" w:sz="0" w:space="0"/>
                <w:between w:val="none" w:color="auto" w:sz="0" w:space="0"/>
              </w:pBdr>
              <w:spacing w:before="9"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 ESCALANTE, Carmen. Rugido alzado en armas. Los descendientes de incas y la independencia del Perú. Las rebeliones de Jose Gabriel Tupa Amaru, los hermanos Angulo y Mateo Pumaccahua, a partir de la documentación inédita de los Tupa Guamanrimachi Ynga. Cusco 1776-1825. Tese de doutorado. Sevilla-Cusco: Universidad Pablo de Olavide, 2017. Acesso em 20/12/2018. Disponível em: https://rio.upo.es/xmlui/handle/10433/4993 GUTIÉRREZ CHONG, Natividad. Mitos nacionalistas e identidades étnicas: los intelectuales indígenas y el Estado mexicano. México: Instituto de Investigaciones Sociales, UNAM, 2012. </w:t>
            </w:r>
          </w:p>
          <w:p>
            <w:pPr>
              <w:widowControl w:val="0"/>
              <w:pBdr>
                <w:top w:val="none" w:color="auto" w:sz="0" w:space="0"/>
                <w:left w:val="none" w:color="auto" w:sz="0" w:space="0"/>
                <w:bottom w:val="none" w:color="auto" w:sz="0" w:space="0"/>
                <w:right w:val="none" w:color="auto" w:sz="0" w:space="0"/>
                <w:between w:val="none" w:color="auto" w:sz="0" w:space="0"/>
              </w:pBdr>
              <w:spacing w:before="9"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MARIMÁN QUEMENADO, Pablo et. al.Escucha Winka. Santiago: LOM Ediciones, 2006.</w:t>
            </w:r>
          </w:p>
          <w:p>
            <w:pPr>
              <w:widowControl w:val="0"/>
              <w:pBdr>
                <w:top w:val="none" w:color="auto" w:sz="0" w:space="0"/>
                <w:left w:val="none" w:color="auto" w:sz="0" w:space="0"/>
                <w:bottom w:val="none" w:color="auto" w:sz="0" w:space="0"/>
                <w:right w:val="none" w:color="auto" w:sz="0" w:space="0"/>
                <w:between w:val="none" w:color="auto" w:sz="0" w:space="0"/>
              </w:pBdr>
              <w:spacing w:before="9"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TZUL TZUL, Gladys. Mujeres indígenas: Historias de la reproducción de la vida en Guatemala. Una reflexión a partir de la visita de Silvia Federici. Bajo el Volcán, v. 15, n. 22, marzo-agosto, 2015, pp. 91-99. Acesso em 20/12/2018. Disponível em: https://www.redalyc.org/pdf/286/28642148007.pdf</w:t>
            </w:r>
          </w:p>
        </w:tc>
      </w:tr>
      <w:tr>
        <w:tblPrEx>
          <w:tblCellMar>
            <w:top w:w="0" w:type="dxa"/>
            <w:left w:w="22" w:type="dxa"/>
            <w:bottom w:w="0" w:type="dxa"/>
            <w:right w:w="5" w:type="dxa"/>
          </w:tblCellMar>
        </w:tblPrEx>
        <w:trPr>
          <w:trHeight w:val="1656"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ABBONA, Anabela E.; ROCA, J. Ignacio (Eds.). Los pueblos indígenas de América Latina : actas del II CIPIAL. Santa Rosa: Universidad Nacional de La Pampa, 2018. Acesso em 20/12/2018. Disponível em: http://www.unlpam.edu.ar/libro/i/?book=Los_pueblos_%20indigenas_de_Am_Lat.epub BOCCARA, Guillaume (Ed.). Colonización, resistencia y mestizaje en las Américas (siglos XVI-XX). Quito: Ediciones Abya-Yala, 2002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ESPINOSA MIÑOSO, Yuderkys; GÓMEZ CORREAL, Diana; OCHOA MUÑOZ, Karina (Eds.). Tejiendo de otro modo: Feminismo, epistemología y apuestas descoloniales en Abya Yala. Popayán: Editorial Universidad del Cauca, 2014.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LEÓN PORTILLA, Miguel. Los antiguos mexicanos a través de sus crónicas y cantares. 4ª ed. México: Fondo de Cultura Económica, 1992.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MIRANDA, Claudia. O Debate Pós-Colonial na América-Latina: Contribuições de Silvia Rivera Cusicanqui e Santiago Castro-Gómez. Revista Interinstitucional Artes de Educar. Rio de Janeiro, V. 3 N. 3 – pág. 213-232 (out/2017 – jan/2018).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PITARCH, Pedro; OROBITG, Gemma (Orgs.). Modernidades Indígenas. Madrid – Frankfurt, Iberoamericana – Vervuert, 2012.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ROSTWOROWSKI, María. Historia del Tahuantinsuyu. 2ª ed. Lima: IEP/PromPerú, 1999.</w:t>
            </w:r>
          </w:p>
        </w:tc>
      </w:tr>
    </w:tbl>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tbl>
      <w:tblPr>
        <w:tblStyle w:val="567"/>
        <w:tblW w:w="9021" w:type="dxa"/>
        <w:tblInd w:w="2" w:type="dxa"/>
        <w:tblLayout w:type="fixed"/>
        <w:tblCellMar>
          <w:top w:w="0" w:type="dxa"/>
          <w:left w:w="22" w:type="dxa"/>
          <w:bottom w:w="0" w:type="dxa"/>
          <w:right w:w="5" w:type="dxa"/>
        </w:tblCellMar>
      </w:tblPr>
      <w:tblGrid>
        <w:gridCol w:w="2756"/>
        <w:gridCol w:w="3123"/>
        <w:gridCol w:w="3142"/>
      </w:tblGrid>
      <w:tr>
        <w:tblPrEx>
          <w:tblCellMar>
            <w:top w:w="0" w:type="dxa"/>
            <w:left w:w="22" w:type="dxa"/>
            <w:bottom w:w="0" w:type="dxa"/>
            <w:right w:w="5" w:type="dxa"/>
          </w:tblCellMar>
        </w:tblPrEx>
        <w:trPr>
          <w:trHeight w:val="2068" w:hRule="atLeast"/>
        </w:trPr>
        <w:tc>
          <w:tcPr>
            <w:tcW w:w="5879"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531"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Cinema e história na América Latina da segunda metade do século XX e começos do século XXI</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531"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531"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Cinema and History in Latin America in the second half of the 20th century and the beginning of the 21st century</w:t>
            </w:r>
          </w:p>
        </w:tc>
        <w:tc>
          <w:tcPr>
            <w:tcW w:w="3142"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HIS312</w:t>
            </w:r>
          </w:p>
        </w:tc>
      </w:tr>
      <w:tr>
        <w:tblPrEx>
          <w:tblCellMar>
            <w:top w:w="0" w:type="dxa"/>
            <w:left w:w="22" w:type="dxa"/>
            <w:bottom w:w="0" w:type="dxa"/>
            <w:right w:w="5" w:type="dxa"/>
          </w:tblCellMar>
        </w:tblPrEx>
        <w:trPr>
          <w:trHeight w:val="830" w:hRule="atLeast"/>
        </w:trPr>
        <w:tc>
          <w:tcPr>
            <w:tcW w:w="5879"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w:t>
            </w:r>
          </w:p>
          <w:p>
            <w:pPr>
              <w:widowControl w:val="0"/>
              <w:pBdr>
                <w:top w:val="none" w:color="auto" w:sz="0" w:space="0"/>
                <w:left w:val="none" w:color="auto" w:sz="0" w:space="0"/>
                <w:bottom w:val="none" w:color="auto" w:sz="0" w:space="0"/>
                <w:right w:val="none" w:color="auto" w:sz="0" w:space="0"/>
                <w:between w:val="none" w:color="auto" w:sz="0" w:space="0"/>
              </w:pBdr>
              <w:spacing w:before="14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Departamento de História - DEHIS</w:t>
            </w:r>
          </w:p>
        </w:tc>
        <w:tc>
          <w:tcPr>
            <w:tcW w:w="3142"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5" w:type="dxa"/>
          </w:tblCellMar>
        </w:tblPrEx>
        <w:trPr>
          <w:trHeight w:val="1243" w:hRule="atLeast"/>
        </w:trPr>
        <w:tc>
          <w:tcPr>
            <w:tcW w:w="2756"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348"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353"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3123"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04horas/aula</w:t>
            </w:r>
          </w:p>
        </w:tc>
        <w:tc>
          <w:tcPr>
            <w:tcW w:w="3142"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 02 horas/aula</w:t>
            </w:r>
          </w:p>
        </w:tc>
      </w:tr>
      <w:tr>
        <w:tblPrEx>
          <w:tblCellMar>
            <w:top w:w="0" w:type="dxa"/>
            <w:left w:w="22" w:type="dxa"/>
            <w:bottom w:w="0" w:type="dxa"/>
            <w:right w:w="5" w:type="dxa"/>
          </w:tblCellMar>
        </w:tblPrEx>
        <w:trPr>
          <w:trHeight w:val="412"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Reflexão sobre a história recente na América Latina, por meio da análise de obras cinematográficas em diálogo com a historiografia. Exibição e discussão de filmes, documentários e episódios de séries de diferentes países latino-americanos que tratem de questões referentes às histórias do tempo presente.</w:t>
            </w:r>
          </w:p>
        </w:tc>
      </w:tr>
      <w:tr>
        <w:tblPrEx>
          <w:tblCellMar>
            <w:top w:w="0" w:type="dxa"/>
            <w:left w:w="22" w:type="dxa"/>
            <w:bottom w:w="0" w:type="dxa"/>
            <w:right w:w="5" w:type="dxa"/>
          </w:tblCellMar>
        </w:tblPrEx>
        <w:trPr>
          <w:trHeight w:val="1448"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numPr>
                <w:ilvl w:val="0"/>
                <w:numId w:val="71"/>
              </w:num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 construção do conceito de América Latina no cinema. Filme: Diarios de motocicleta.</w:t>
            </w:r>
          </w:p>
          <w:p>
            <w:pPr>
              <w:widowControl w:val="0"/>
              <w:numPr>
                <w:ilvl w:val="0"/>
                <w:numId w:val="71"/>
              </w:num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 Cinema e Revolução Cubana. Filmes: Memorias del subdesarrollo, Fresa y chocolate. </w:t>
            </w:r>
          </w:p>
          <w:p>
            <w:pPr>
              <w:widowControl w:val="0"/>
              <w:numPr>
                <w:ilvl w:val="0"/>
                <w:numId w:val="71"/>
              </w:num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 Temas mexicanos contemporâneos. Filmes: Ni olvido, ni perdón e La Bestia. </w:t>
            </w:r>
          </w:p>
          <w:p>
            <w:pPr>
              <w:widowControl w:val="0"/>
              <w:numPr>
                <w:ilvl w:val="0"/>
                <w:numId w:val="71"/>
              </w:num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 O governo da Unidad Popular (1970-1973), ditadura (1973-1989) e a difícil transição chilena. Filmes Machuca, No, Nostalgia de la Luz e El Botón de Nácar. </w:t>
            </w:r>
          </w:p>
          <w:p>
            <w:pPr>
              <w:widowControl w:val="0"/>
              <w:numPr>
                <w:ilvl w:val="0"/>
                <w:numId w:val="71"/>
              </w:num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As ditaduras argentinas (1966-1970; 1976-1983) e o processo de transição (1983-2003). Filmes: La Historia Oficial, La noche de los lápices, Iluminados por el fuego, Mercedes Sosa: A voz da América Latina e Kóblic. </w:t>
            </w:r>
          </w:p>
          <w:p>
            <w:pPr>
              <w:widowControl w:val="0"/>
              <w:numPr>
                <w:ilvl w:val="0"/>
                <w:numId w:val="71"/>
              </w:num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 A ditadura uruguaia no cinema. Filmes: Estado de </w:t>
            </w:r>
            <w:r>
              <w:rPr>
                <w:rFonts w:ascii="Times New Roman" w:hAnsi="Times New Roman" w:eastAsia="Times New Roman" w:cs="Times New Roman"/>
              </w:rPr>
              <w:t>sítio</w:t>
            </w:r>
            <w:r>
              <w:rPr>
                <w:rFonts w:ascii="Times New Roman" w:hAnsi="Times New Roman" w:eastAsia="Times New Roman" w:cs="Times New Roman"/>
                <w:color w:val="000000"/>
              </w:rPr>
              <w:t xml:space="preserve"> e Migas de pan. </w:t>
            </w:r>
          </w:p>
          <w:p>
            <w:pPr>
              <w:widowControl w:val="0"/>
              <w:numPr>
                <w:ilvl w:val="0"/>
                <w:numId w:val="71"/>
              </w:num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 América Latina contemporânea. Filmes: Relatos salvajes e El ciudadano ilustre.</w:t>
            </w:r>
          </w:p>
        </w:tc>
      </w:tr>
      <w:tr>
        <w:tblPrEx>
          <w:tblCellMar>
            <w:top w:w="0" w:type="dxa"/>
            <w:left w:w="22" w:type="dxa"/>
            <w:bottom w:w="0" w:type="dxa"/>
            <w:right w:w="5" w:type="dxa"/>
          </w:tblCellMar>
        </w:tblPrEx>
        <w:trPr>
          <w:trHeight w:val="1447"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AVELLAR, José Carlos. A ponte clandestina: Birri, Glauber, Solanas, Getino, García Espinosa, Sanjinés, Alea – Teorias cinematográficas na América Latina / José Carlos Avellar. – Rio de Janeiro/São Paulo: Ed. 34 / Edusp, 1995.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ESTÉVEZ, A.; LÓPEZ, P. Entrevista a Patricio Guzmán, diretor de Nostalgia de la luz. Cine Chile. 8 set. 2011. Disponível em: . Acesso em: 29 jan. 2018.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FERRO, Marc. O filme: uma contra análise da sociedade? In: Cinema e história. Rio de Janeiro: Paz e Terra, 1992´, p. 79-115.</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JÚNIOR, F. D. C. F. Cinema e Historiografia: trajetória de um objeto historiográfico (1971- 2010). História da Historiografia, Universidade Federal de Ouro Preto, n. 8, p. 151-173, Abr. 2012.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KORNIS, Mônica. História e cinema: um debate metodológico. Revista Estudos Históricos. Rio de Janeiro. V. 5, n. 10, 1992, p. 237-250.</w:t>
            </w:r>
          </w:p>
        </w:tc>
      </w:tr>
      <w:tr>
        <w:tblPrEx>
          <w:tblCellMar>
            <w:top w:w="0" w:type="dxa"/>
            <w:left w:w="22" w:type="dxa"/>
            <w:bottom w:w="0" w:type="dxa"/>
            <w:right w:w="5" w:type="dxa"/>
          </w:tblCellMar>
        </w:tblPrEx>
        <w:trPr>
          <w:trHeight w:val="1656" w:hRule="atLeast"/>
        </w:trPr>
        <w:tc>
          <w:tcPr>
            <w:tcW w:w="9021"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FICO, C; FERREIRA, M.; ARAÚJO, M. P., QUADRAT, S. V. (Orgs.). Ditadura e democracia na América Latina.Balanço histórico e perspectivas. Rio de Janeiro: FGV Editora, 2008.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GILMAN, Claudia. Cuba, patria del antiintelectual latinoamericano. In: Entre la pluma y el fusil. Debates y dilemas delescritor revolucionario en América Latina. Buenos Aires: Siglo XXI, 2003, p. 189-232.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LAGNY, Michèle. O cinema como fonte histórica. In NÓVOA, Jorge; FRESSATO, Soleni. Cinematógrafo:um olhar sobre a história. Salvador: EDUFBA; São Paulo: Ed. da UNESP, 2009, p. 99-131.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LITTIN, M. Discurso Inaugural de Miguel Littin. In: FRANCIA, A. Nuevo cine latinoamericano en Viña del Mar. CESOC Ediciones Chile América, 1990. MAGALHÃES, Olga; ALFACE, Henriqueta. O cinema como recurso pedagógico na aula de história. In: CAINELLI, Marlene; SCHIMIDT, Maria Auxiliadora. Educação histórica: teoria e pesquisa. Ijuí: Ed. Unijuí, 2011, p. 249-268.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MANIFIESTO de los Cineastas de la UP. Disponível em: &lt; http://www.archivochile.com/S_Allende_UP/doc_ de_UP/SAdocup0007.pdf&gt;. Acesso em: 25 janeiro 2018.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YAFFÉ, Jaime. La dictadura uruguaya (1973-1985): nuevas perspectivas de investigación e interpretación historiográfica. Estudos Íbero-Americanos, PUCRS, v. 38, n. 1, p. 13-26, jan.-jun. 2012</w:t>
            </w:r>
          </w:p>
        </w:tc>
      </w:tr>
    </w:tbl>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ind w:left="0" w:hanging="2"/>
        <w:rPr>
          <w:rFonts w:ascii="Times New Roman" w:hAnsi="Times New Roman" w:cs="Times New Roman"/>
        </w:rPr>
      </w:pPr>
    </w:p>
    <w:tbl>
      <w:tblPr>
        <w:tblStyle w:val="568"/>
        <w:tblW w:w="8879" w:type="dxa"/>
        <w:tblInd w:w="2" w:type="dxa"/>
        <w:tblLayout w:type="fixed"/>
        <w:tblCellMar>
          <w:top w:w="0" w:type="dxa"/>
          <w:left w:w="22" w:type="dxa"/>
          <w:bottom w:w="0" w:type="dxa"/>
          <w:right w:w="5" w:type="dxa"/>
        </w:tblCellMar>
      </w:tblPr>
      <w:tblGrid>
        <w:gridCol w:w="2830"/>
        <w:gridCol w:w="3244"/>
        <w:gridCol w:w="2805"/>
      </w:tblGrid>
      <w:tr>
        <w:tblPrEx>
          <w:tblCellMar>
            <w:top w:w="0" w:type="dxa"/>
            <w:left w:w="22" w:type="dxa"/>
            <w:bottom w:w="0" w:type="dxa"/>
            <w:right w:w="5" w:type="dxa"/>
          </w:tblCellMar>
        </w:tblPrEx>
        <w:trPr>
          <w:trHeight w:val="2281" w:hRule="atLeast"/>
        </w:trPr>
        <w:tc>
          <w:tcPr>
            <w:tcW w:w="6074"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Seminário de formação em Teoria da História e História da Historiografia IV</w:t>
            </w:r>
          </w:p>
          <w:p>
            <w:pPr>
              <w:widowControl w:val="0"/>
              <w:pBdr>
                <w:top w:val="none" w:color="auto" w:sz="0" w:space="0"/>
                <w:left w:val="none" w:color="auto" w:sz="0" w:space="0"/>
                <w:bottom w:val="none" w:color="auto" w:sz="0" w:space="0"/>
                <w:right w:val="none" w:color="auto" w:sz="0" w:space="0"/>
                <w:between w:val="none" w:color="auto" w:sz="0" w:space="0"/>
              </w:pBdr>
              <w:spacing w:before="3" w:line="240" w:lineRule="auto"/>
              <w:ind w:left="0" w:hanging="2"/>
              <w:jc w:val="both"/>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94"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Advanced Seminar on Theory and History of Historiography IV</w:t>
            </w:r>
          </w:p>
        </w:tc>
        <w:tc>
          <w:tcPr>
            <w:tcW w:w="2805"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HIS313</w:t>
            </w:r>
          </w:p>
        </w:tc>
      </w:tr>
      <w:tr>
        <w:tblPrEx>
          <w:tblCellMar>
            <w:top w:w="0" w:type="dxa"/>
            <w:left w:w="22" w:type="dxa"/>
            <w:bottom w:w="0" w:type="dxa"/>
            <w:right w:w="5" w:type="dxa"/>
          </w:tblCellMar>
        </w:tblPrEx>
        <w:trPr>
          <w:trHeight w:val="825" w:hRule="atLeast"/>
        </w:trPr>
        <w:tc>
          <w:tcPr>
            <w:tcW w:w="6074"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Departamento de História – DEHIS</w:t>
            </w:r>
          </w:p>
        </w:tc>
        <w:tc>
          <w:tcPr>
            <w:tcW w:w="2805"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5" w:type="dxa"/>
          </w:tblCellMar>
        </w:tblPrEx>
        <w:trPr>
          <w:trHeight w:val="1242" w:hRule="atLeast"/>
        </w:trPr>
        <w:tc>
          <w:tcPr>
            <w:tcW w:w="2830"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428"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2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3244"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2805"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 02 horas/aula</w:t>
            </w:r>
          </w:p>
        </w:tc>
      </w:tr>
      <w:tr>
        <w:tblPrEx>
          <w:tblCellMar>
            <w:top w:w="0" w:type="dxa"/>
            <w:left w:w="22" w:type="dxa"/>
            <w:bottom w:w="0" w:type="dxa"/>
            <w:right w:w="5" w:type="dxa"/>
          </w:tblCellMar>
        </w:tblPrEx>
        <w:trPr>
          <w:trHeight w:val="773" w:hRule="atLeast"/>
        </w:trPr>
        <w:tc>
          <w:tcPr>
            <w:tcW w:w="8879"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Ementa:  </w:t>
            </w:r>
            <w:r>
              <w:rPr>
                <w:rFonts w:ascii="Times New Roman" w:hAnsi="Times New Roman" w:eastAsia="Times New Roman" w:cs="Times New Roman"/>
                <w:color w:val="212121"/>
              </w:rPr>
              <w:t>P</w:t>
            </w:r>
            <w:r>
              <w:rPr>
                <w:rFonts w:ascii="Times New Roman" w:hAnsi="Times New Roman" w:eastAsia="Times New Roman" w:cs="Times New Roman"/>
                <w:color w:val="000000"/>
              </w:rPr>
              <w:t>rincipais correntes da Historiografia e a Teoria da História marxiana e marxista: conceitos e problemas fundamentais.</w:t>
            </w:r>
          </w:p>
        </w:tc>
      </w:tr>
      <w:tr>
        <w:tblPrEx>
          <w:tblCellMar>
            <w:top w:w="0" w:type="dxa"/>
            <w:left w:w="22" w:type="dxa"/>
            <w:bottom w:w="0" w:type="dxa"/>
            <w:right w:w="5" w:type="dxa"/>
          </w:tblCellMar>
        </w:tblPrEx>
        <w:trPr>
          <w:trHeight w:val="2451" w:hRule="atLeast"/>
        </w:trPr>
        <w:tc>
          <w:tcPr>
            <w:tcW w:w="8879"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Introdução aos principais temas e conceitos da obra de Karl Marx e do Marxismo relacionados à Teoria da História e à História da Historiografia.</w:t>
            </w:r>
          </w:p>
          <w:p>
            <w:pPr>
              <w:widowControl w:val="0"/>
              <w:pBdr>
                <w:top w:val="none" w:color="auto" w:sz="0" w:space="0"/>
                <w:left w:val="none" w:color="auto" w:sz="0" w:space="0"/>
                <w:bottom w:val="none" w:color="auto" w:sz="0" w:space="0"/>
                <w:right w:val="none" w:color="auto" w:sz="0" w:space="0"/>
                <w:between w:val="none" w:color="auto" w:sz="0" w:space="0"/>
              </w:pBdr>
              <w:tabs>
                <w:tab w:val="left" w:pos="1192"/>
                <w:tab w:val="left" w:pos="1193"/>
              </w:tabs>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I. A Obra de Karl Marx: Teoria e História da Historiografia.</w:t>
            </w:r>
          </w:p>
          <w:p>
            <w:pPr>
              <w:widowControl w:val="0"/>
              <w:pBdr>
                <w:top w:val="none" w:color="auto" w:sz="0" w:space="0"/>
                <w:left w:val="none" w:color="auto" w:sz="0" w:space="0"/>
                <w:bottom w:val="none" w:color="auto" w:sz="0" w:space="0"/>
                <w:right w:val="none" w:color="auto" w:sz="0" w:space="0"/>
                <w:between w:val="none" w:color="auto" w:sz="0" w:space="0"/>
              </w:pBdr>
              <w:tabs>
                <w:tab w:val="left" w:pos="1192"/>
                <w:tab w:val="left" w:pos="1193"/>
              </w:tabs>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II. Principais Correntes do Marxismo.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III. Marx e Marxismo na Teoria da História e na História da Historiografia na Atualidade.</w:t>
            </w:r>
          </w:p>
        </w:tc>
      </w:tr>
      <w:tr>
        <w:tblPrEx>
          <w:tblCellMar>
            <w:top w:w="0" w:type="dxa"/>
            <w:left w:w="22" w:type="dxa"/>
            <w:bottom w:w="0" w:type="dxa"/>
            <w:right w:w="5" w:type="dxa"/>
          </w:tblCellMar>
        </w:tblPrEx>
        <w:trPr>
          <w:trHeight w:val="2498" w:hRule="atLeast"/>
        </w:trPr>
        <w:tc>
          <w:tcPr>
            <w:tcW w:w="8879"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MARX, Karl. </w:t>
            </w:r>
            <w:r>
              <w:rPr>
                <w:rFonts w:ascii="Times New Roman" w:hAnsi="Times New Roman" w:eastAsia="Times New Roman" w:cs="Times New Roman"/>
                <w:i/>
                <w:color w:val="000000"/>
              </w:rPr>
              <w:t xml:space="preserve">A ideologia Alemã. </w:t>
            </w:r>
            <w:r>
              <w:rPr>
                <w:rFonts w:ascii="Times New Roman" w:hAnsi="Times New Roman" w:eastAsia="Times New Roman" w:cs="Times New Roman"/>
                <w:color w:val="000000"/>
              </w:rPr>
              <w:t>São Paulo: Hucitec, 1993.</w:t>
            </w:r>
          </w:p>
          <w:p>
            <w:pPr>
              <w:widowControl w:val="0"/>
              <w:pBdr>
                <w:top w:val="none" w:color="auto" w:sz="0" w:space="0"/>
                <w:left w:val="none" w:color="auto" w:sz="0" w:space="0"/>
                <w:bottom w:val="none" w:color="auto" w:sz="0" w:space="0"/>
                <w:right w:val="none" w:color="auto" w:sz="0" w:space="0"/>
                <w:between w:val="none" w:color="auto" w:sz="0" w:space="0"/>
              </w:pBdr>
              <w:spacing w:before="142"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MARK, Karl. </w:t>
            </w:r>
            <w:r>
              <w:rPr>
                <w:rFonts w:ascii="Times New Roman" w:hAnsi="Times New Roman" w:eastAsia="Times New Roman" w:cs="Times New Roman"/>
                <w:i/>
                <w:color w:val="000000"/>
              </w:rPr>
              <w:t>Contribuição a critica da economia política</w:t>
            </w:r>
            <w:r>
              <w:rPr>
                <w:rFonts w:ascii="Times New Roman" w:hAnsi="Times New Roman" w:eastAsia="Times New Roman" w:cs="Times New Roman"/>
                <w:color w:val="000000"/>
              </w:rPr>
              <w:t>. São Paulo: Editora Expressão Popular, 2008.</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MARX, Karl. </w:t>
            </w:r>
            <w:r>
              <w:rPr>
                <w:rFonts w:ascii="Times New Roman" w:hAnsi="Times New Roman" w:eastAsia="Times New Roman" w:cs="Times New Roman"/>
                <w:i/>
                <w:color w:val="000000"/>
              </w:rPr>
              <w:t>O 18 Brumário de Luis Bonaparte</w:t>
            </w:r>
            <w:r>
              <w:rPr>
                <w:rFonts w:ascii="Times New Roman" w:hAnsi="Times New Roman" w:eastAsia="Times New Roman" w:cs="Times New Roman"/>
                <w:color w:val="000000"/>
              </w:rPr>
              <w:t xml:space="preserve">. São Paulo: Boitempo, 2011. HOBSBAWN, Eric. </w:t>
            </w:r>
            <w:r>
              <w:rPr>
                <w:rFonts w:ascii="Times New Roman" w:hAnsi="Times New Roman" w:eastAsia="Times New Roman" w:cs="Times New Roman"/>
                <w:i/>
                <w:color w:val="000000"/>
              </w:rPr>
              <w:t xml:space="preserve">História do Marxismo. </w:t>
            </w:r>
            <w:r>
              <w:rPr>
                <w:rFonts w:ascii="Times New Roman" w:hAnsi="Times New Roman" w:eastAsia="Times New Roman" w:cs="Times New Roman"/>
                <w:color w:val="000000"/>
              </w:rPr>
              <w:t>São Paulo: Paz e Terra, 1985.</w:t>
            </w:r>
          </w:p>
        </w:tc>
      </w:tr>
      <w:tr>
        <w:tblPrEx>
          <w:tblCellMar>
            <w:top w:w="0" w:type="dxa"/>
            <w:left w:w="22" w:type="dxa"/>
            <w:bottom w:w="0" w:type="dxa"/>
            <w:right w:w="5" w:type="dxa"/>
          </w:tblCellMar>
        </w:tblPrEx>
        <w:trPr>
          <w:trHeight w:val="3802" w:hRule="atLeast"/>
        </w:trPr>
        <w:tc>
          <w:tcPr>
            <w:tcW w:w="8879" w:type="dxa"/>
            <w:gridSpan w:val="3"/>
            <w:tcBorders>
              <w:top w:val="single" w:color="000000" w:sz="4"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MARX, Karl, ENGELS, Friedrich. </w:t>
            </w:r>
            <w:r>
              <w:rPr>
                <w:rFonts w:ascii="Times New Roman" w:hAnsi="Times New Roman" w:eastAsia="Times New Roman" w:cs="Times New Roman"/>
                <w:i/>
                <w:color w:val="000000"/>
              </w:rPr>
              <w:t>Obras Escolhidas</w:t>
            </w:r>
            <w:r>
              <w:rPr>
                <w:rFonts w:ascii="Times New Roman" w:hAnsi="Times New Roman" w:eastAsia="Times New Roman" w:cs="Times New Roman"/>
                <w:color w:val="000000"/>
              </w:rPr>
              <w:t>. São Paulo: Alfa-Ômega, c. 1980.</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HARVEY, David. </w:t>
            </w:r>
            <w:r>
              <w:rPr>
                <w:rFonts w:ascii="Times New Roman" w:hAnsi="Times New Roman" w:eastAsia="Times New Roman" w:cs="Times New Roman"/>
                <w:i/>
                <w:color w:val="000000"/>
              </w:rPr>
              <w:t xml:space="preserve">Para Entender o Capital. São Paulo: Boitempo, 2013. </w:t>
            </w:r>
            <w:r>
              <w:rPr>
                <w:rFonts w:ascii="Times New Roman" w:hAnsi="Times New Roman" w:eastAsia="Times New Roman" w:cs="Times New Roman"/>
                <w:color w:val="000000"/>
              </w:rPr>
              <w:t xml:space="preserve">BOTTOMORE, Tom. </w:t>
            </w:r>
            <w:r>
              <w:rPr>
                <w:rFonts w:ascii="Times New Roman" w:hAnsi="Times New Roman" w:eastAsia="Times New Roman" w:cs="Times New Roman"/>
                <w:i/>
                <w:color w:val="000000"/>
              </w:rPr>
              <w:t>Dicionário do Pensamento Marxista</w:t>
            </w:r>
            <w:r>
              <w:rPr>
                <w:rFonts w:ascii="Times New Roman" w:hAnsi="Times New Roman" w:eastAsia="Times New Roman" w:cs="Times New Roman"/>
                <w:color w:val="000000"/>
              </w:rPr>
              <w:t>. Rio de Janeiro: Jorge Zahar, 1993.</w:t>
            </w:r>
          </w:p>
          <w:p>
            <w:pPr>
              <w:widowControl w:val="0"/>
              <w:pBdr>
                <w:top w:val="none" w:color="auto" w:sz="0" w:space="0"/>
                <w:left w:val="none" w:color="auto" w:sz="0" w:space="0"/>
                <w:bottom w:val="none" w:color="auto" w:sz="0" w:space="0"/>
                <w:right w:val="none" w:color="auto" w:sz="0" w:space="0"/>
                <w:between w:val="none" w:color="auto" w:sz="0" w:space="0"/>
              </w:pBdr>
              <w:spacing w:before="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MESZAROS, Istvan. </w:t>
            </w:r>
            <w:r>
              <w:rPr>
                <w:rFonts w:ascii="Times New Roman" w:hAnsi="Times New Roman" w:eastAsia="Times New Roman" w:cs="Times New Roman"/>
                <w:i/>
                <w:color w:val="000000"/>
              </w:rPr>
              <w:t>Para Além do Capital</w:t>
            </w:r>
            <w:r>
              <w:rPr>
                <w:rFonts w:ascii="Times New Roman" w:hAnsi="Times New Roman" w:eastAsia="Times New Roman" w:cs="Times New Roman"/>
                <w:color w:val="000000"/>
              </w:rPr>
              <w:t>. São Paulo: Boitempo, 2003.</w:t>
            </w:r>
          </w:p>
          <w:p>
            <w:pPr>
              <w:widowControl w:val="0"/>
              <w:pBdr>
                <w:top w:val="none" w:color="auto" w:sz="0" w:space="0"/>
                <w:left w:val="none" w:color="auto" w:sz="0" w:space="0"/>
                <w:bottom w:val="none" w:color="auto" w:sz="0" w:space="0"/>
                <w:right w:val="none" w:color="auto" w:sz="0" w:space="0"/>
                <w:between w:val="none" w:color="auto" w:sz="0" w:space="0"/>
              </w:pBdr>
              <w:spacing w:before="138" w:line="360" w:lineRule="auto"/>
              <w:ind w:left="0" w:right="16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ZIZEK, Slavoj. A </w:t>
            </w:r>
            <w:r>
              <w:rPr>
                <w:rFonts w:ascii="Times New Roman" w:hAnsi="Times New Roman" w:eastAsia="Times New Roman" w:cs="Times New Roman"/>
                <w:i/>
                <w:color w:val="000000"/>
              </w:rPr>
              <w:t>Proposito de Lenin: politica y subjetividad en el capitalismo tardio</w:t>
            </w:r>
            <w:r>
              <w:rPr>
                <w:rFonts w:ascii="Times New Roman" w:hAnsi="Times New Roman" w:eastAsia="Times New Roman" w:cs="Times New Roman"/>
                <w:color w:val="000000"/>
              </w:rPr>
              <w:t>.Buenos</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Aires:Atuel/Parusia,2004.</w:t>
            </w:r>
          </w:p>
          <w:p>
            <w:pPr>
              <w:widowControl w:val="0"/>
              <w:pBdr>
                <w:top w:val="none" w:color="auto" w:sz="0" w:space="0"/>
                <w:left w:val="none" w:color="auto" w:sz="0" w:space="0"/>
                <w:bottom w:val="none" w:color="auto" w:sz="0" w:space="0"/>
                <w:right w:val="none" w:color="auto" w:sz="0" w:space="0"/>
                <w:between w:val="none" w:color="auto" w:sz="0" w:space="0"/>
              </w:pBdr>
              <w:spacing w:before="14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TUCKER, Robert C. </w:t>
            </w:r>
            <w:r>
              <w:rPr>
                <w:rFonts w:ascii="Times New Roman" w:hAnsi="Times New Roman" w:eastAsia="Times New Roman" w:cs="Times New Roman"/>
                <w:i/>
                <w:color w:val="000000"/>
              </w:rPr>
              <w:t>The Marx-Engels Reader</w:t>
            </w:r>
            <w:r>
              <w:rPr>
                <w:rFonts w:ascii="Times New Roman" w:hAnsi="Times New Roman" w:eastAsia="Times New Roman" w:cs="Times New Roman"/>
                <w:color w:val="000000"/>
              </w:rPr>
              <w:t>. New York: Later Editions,1972.</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FAUSTO. Ruy. </w:t>
            </w:r>
            <w:r>
              <w:rPr>
                <w:rFonts w:ascii="Times New Roman" w:hAnsi="Times New Roman" w:eastAsia="Times New Roman" w:cs="Times New Roman"/>
                <w:i/>
                <w:color w:val="000000"/>
              </w:rPr>
              <w:t>Marx: Lógica e Política</w:t>
            </w:r>
            <w:r>
              <w:rPr>
                <w:rFonts w:ascii="Times New Roman" w:hAnsi="Times New Roman" w:eastAsia="Times New Roman" w:cs="Times New Roman"/>
                <w:color w:val="000000"/>
              </w:rPr>
              <w:t>. Uma reconstrução do sentido da dialética. São Paulo: ed 34, 2002.</w:t>
            </w:r>
          </w:p>
        </w:tc>
      </w:tr>
    </w:tbl>
    <w:p>
      <w:pPr>
        <w:ind w:left="0" w:hanging="2"/>
        <w:rPr>
          <w:rFonts w:ascii="Times New Roman" w:hAnsi="Times New Roman" w:cs="Times New Roman"/>
        </w:rPr>
      </w:pPr>
    </w:p>
    <w:p>
      <w:pPr>
        <w:ind w:left="0" w:hanging="2"/>
        <w:rPr>
          <w:rFonts w:ascii="Times New Roman" w:hAnsi="Times New Roman" w:cs="Times New Roman"/>
        </w:rPr>
      </w:pPr>
    </w:p>
    <w:p>
      <w:pPr>
        <w:ind w:left="0" w:hanging="2"/>
        <w:rPr>
          <w:rFonts w:ascii="Times New Roman" w:hAnsi="Times New Roman" w:cs="Times New Roman"/>
        </w:rPr>
      </w:pPr>
    </w:p>
    <w:p>
      <w:pPr>
        <w:ind w:left="0" w:hanging="2"/>
        <w:rPr>
          <w:rFonts w:ascii="Times New Roman" w:hAnsi="Times New Roman" w:cs="Times New Roman"/>
        </w:rPr>
      </w:pPr>
    </w:p>
    <w:p>
      <w:pPr>
        <w:ind w:left="0" w:hanging="2"/>
        <w:rPr>
          <w:rFonts w:ascii="Times New Roman" w:hAnsi="Times New Roman" w:cs="Times New Roman"/>
        </w:rPr>
      </w:pPr>
    </w:p>
    <w:p>
      <w:pPr>
        <w:ind w:left="0" w:hanging="2"/>
        <w:rPr>
          <w:rFonts w:ascii="Times New Roman" w:hAnsi="Times New Roman" w:cs="Times New Roman"/>
        </w:rPr>
      </w:pPr>
    </w:p>
    <w:p>
      <w:pPr>
        <w:ind w:left="0" w:hanging="2"/>
        <w:rPr>
          <w:rFonts w:ascii="Times New Roman" w:hAnsi="Times New Roman" w:cs="Times New Roman"/>
        </w:rPr>
      </w:pPr>
    </w:p>
    <w:p>
      <w:pPr>
        <w:ind w:left="0" w:hanging="2"/>
        <w:rPr>
          <w:rFonts w:ascii="Times New Roman" w:hAnsi="Times New Roman" w:cs="Times New Roman"/>
        </w:rPr>
      </w:pPr>
    </w:p>
    <w:p>
      <w:pPr>
        <w:ind w:left="0" w:hanging="2"/>
        <w:rPr>
          <w:rFonts w:ascii="Times New Roman" w:hAnsi="Times New Roman" w:cs="Times New Roman"/>
        </w:rPr>
      </w:pPr>
    </w:p>
    <w:tbl>
      <w:tblPr>
        <w:tblStyle w:val="569"/>
        <w:tblW w:w="8879" w:type="dxa"/>
        <w:tblInd w:w="2" w:type="dxa"/>
        <w:tblLayout w:type="fixed"/>
        <w:tblCellMar>
          <w:top w:w="0" w:type="dxa"/>
          <w:left w:w="22" w:type="dxa"/>
          <w:bottom w:w="0" w:type="dxa"/>
          <w:right w:w="5" w:type="dxa"/>
        </w:tblCellMar>
      </w:tblPr>
      <w:tblGrid>
        <w:gridCol w:w="2830"/>
        <w:gridCol w:w="3244"/>
        <w:gridCol w:w="2805"/>
      </w:tblGrid>
      <w:tr>
        <w:tblPrEx>
          <w:tblCellMar>
            <w:top w:w="0" w:type="dxa"/>
            <w:left w:w="22" w:type="dxa"/>
            <w:bottom w:w="0" w:type="dxa"/>
            <w:right w:w="5" w:type="dxa"/>
          </w:tblCellMar>
        </w:tblPrEx>
        <w:trPr>
          <w:trHeight w:val="2281" w:hRule="atLeast"/>
        </w:trPr>
        <w:tc>
          <w:tcPr>
            <w:tcW w:w="6074"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Seminário de formação em Teoria da História e História da Historiografia V</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right="278"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Advanced Seminar on Theory and Historyof Historiography V</w:t>
            </w:r>
          </w:p>
        </w:tc>
        <w:tc>
          <w:tcPr>
            <w:tcW w:w="2805"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HIS314</w:t>
            </w:r>
          </w:p>
        </w:tc>
      </w:tr>
      <w:tr>
        <w:tblPrEx>
          <w:tblCellMar>
            <w:top w:w="0" w:type="dxa"/>
            <w:left w:w="22" w:type="dxa"/>
            <w:bottom w:w="0" w:type="dxa"/>
            <w:right w:w="5" w:type="dxa"/>
          </w:tblCellMar>
        </w:tblPrEx>
        <w:trPr>
          <w:trHeight w:val="825" w:hRule="atLeast"/>
        </w:trPr>
        <w:tc>
          <w:tcPr>
            <w:tcW w:w="6074"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Departamento de História – DEHIS</w:t>
            </w:r>
          </w:p>
        </w:tc>
        <w:tc>
          <w:tcPr>
            <w:tcW w:w="2805"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5" w:type="dxa"/>
          </w:tblCellMar>
        </w:tblPrEx>
        <w:trPr>
          <w:trHeight w:val="1242" w:hRule="atLeast"/>
        </w:trPr>
        <w:tc>
          <w:tcPr>
            <w:tcW w:w="2830"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428"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2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3244"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2805"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02 horas/aula</w:t>
            </w:r>
          </w:p>
        </w:tc>
      </w:tr>
      <w:tr>
        <w:tblPrEx>
          <w:tblCellMar>
            <w:top w:w="0" w:type="dxa"/>
            <w:left w:w="22" w:type="dxa"/>
            <w:bottom w:w="0" w:type="dxa"/>
            <w:right w:w="5" w:type="dxa"/>
          </w:tblCellMar>
        </w:tblPrEx>
        <w:trPr>
          <w:trHeight w:val="1243" w:hRule="atLeast"/>
        </w:trPr>
        <w:tc>
          <w:tcPr>
            <w:tcW w:w="8879"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A produção historiográfica brasileira da primeira metade do século XX, com</w:t>
            </w:r>
          </w:p>
          <w:p>
            <w:pPr>
              <w:widowControl w:val="0"/>
              <w:pBdr>
                <w:top w:val="none" w:color="auto" w:sz="0" w:space="0"/>
                <w:left w:val="none" w:color="auto" w:sz="0" w:space="0"/>
                <w:bottom w:val="none" w:color="auto" w:sz="0" w:space="0"/>
                <w:right w:val="none" w:color="auto" w:sz="0" w:space="0"/>
                <w:between w:val="none" w:color="auto" w:sz="0" w:space="0"/>
              </w:pBdr>
              <w:spacing w:before="2"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atenção especial para a vertente ensaística. Investigação dos principais conceitos e problemas do campo.</w:t>
            </w:r>
          </w:p>
        </w:tc>
      </w:tr>
      <w:tr>
        <w:tblPrEx>
          <w:tblCellMar>
            <w:top w:w="0" w:type="dxa"/>
            <w:left w:w="22" w:type="dxa"/>
            <w:bottom w:w="0" w:type="dxa"/>
            <w:right w:w="5" w:type="dxa"/>
          </w:tblCellMar>
        </w:tblPrEx>
        <w:trPr>
          <w:trHeight w:val="3348" w:hRule="atLeast"/>
        </w:trPr>
        <w:tc>
          <w:tcPr>
            <w:tcW w:w="8879" w:type="dxa"/>
            <w:gridSpan w:val="3"/>
            <w:tcBorders>
              <w:top w:val="single" w:color="000000" w:sz="4"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right="3454" w:hanging="2"/>
              <w:rPr>
                <w:rFonts w:ascii="Times New Roman" w:hAnsi="Times New Roman" w:eastAsia="Times New Roman" w:cs="Times New Roman"/>
                <w:color w:val="000000"/>
              </w:rPr>
            </w:pPr>
            <w:r>
              <w:rPr>
                <w:rFonts w:ascii="Times New Roman" w:hAnsi="Times New Roman" w:eastAsia="Times New Roman" w:cs="Times New Roman"/>
                <w:color w:val="000000"/>
              </w:rPr>
              <w:t>Módulo I: Escrita da história e a questão racial. Módulo II: Novos regimes discursivos.</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Módulo III: Erudição e o novo lugar do IHGB.</w:t>
            </w:r>
          </w:p>
          <w:p>
            <w:pPr>
              <w:widowControl w:val="0"/>
              <w:pBdr>
                <w:top w:val="none" w:color="auto" w:sz="0" w:space="0"/>
                <w:left w:val="none" w:color="auto" w:sz="0" w:space="0"/>
                <w:bottom w:val="none" w:color="auto" w:sz="0" w:space="0"/>
                <w:right w:val="none" w:color="auto" w:sz="0" w:space="0"/>
                <w:between w:val="none" w:color="auto" w:sz="0" w:space="0"/>
              </w:pBdr>
              <w:spacing w:before="142" w:line="360" w:lineRule="auto"/>
              <w:ind w:left="0" w:right="2274"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Módulo IV: O debate acerca das temporalidades nacionais </w:t>
            </w:r>
          </w:p>
          <w:p>
            <w:pPr>
              <w:widowControl w:val="0"/>
              <w:pBdr>
                <w:top w:val="none" w:color="auto" w:sz="0" w:space="0"/>
                <w:left w:val="none" w:color="auto" w:sz="0" w:space="0"/>
                <w:bottom w:val="none" w:color="auto" w:sz="0" w:space="0"/>
                <w:right w:val="none" w:color="auto" w:sz="0" w:space="0"/>
                <w:between w:val="none" w:color="auto" w:sz="0" w:space="0"/>
              </w:pBdr>
              <w:spacing w:before="142" w:line="360" w:lineRule="auto"/>
              <w:ind w:left="0" w:right="2274"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Módulo V: Casa Grande &amp; Senzala: novas perspectivas </w:t>
            </w:r>
          </w:p>
          <w:p>
            <w:pPr>
              <w:widowControl w:val="0"/>
              <w:pBdr>
                <w:top w:val="none" w:color="auto" w:sz="0" w:space="0"/>
                <w:left w:val="none" w:color="auto" w:sz="0" w:space="0"/>
                <w:bottom w:val="none" w:color="auto" w:sz="0" w:space="0"/>
                <w:right w:val="none" w:color="auto" w:sz="0" w:space="0"/>
                <w:between w:val="none" w:color="auto" w:sz="0" w:space="0"/>
              </w:pBdr>
              <w:spacing w:before="142" w:line="360" w:lineRule="auto"/>
              <w:ind w:left="0" w:right="2274" w:hanging="2"/>
              <w:rPr>
                <w:rFonts w:ascii="Times New Roman" w:hAnsi="Times New Roman" w:eastAsia="Times New Roman" w:cs="Times New Roman"/>
                <w:color w:val="000000"/>
              </w:rPr>
            </w:pPr>
            <w:r>
              <w:rPr>
                <w:rFonts w:ascii="Times New Roman" w:hAnsi="Times New Roman" w:eastAsia="Times New Roman" w:cs="Times New Roman"/>
                <w:color w:val="000000"/>
              </w:rPr>
              <w:t>Módulo VI: Raízes do Brasil: novas perspectivas</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Módulo VII: Cultura de História e Estado Novo</w:t>
            </w:r>
          </w:p>
        </w:tc>
      </w:tr>
      <w:tr>
        <w:tblPrEx>
          <w:tblCellMar>
            <w:top w:w="0" w:type="dxa"/>
            <w:left w:w="22" w:type="dxa"/>
            <w:bottom w:w="0" w:type="dxa"/>
            <w:right w:w="5" w:type="dxa"/>
          </w:tblCellMar>
        </w:tblPrEx>
        <w:trPr>
          <w:trHeight w:val="3383" w:hRule="atLeast"/>
        </w:trPr>
        <w:tc>
          <w:tcPr>
            <w:tcW w:w="8879"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6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Sérgio Buarque de Holanda. (2016). </w:t>
            </w:r>
            <w:r>
              <w:rPr>
                <w:rFonts w:ascii="Times New Roman" w:hAnsi="Times New Roman" w:eastAsia="Times New Roman" w:cs="Times New Roman"/>
                <w:i/>
                <w:color w:val="000000"/>
              </w:rPr>
              <w:t>Raízes do Brasil</w:t>
            </w:r>
            <w:r>
              <w:rPr>
                <w:rFonts w:ascii="Times New Roman" w:hAnsi="Times New Roman" w:eastAsia="Times New Roman" w:cs="Times New Roman"/>
                <w:color w:val="000000"/>
              </w:rPr>
              <w:t>. (P. M. Monteiro &amp; L. M. Schwarcz, Eds.) (Edição Crítica). Compahia da Letras.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86"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Freyre, Gilberto. (2003). </w:t>
            </w:r>
            <w:r>
              <w:rPr>
                <w:rFonts w:ascii="Times New Roman" w:hAnsi="Times New Roman" w:eastAsia="Times New Roman" w:cs="Times New Roman"/>
                <w:i/>
                <w:color w:val="000000"/>
              </w:rPr>
              <w:t>Casa-grande &amp; Senzala: formação da família brasileira sob o regime patriarcal</w:t>
            </w:r>
            <w:r>
              <w:rPr>
                <w:rFonts w:ascii="Times New Roman" w:hAnsi="Times New Roman" w:eastAsia="Times New Roman" w:cs="Times New Roman"/>
                <w:color w:val="000000"/>
              </w:rPr>
              <w:t>. São Paulo: Global.</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1"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FRANZINI, Fabio. A década de 1930, entre a memória e a história da historiografia brasileira. In: Lucia Maria Bastos Pereira das Neves, Lucia Maria Paschoal Guimarães, Marcia de Almeida Gonçalves e Rebeca Gontijo. (Org.). </w:t>
            </w:r>
            <w:r>
              <w:rPr>
                <w:rFonts w:ascii="Times New Roman" w:hAnsi="Times New Roman" w:eastAsia="Times New Roman" w:cs="Times New Roman"/>
                <w:i/>
                <w:color w:val="000000"/>
              </w:rPr>
              <w:t>Estudos de Historiografia Brasileira.</w:t>
            </w:r>
            <w:r>
              <w:rPr>
                <w:rFonts w:ascii="Times New Roman" w:hAnsi="Times New Roman" w:eastAsia="Times New Roman" w:cs="Times New Roman"/>
                <w:color w:val="000000"/>
              </w:rPr>
              <w:t>1 ed. Rio de Janeiro: Editora FGV, 2011, v. 1, p. 261-275.</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7"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GOMES, Angela de Castro. 1998. “A Cultura Histórica Do Estado Novo.” </w:t>
            </w:r>
            <w:r>
              <w:rPr>
                <w:rFonts w:ascii="Times New Roman" w:hAnsi="Times New Roman" w:eastAsia="Times New Roman" w:cs="Times New Roman"/>
                <w:i/>
                <w:color w:val="000000"/>
              </w:rPr>
              <w:t xml:space="preserve">Projeto História </w:t>
            </w:r>
            <w:r>
              <w:rPr>
                <w:rFonts w:ascii="Times New Roman" w:hAnsi="Times New Roman" w:eastAsia="Times New Roman" w:cs="Times New Roman"/>
                <w:color w:val="000000"/>
              </w:rPr>
              <w:t>16 (fev.): 121–41.</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3"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LEHMANN, David. 1990. “Gilberto Freyre: A Reavaliação Prossegue.” </w:t>
            </w:r>
            <w:r>
              <w:rPr>
                <w:rFonts w:ascii="Times New Roman" w:hAnsi="Times New Roman" w:eastAsia="Times New Roman" w:cs="Times New Roman"/>
                <w:i/>
                <w:color w:val="000000"/>
              </w:rPr>
              <w:t>Latin American Research Review</w:t>
            </w:r>
            <w:r>
              <w:rPr>
                <w:rFonts w:ascii="Times New Roman" w:hAnsi="Times New Roman" w:eastAsia="Times New Roman" w:cs="Times New Roman"/>
                <w:color w:val="000000"/>
              </w:rPr>
              <w:t>, 369–85. doi:10.1590/S0104-71832008000100015.</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9"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PEREIRA, Mateus. H. F.; SANTOS, Pedro A. C dos. Odisseias do conceito moderno de história: Necrológio de Francisco Adolfo de Varnhagen, de Capistrano de Abreu, e o Pensamento histórico no Brasil nos últimos cinquenta anos, de Sérgio Buarque de Holanda, revisitados. </w:t>
            </w:r>
            <w:r>
              <w:rPr>
                <w:rFonts w:ascii="Times New Roman" w:hAnsi="Times New Roman" w:eastAsia="Times New Roman" w:cs="Times New Roman"/>
                <w:i/>
                <w:color w:val="000000"/>
              </w:rPr>
              <w:t xml:space="preserve">Revista do Instituto de Estudos Brasileiros, </w:t>
            </w:r>
            <w:r>
              <w:rPr>
                <w:rFonts w:ascii="Times New Roman" w:hAnsi="Times New Roman" w:eastAsia="Times New Roman" w:cs="Times New Roman"/>
                <w:color w:val="000000"/>
              </w:rPr>
              <w:t>v. 50, p. 27-78,</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2010.</w:t>
            </w:r>
          </w:p>
        </w:tc>
      </w:tr>
      <w:tr>
        <w:tblPrEx>
          <w:tblCellMar>
            <w:top w:w="0" w:type="dxa"/>
            <w:left w:w="22" w:type="dxa"/>
            <w:bottom w:w="0" w:type="dxa"/>
            <w:right w:w="5" w:type="dxa"/>
          </w:tblCellMar>
        </w:tblPrEx>
        <w:trPr>
          <w:trHeight w:val="3802" w:hRule="atLeast"/>
        </w:trPr>
        <w:tc>
          <w:tcPr>
            <w:tcW w:w="8879" w:type="dxa"/>
            <w:gridSpan w:val="3"/>
            <w:tcBorders>
              <w:top w:val="single" w:color="000000" w:sz="4"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7"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ANHEZINI, K. (2009). </w:t>
            </w:r>
            <w:r>
              <w:rPr>
                <w:rFonts w:ascii="Times New Roman" w:hAnsi="Times New Roman" w:eastAsia="Times New Roman" w:cs="Times New Roman"/>
                <w:i/>
                <w:color w:val="000000"/>
              </w:rPr>
              <w:t>Um metódico à brasileira: a escrita da história de Afonso de Taunay</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Revista de História (USP)</w:t>
            </w:r>
            <w:r>
              <w:rPr>
                <w:rFonts w:ascii="Times New Roman" w:hAnsi="Times New Roman" w:eastAsia="Times New Roman" w:cs="Times New Roman"/>
                <w:color w:val="000000"/>
              </w:rPr>
              <w:t>, (160), 221–260</w:t>
            </w: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right="67"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FELDMAN, Luiz. Contraponto e Revolução em Raízes do Brasil. In Sérgio Buarque de Holanda. 2016. </w:t>
            </w:r>
            <w:r>
              <w:rPr>
                <w:rFonts w:ascii="Times New Roman" w:hAnsi="Times New Roman" w:eastAsia="Times New Roman" w:cs="Times New Roman"/>
                <w:i/>
                <w:color w:val="000000"/>
              </w:rPr>
              <w:t>Raízes Do Brasil</w:t>
            </w:r>
            <w:r>
              <w:rPr>
                <w:rFonts w:ascii="Times New Roman" w:hAnsi="Times New Roman" w:eastAsia="Times New Roman" w:cs="Times New Roman"/>
                <w:color w:val="000000"/>
              </w:rPr>
              <w:t>. Edited by Pedro Meire Monteiro and Lilia Moritz Schwarcz. Edição Crítica. Companhia daLetras.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GOMES, Tiago de Melo. 2007. “Afro-Brasileiros e a construção da Idéia De Democracia Racial Nos Anos 1920.” </w:t>
            </w:r>
            <w:r>
              <w:rPr>
                <w:rFonts w:ascii="Times New Roman" w:hAnsi="Times New Roman" w:eastAsia="Times New Roman" w:cs="Times New Roman"/>
                <w:i/>
                <w:color w:val="000000"/>
              </w:rPr>
              <w:t xml:space="preserve">Linhas </w:t>
            </w:r>
            <w:r>
              <w:rPr>
                <w:rFonts w:ascii="Times New Roman" w:hAnsi="Times New Roman" w:eastAsia="Times New Roman" w:cs="Times New Roman"/>
                <w:color w:val="000000"/>
              </w:rPr>
              <w:t>8 (1).</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72"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GONTIJO, R. (2003). Manoel Bomfim, “pensador da história” na Primeira República. </w:t>
            </w:r>
            <w:r>
              <w:rPr>
                <w:rFonts w:ascii="Times New Roman" w:hAnsi="Times New Roman" w:eastAsia="Times New Roman" w:cs="Times New Roman"/>
                <w:i/>
                <w:color w:val="000000"/>
              </w:rPr>
              <w:t>Revista Brasileira de História</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23</w:t>
            </w:r>
            <w:r>
              <w:rPr>
                <w:rFonts w:ascii="Times New Roman" w:hAnsi="Times New Roman" w:eastAsia="Times New Roman" w:cs="Times New Roman"/>
                <w:color w:val="000000"/>
              </w:rPr>
              <w:t>(45),129–154.</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8"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MATA, Sérgio da. 2016. “Tentativas de desmitologia: a revolução conservadora em raízes do brasil.” </w:t>
            </w:r>
            <w:r>
              <w:rPr>
                <w:rFonts w:ascii="Times New Roman" w:hAnsi="Times New Roman" w:eastAsia="Times New Roman" w:cs="Times New Roman"/>
                <w:i/>
                <w:color w:val="000000"/>
              </w:rPr>
              <w:t xml:space="preserve">Revista Brasileira de História </w:t>
            </w:r>
            <w:r>
              <w:rPr>
                <w:rFonts w:ascii="Times New Roman" w:hAnsi="Times New Roman" w:eastAsia="Times New Roman" w:cs="Times New Roman"/>
                <w:color w:val="000000"/>
              </w:rPr>
              <w:t>36 (73): 63–87. doi:10.1590/1806- 93472016v36n73-005.</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81"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NICODEMO, Thiago L. (2013). Os planos de historicidade na interpretação do Brasil de Sérgio Buarque de Holanda. </w:t>
            </w:r>
            <w:r>
              <w:rPr>
                <w:rFonts w:ascii="Times New Roman" w:hAnsi="Times New Roman" w:eastAsia="Times New Roman" w:cs="Times New Roman"/>
                <w:i/>
                <w:color w:val="000000"/>
              </w:rPr>
              <w:t>História da Historiografia</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0</w:t>
            </w:r>
            <w:r>
              <w:rPr>
                <w:rFonts w:ascii="Times New Roman" w:hAnsi="Times New Roman" w:eastAsia="Times New Roman" w:cs="Times New Roman"/>
                <w:color w:val="000000"/>
              </w:rPr>
              <w:t>(14), 44–61. doi:10.15848/hh.v0i14.653</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NICOLAZZI, Fernando F. À sombra de um mestre. Gilberto Freyre leitor de Euclides da Cunha. </w:t>
            </w:r>
            <w:r>
              <w:rPr>
                <w:rFonts w:ascii="Times New Roman" w:hAnsi="Times New Roman" w:eastAsia="Times New Roman" w:cs="Times New Roman"/>
                <w:b/>
                <w:color w:val="000000"/>
              </w:rPr>
              <w:t xml:space="preserve">História </w:t>
            </w:r>
            <w:r>
              <w:rPr>
                <w:rFonts w:ascii="Times New Roman" w:hAnsi="Times New Roman" w:eastAsia="Times New Roman" w:cs="Times New Roman"/>
                <w:color w:val="000000"/>
              </w:rPr>
              <w:t>(UNESP. Impresso) v. 29, p. 254-277, 2010.</w:t>
            </w:r>
          </w:p>
        </w:tc>
      </w:tr>
    </w:tbl>
    <w:p>
      <w:pPr>
        <w:pBdr>
          <w:top w:val="none" w:color="auto" w:sz="0" w:space="0"/>
          <w:left w:val="none" w:color="auto" w:sz="0" w:space="0"/>
          <w:bottom w:val="none" w:color="auto" w:sz="0" w:space="0"/>
          <w:right w:val="none" w:color="auto" w:sz="0" w:space="0"/>
          <w:between w:val="none" w:color="auto" w:sz="0" w:space="0"/>
        </w:pBdr>
        <w:spacing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288" w:lineRule="auto"/>
        <w:ind w:left="0" w:hanging="2"/>
        <w:rPr>
          <w:rFonts w:ascii="Times New Roman" w:hAnsi="Times New Roman" w:eastAsia="Times New Roman" w:cs="Times New Roman"/>
          <w:color w:val="000000"/>
        </w:rPr>
      </w:pPr>
    </w:p>
    <w:tbl>
      <w:tblPr>
        <w:tblStyle w:val="570"/>
        <w:tblW w:w="8879" w:type="dxa"/>
        <w:tblInd w:w="2" w:type="dxa"/>
        <w:tblLayout w:type="fixed"/>
        <w:tblCellMar>
          <w:top w:w="0" w:type="dxa"/>
          <w:left w:w="22" w:type="dxa"/>
          <w:bottom w:w="0" w:type="dxa"/>
          <w:right w:w="22" w:type="dxa"/>
        </w:tblCellMar>
      </w:tblPr>
      <w:tblGrid>
        <w:gridCol w:w="2830"/>
        <w:gridCol w:w="3384"/>
        <w:gridCol w:w="20"/>
        <w:gridCol w:w="2645"/>
      </w:tblGrid>
      <w:tr>
        <w:tblPrEx>
          <w:tblCellMar>
            <w:top w:w="0" w:type="dxa"/>
            <w:left w:w="22" w:type="dxa"/>
            <w:bottom w:w="0" w:type="dxa"/>
            <w:right w:w="22" w:type="dxa"/>
          </w:tblCellMar>
        </w:tblPrEx>
        <w:trPr>
          <w:trHeight w:val="1844" w:hRule="atLeast"/>
        </w:trPr>
        <w:tc>
          <w:tcPr>
            <w:tcW w:w="6234" w:type="dxa"/>
            <w:gridSpan w:val="3"/>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Seminário de formação em Teoria da História e História da Historiografia VI</w:t>
            </w:r>
          </w:p>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Advanced Seminar on Theory and History of Historiography VI</w:t>
            </w:r>
          </w:p>
        </w:tc>
        <w:tc>
          <w:tcPr>
            <w:tcW w:w="2645"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HIS315</w:t>
            </w:r>
          </w:p>
        </w:tc>
      </w:tr>
      <w:tr>
        <w:tblPrEx>
          <w:tblCellMar>
            <w:top w:w="0" w:type="dxa"/>
            <w:left w:w="22" w:type="dxa"/>
            <w:bottom w:w="0" w:type="dxa"/>
            <w:right w:w="22" w:type="dxa"/>
          </w:tblCellMar>
        </w:tblPrEx>
        <w:trPr>
          <w:trHeight w:val="825" w:hRule="atLeast"/>
        </w:trPr>
        <w:tc>
          <w:tcPr>
            <w:tcW w:w="6234" w:type="dxa"/>
            <w:gridSpan w:val="3"/>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Departamento de História - DEHIS</w:t>
            </w:r>
          </w:p>
        </w:tc>
        <w:tc>
          <w:tcPr>
            <w:tcW w:w="2645"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2" w:hRule="atLeast"/>
        </w:trPr>
        <w:tc>
          <w:tcPr>
            <w:tcW w:w="2830"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43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7" w:line="360" w:lineRule="auto"/>
              <w:ind w:left="0" w:right="645"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semestral 90 horas</w:t>
            </w:r>
          </w:p>
        </w:tc>
        <w:tc>
          <w:tcPr>
            <w:tcW w:w="3384"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Carga horária semanal teórica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04 horas/aula</w:t>
            </w:r>
          </w:p>
        </w:tc>
        <w:tc>
          <w:tcPr>
            <w:tcW w:w="2665" w:type="dxa"/>
            <w:gridSpan w:val="2"/>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Carga horária semanal prática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02 horas/aula</w:t>
            </w:r>
          </w:p>
        </w:tc>
      </w:tr>
      <w:tr>
        <w:tblPrEx>
          <w:tblCellMar>
            <w:top w:w="0" w:type="dxa"/>
            <w:left w:w="22" w:type="dxa"/>
            <w:bottom w:w="0" w:type="dxa"/>
            <w:right w:w="22" w:type="dxa"/>
          </w:tblCellMar>
        </w:tblPrEx>
        <w:trPr>
          <w:trHeight w:val="850" w:hRule="atLeast"/>
        </w:trPr>
        <w:tc>
          <w:tcPr>
            <w:tcW w:w="8879" w:type="dxa"/>
            <w:gridSpan w:val="4"/>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Ementa: Principais problemas e conceitos das historiografias não ocidentais, das Teorias Pós-Coloniais e da Nova História Global.</w:t>
            </w:r>
          </w:p>
        </w:tc>
      </w:tr>
      <w:tr>
        <w:tblPrEx>
          <w:tblCellMar>
            <w:top w:w="0" w:type="dxa"/>
            <w:left w:w="22" w:type="dxa"/>
            <w:bottom w:w="0" w:type="dxa"/>
            <w:right w:w="22" w:type="dxa"/>
          </w:tblCellMar>
        </w:tblPrEx>
        <w:trPr>
          <w:trHeight w:val="4964" w:hRule="atLeast"/>
        </w:trPr>
        <w:tc>
          <w:tcPr>
            <w:tcW w:w="8879" w:type="dxa"/>
            <w:gridSpan w:val="4"/>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3"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Conteúdo programático: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3" w:hanging="2"/>
              <w:jc w:val="both"/>
              <w:rPr>
                <w:rFonts w:ascii="Times New Roman" w:hAnsi="Times New Roman" w:eastAsia="Times New Roman" w:cs="Times New Roman"/>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3"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Esta disciplina explora as questões abertas pelos movimentos P</w:t>
            </w:r>
            <w:r>
              <w:rPr>
                <w:rFonts w:ascii="Times New Roman" w:hAnsi="Times New Roman" w:eastAsia="Times New Roman" w:cs="Times New Roman"/>
                <w:i/>
                <w:color w:val="000000"/>
              </w:rPr>
              <w:t>ós-Colonial</w:t>
            </w:r>
            <w:r>
              <w:rPr>
                <w:rFonts w:ascii="Times New Roman" w:hAnsi="Times New Roman" w:eastAsia="Times New Roman" w:cs="Times New Roman"/>
                <w:color w:val="000000"/>
              </w:rPr>
              <w:t xml:space="preserve">e </w:t>
            </w:r>
            <w:r>
              <w:rPr>
                <w:rFonts w:ascii="Times New Roman" w:hAnsi="Times New Roman" w:eastAsia="Times New Roman" w:cs="Times New Roman"/>
                <w:i/>
                <w:color w:val="000000"/>
              </w:rPr>
              <w:t xml:space="preserve">Decolonial </w:t>
            </w:r>
            <w:r>
              <w:rPr>
                <w:rFonts w:ascii="Times New Roman" w:hAnsi="Times New Roman" w:eastAsia="Times New Roman" w:cs="Times New Roman"/>
                <w:color w:val="000000"/>
              </w:rPr>
              <w:t>no que se refere mais especificamente aos desafios lançados para o campo da Teoria da História. Será abordado o problema de como na sua formação disciplinar nos séculos XVIII XIX a História tematizou as sociedades não ocidentais. Em seguida, serão investigadas as críticas a tais pressupostos na segunda metade do século XX. Serão tematizados os desafios postos à produção intelectual nas ciências humanas em geral e em particular à escrita da história em regiões periféricas. A disciplina propõe também uma reflexão a respeito da relativa da crítica pós-colonial no Brasil.</w:t>
            </w:r>
          </w:p>
          <w:p>
            <w:pPr>
              <w:widowControl w:val="0"/>
              <w:numPr>
                <w:ilvl w:val="0"/>
                <w:numId w:val="72"/>
              </w:numPr>
              <w:pBdr>
                <w:top w:val="none" w:color="auto" w:sz="0" w:space="0"/>
                <w:left w:val="none" w:color="auto" w:sz="0" w:space="0"/>
                <w:bottom w:val="none" w:color="auto" w:sz="0" w:space="0"/>
                <w:right w:val="none" w:color="auto" w:sz="0" w:space="0"/>
                <w:between w:val="none" w:color="auto" w:sz="0" w:space="0"/>
              </w:pBdr>
              <w:tabs>
                <w:tab w:val="left" w:pos="0"/>
                <w:tab w:val="left" w:pos="818"/>
              </w:tabs>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Origens e precursores(1940-1960)</w:t>
            </w:r>
          </w:p>
          <w:p>
            <w:pPr>
              <w:widowControl w:val="0"/>
              <w:numPr>
                <w:ilvl w:val="0"/>
                <w:numId w:val="72"/>
              </w:numPr>
              <w:pBdr>
                <w:top w:val="none" w:color="auto" w:sz="0" w:space="0"/>
                <w:left w:val="none" w:color="auto" w:sz="0" w:space="0"/>
                <w:bottom w:val="none" w:color="auto" w:sz="0" w:space="0"/>
                <w:right w:val="none" w:color="auto" w:sz="0" w:space="0"/>
                <w:between w:val="none" w:color="auto" w:sz="0" w:space="0"/>
              </w:pBdr>
              <w:tabs>
                <w:tab w:val="left" w:pos="0"/>
                <w:tab w:val="left" w:pos="818"/>
              </w:tabs>
              <w:spacing w:before="129"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O Orientalismo e os estudos subalternos (anos 1970-1980)</w:t>
            </w:r>
          </w:p>
          <w:p>
            <w:pPr>
              <w:widowControl w:val="0"/>
              <w:numPr>
                <w:ilvl w:val="0"/>
                <w:numId w:val="72"/>
              </w:numPr>
              <w:pBdr>
                <w:top w:val="none" w:color="auto" w:sz="0" w:space="0"/>
                <w:left w:val="none" w:color="auto" w:sz="0" w:space="0"/>
                <w:bottom w:val="none" w:color="auto" w:sz="0" w:space="0"/>
                <w:right w:val="none" w:color="auto" w:sz="0" w:space="0"/>
                <w:between w:val="none" w:color="auto" w:sz="0" w:space="0"/>
              </w:pBdr>
              <w:tabs>
                <w:tab w:val="left" w:pos="0"/>
                <w:tab w:val="left" w:pos="817"/>
                <w:tab w:val="left" w:pos="818"/>
              </w:tabs>
              <w:spacing w:before="14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Desafios atuais do pós-colonialismo: Decolonialidade e História Global.</w:t>
            </w:r>
          </w:p>
          <w:p>
            <w:pPr>
              <w:widowControl w:val="0"/>
              <w:numPr>
                <w:ilvl w:val="0"/>
                <w:numId w:val="72"/>
              </w:numPr>
              <w:pBdr>
                <w:top w:val="none" w:color="auto" w:sz="0" w:space="0"/>
                <w:left w:val="none" w:color="auto" w:sz="0" w:space="0"/>
                <w:bottom w:val="none" w:color="auto" w:sz="0" w:space="0"/>
                <w:right w:val="none" w:color="auto" w:sz="0" w:space="0"/>
                <w:between w:val="none" w:color="auto" w:sz="0" w:space="0"/>
              </w:pBdr>
              <w:tabs>
                <w:tab w:val="left" w:pos="0"/>
                <w:tab w:val="left" w:pos="817"/>
                <w:tab w:val="left" w:pos="818"/>
              </w:tabs>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 crítica pós-colonial no Brasil.</w:t>
            </w:r>
          </w:p>
        </w:tc>
      </w:tr>
      <w:tr>
        <w:tblPrEx>
          <w:tblCellMar>
            <w:top w:w="0" w:type="dxa"/>
            <w:left w:w="22" w:type="dxa"/>
            <w:bottom w:w="0" w:type="dxa"/>
            <w:right w:w="22" w:type="dxa"/>
          </w:tblCellMar>
        </w:tblPrEx>
        <w:trPr>
          <w:trHeight w:val="2899" w:hRule="atLeast"/>
        </w:trPr>
        <w:tc>
          <w:tcPr>
            <w:tcW w:w="8879" w:type="dxa"/>
            <w:gridSpan w:val="4"/>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HALL, Stuart. </w:t>
            </w:r>
            <w:r>
              <w:rPr>
                <w:rFonts w:ascii="Times New Roman" w:hAnsi="Times New Roman" w:eastAsia="Times New Roman" w:cs="Times New Roman"/>
                <w:i/>
                <w:color w:val="000000"/>
              </w:rPr>
              <w:t xml:space="preserve">Da Diáspora. </w:t>
            </w:r>
            <w:r>
              <w:rPr>
                <w:rFonts w:ascii="Times New Roman" w:hAnsi="Times New Roman" w:eastAsia="Times New Roman" w:cs="Times New Roman"/>
                <w:color w:val="000000"/>
              </w:rPr>
              <w:t>Belo Horizonte: Ed.UFMG, 2003.</w:t>
            </w:r>
          </w:p>
          <w:p>
            <w:pPr>
              <w:widowControl w:val="0"/>
              <w:pBdr>
                <w:top w:val="none" w:color="auto" w:sz="0" w:space="0"/>
                <w:left w:val="none" w:color="auto" w:sz="0" w:space="0"/>
                <w:bottom w:val="none" w:color="auto" w:sz="0" w:space="0"/>
                <w:right w:val="none" w:color="auto" w:sz="0" w:space="0"/>
                <w:between w:val="none" w:color="auto" w:sz="0" w:space="0"/>
              </w:pBdr>
              <w:spacing w:before="136" w:line="360" w:lineRule="auto"/>
              <w:ind w:left="0" w:right="753"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CESAIRE, Aimé. </w:t>
            </w:r>
            <w:r>
              <w:rPr>
                <w:rFonts w:ascii="Times New Roman" w:hAnsi="Times New Roman" w:eastAsia="Times New Roman" w:cs="Times New Roman"/>
                <w:i/>
                <w:color w:val="000000"/>
              </w:rPr>
              <w:t xml:space="preserve">Discurso sobre o colonialismo. </w:t>
            </w:r>
            <w:r>
              <w:rPr>
                <w:rFonts w:ascii="Times New Roman" w:hAnsi="Times New Roman" w:eastAsia="Times New Roman" w:cs="Times New Roman"/>
                <w:color w:val="000000"/>
              </w:rPr>
              <w:t>Lisboa: Livraria Sá da Costa Editora, 1978.</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3"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FANON. Franz. </w:t>
            </w:r>
            <w:r>
              <w:rPr>
                <w:rFonts w:ascii="Times New Roman" w:hAnsi="Times New Roman" w:eastAsia="Times New Roman" w:cs="Times New Roman"/>
                <w:i/>
                <w:color w:val="000000"/>
              </w:rPr>
              <w:t xml:space="preserve">Os Condenados da Terra. </w:t>
            </w:r>
            <w:r>
              <w:rPr>
                <w:rFonts w:ascii="Times New Roman" w:hAnsi="Times New Roman" w:eastAsia="Times New Roman" w:cs="Times New Roman"/>
                <w:color w:val="000000"/>
              </w:rPr>
              <w:t xml:space="preserve">Rio de Janeiro: Civilização Brasileira, 1968. </w:t>
            </w:r>
            <w:r>
              <w:rPr>
                <w:rFonts w:ascii="Times New Roman" w:hAnsi="Times New Roman" w:eastAsia="Times New Roman" w:cs="Times New Roman"/>
                <w:i/>
                <w:color w:val="000000"/>
              </w:rPr>
              <w:t>pp 23-74.</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SAHID, Edward. </w:t>
            </w:r>
            <w:r>
              <w:rPr>
                <w:rFonts w:ascii="Times New Roman" w:hAnsi="Times New Roman" w:eastAsia="Times New Roman" w:cs="Times New Roman"/>
                <w:i/>
                <w:color w:val="000000"/>
              </w:rPr>
              <w:t xml:space="preserve">O orientalismo. O oriente como invenção do ocidente. </w:t>
            </w:r>
            <w:r>
              <w:rPr>
                <w:rFonts w:ascii="Times New Roman" w:hAnsi="Times New Roman" w:eastAsia="Times New Roman" w:cs="Times New Roman"/>
                <w:color w:val="000000"/>
              </w:rPr>
              <w:t>São Paulo: Cia das Letras, 1990.</w:t>
            </w:r>
          </w:p>
          <w:p>
            <w:pPr>
              <w:widowControl w:val="0"/>
              <w:pBdr>
                <w:top w:val="none" w:color="auto" w:sz="0" w:space="0"/>
                <w:left w:val="none" w:color="auto" w:sz="0" w:space="0"/>
                <w:bottom w:val="none" w:color="auto" w:sz="0" w:space="0"/>
                <w:right w:val="none" w:color="auto" w:sz="0" w:space="0"/>
                <w:between w:val="none" w:color="auto" w:sz="0" w:space="0"/>
              </w:pBdr>
              <w:spacing w:before="240"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RAMOS, Guerreiro. </w:t>
            </w:r>
            <w:r>
              <w:rPr>
                <w:rFonts w:ascii="Times New Roman" w:hAnsi="Times New Roman" w:eastAsia="Times New Roman" w:cs="Times New Roman"/>
                <w:i/>
                <w:color w:val="000000"/>
              </w:rPr>
              <w:t xml:space="preserve">A redução Sociológica: introdução ao estudo da razão sociológica. </w:t>
            </w:r>
            <w:r>
              <w:rPr>
                <w:rFonts w:ascii="Times New Roman" w:hAnsi="Times New Roman" w:eastAsia="Times New Roman" w:cs="Times New Roman"/>
                <w:color w:val="000000"/>
              </w:rPr>
              <w:t>Rio de Janeiro: Rempo Brasileiro, 1965.</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tc>
      </w:tr>
    </w:tbl>
    <w:p>
      <w:pPr>
        <w:ind w:left="0" w:hanging="2"/>
        <w:rPr>
          <w:rFonts w:ascii="Times New Roman" w:hAnsi="Times New Roman" w:cs="Times New Roman"/>
        </w:rPr>
        <w:sectPr>
          <w:headerReference r:id="rId28" w:type="first"/>
          <w:footerReference r:id="rId31" w:type="first"/>
          <w:headerReference r:id="rId26" w:type="default"/>
          <w:footerReference r:id="rId29" w:type="default"/>
          <w:headerReference r:id="rId27" w:type="even"/>
          <w:footerReference r:id="rId30" w:type="even"/>
          <w:pgSz w:w="11906" w:h="16838"/>
          <w:pgMar w:top="1840" w:right="260" w:bottom="1180" w:left="1420" w:header="571" w:footer="935" w:gutter="0"/>
          <w:cols w:space="720" w:num="1"/>
        </w:sect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tbl>
      <w:tblPr>
        <w:tblStyle w:val="571"/>
        <w:tblW w:w="8879" w:type="dxa"/>
        <w:tblInd w:w="2" w:type="dxa"/>
        <w:tblLayout w:type="fixed"/>
        <w:tblCellMar>
          <w:top w:w="0" w:type="dxa"/>
          <w:left w:w="22" w:type="dxa"/>
          <w:bottom w:w="0" w:type="dxa"/>
          <w:right w:w="22" w:type="dxa"/>
        </w:tblCellMar>
      </w:tblPr>
      <w:tblGrid>
        <w:gridCol w:w="8879"/>
      </w:tblGrid>
      <w:tr>
        <w:tblPrEx>
          <w:tblCellMar>
            <w:top w:w="0" w:type="dxa"/>
            <w:left w:w="22" w:type="dxa"/>
            <w:bottom w:w="0" w:type="dxa"/>
            <w:right w:w="22" w:type="dxa"/>
          </w:tblCellMar>
        </w:tblPrEx>
        <w:trPr>
          <w:trHeight w:val="4138" w:hRule="atLeast"/>
        </w:trPr>
        <w:tc>
          <w:tcPr>
            <w:tcW w:w="8879" w:type="dxa"/>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right="62"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SANTOS, Boaventura Souza. </w:t>
            </w:r>
            <w:r>
              <w:rPr>
                <w:rFonts w:ascii="Times New Roman" w:hAnsi="Times New Roman" w:eastAsia="Times New Roman" w:cs="Times New Roman"/>
                <w:i/>
                <w:color w:val="000000"/>
              </w:rPr>
              <w:t>Epistemologias do sul</w:t>
            </w:r>
            <w:r>
              <w:rPr>
                <w:rFonts w:ascii="Times New Roman" w:hAnsi="Times New Roman" w:eastAsia="Times New Roman" w:cs="Times New Roman"/>
                <w:color w:val="000000"/>
              </w:rPr>
              <w:t xml:space="preserve">. São Paulo: Cortez, 2010. NASCIMENTO, Abdias do. </w:t>
            </w:r>
            <w:r>
              <w:rPr>
                <w:rFonts w:ascii="Times New Roman" w:hAnsi="Times New Roman" w:eastAsia="Times New Roman" w:cs="Times New Roman"/>
                <w:i/>
                <w:color w:val="000000"/>
              </w:rPr>
              <w:t xml:space="preserve">O genocídio do negro brasileiro: processo de um racismo mascarado. </w:t>
            </w:r>
            <w:r>
              <w:rPr>
                <w:rFonts w:ascii="Times New Roman" w:hAnsi="Times New Roman" w:eastAsia="Times New Roman" w:cs="Times New Roman"/>
                <w:color w:val="000000"/>
              </w:rPr>
              <w:t>Rio de Janeiro: Paz e Terra,1978.</w:t>
            </w: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SETH, Sanjay. </w:t>
            </w:r>
            <w:r>
              <w:rPr>
                <w:rFonts w:ascii="Times New Roman" w:hAnsi="Times New Roman" w:eastAsia="Times New Roman" w:cs="Times New Roman"/>
                <w:i/>
                <w:color w:val="000000"/>
              </w:rPr>
              <w:t>“Razão ou Raciocínio? Clio ou Shiva?” História da Hist</w:t>
            </w:r>
            <w:r>
              <w:rPr>
                <w:rFonts w:ascii="Times New Roman" w:hAnsi="Times New Roman" w:eastAsia="Times New Roman" w:cs="Times New Roman"/>
                <w:color w:val="000000"/>
              </w:rPr>
              <w:t>oriografia. Ouro Preto. número 11. Abril. 2013.</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427"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SWARCZ, Roberto. “As idéias fora do lugar”. </w:t>
            </w:r>
            <w:r>
              <w:rPr>
                <w:rFonts w:ascii="Times New Roman" w:hAnsi="Times New Roman" w:eastAsia="Times New Roman" w:cs="Times New Roman"/>
                <w:i/>
                <w:color w:val="000000"/>
              </w:rPr>
              <w:t>Novos Estudos</w:t>
            </w:r>
            <w:r>
              <w:rPr>
                <w:rFonts w:ascii="Times New Roman" w:hAnsi="Times New Roman" w:eastAsia="Times New Roman" w:cs="Times New Roman"/>
                <w:color w:val="000000"/>
              </w:rPr>
              <w:t xml:space="preserve">. Cebrap, n. 3, 1989. MBEMBE, Aquile. </w:t>
            </w:r>
            <w:r>
              <w:rPr>
                <w:rFonts w:ascii="Times New Roman" w:hAnsi="Times New Roman" w:eastAsia="Times New Roman" w:cs="Times New Roman"/>
                <w:i/>
                <w:color w:val="000000"/>
              </w:rPr>
              <w:t xml:space="preserve">Crítica da Razão Negra. </w:t>
            </w:r>
            <w:r>
              <w:rPr>
                <w:rFonts w:ascii="Times New Roman" w:hAnsi="Times New Roman" w:eastAsia="Times New Roman" w:cs="Times New Roman"/>
                <w:color w:val="000000"/>
              </w:rPr>
              <w:t>Lisboa: Antigona, 2014</w:t>
            </w:r>
          </w:p>
          <w:p>
            <w:pPr>
              <w:widowControl w:val="0"/>
              <w:pBdr>
                <w:top w:val="none" w:color="auto" w:sz="0" w:space="0"/>
                <w:left w:val="none" w:color="auto" w:sz="0" w:space="0"/>
                <w:bottom w:val="none" w:color="auto" w:sz="0" w:space="0"/>
                <w:right w:val="none" w:color="auto" w:sz="0" w:space="0"/>
                <w:between w:val="none" w:color="auto" w:sz="0" w:space="0"/>
              </w:pBdr>
              <w:spacing w:before="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BHABHA, Homi. </w:t>
            </w:r>
            <w:r>
              <w:rPr>
                <w:rFonts w:ascii="Times New Roman" w:hAnsi="Times New Roman" w:eastAsia="Times New Roman" w:cs="Times New Roman"/>
                <w:i/>
                <w:color w:val="000000"/>
              </w:rPr>
              <w:t xml:space="preserve">Nación y narración </w:t>
            </w:r>
            <w:r>
              <w:rPr>
                <w:rFonts w:ascii="Times New Roman" w:hAnsi="Times New Roman" w:eastAsia="Times New Roman" w:cs="Times New Roman"/>
                <w:color w:val="000000"/>
              </w:rPr>
              <w:t>- 1a ed. - Buenos Aires: Siglo Veintiuno</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Editores, 2010.</w:t>
            </w:r>
          </w:p>
        </w:tc>
      </w:tr>
    </w:tbl>
    <w:p>
      <w:pPr>
        <w:pBdr>
          <w:top w:val="none" w:color="auto" w:sz="0" w:space="0"/>
          <w:left w:val="none" w:color="auto" w:sz="0" w:space="0"/>
          <w:bottom w:val="none" w:color="auto" w:sz="0" w:space="0"/>
          <w:right w:val="none" w:color="auto" w:sz="0" w:space="0"/>
          <w:between w:val="none" w:color="auto" w:sz="0" w:space="0"/>
        </w:pBdr>
        <w:spacing w:before="8" w:after="140" w:line="288" w:lineRule="auto"/>
        <w:ind w:left="0" w:leftChars="0" w:firstLine="0" w:firstLineChars="0"/>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8" w:after="140" w:line="288" w:lineRule="auto"/>
        <w:ind w:left="0" w:hanging="2"/>
        <w:rPr>
          <w:rFonts w:ascii="Times New Roman" w:hAnsi="Times New Roman" w:eastAsia="Times New Roman" w:cs="Times New Roman"/>
          <w:color w:val="000000"/>
        </w:rPr>
      </w:pPr>
    </w:p>
    <w:tbl>
      <w:tblPr>
        <w:tblStyle w:val="572"/>
        <w:tblW w:w="8879" w:type="dxa"/>
        <w:tblInd w:w="2" w:type="dxa"/>
        <w:tblLayout w:type="fixed"/>
        <w:tblCellMar>
          <w:top w:w="0" w:type="dxa"/>
          <w:left w:w="22" w:type="dxa"/>
          <w:bottom w:w="0" w:type="dxa"/>
          <w:right w:w="5" w:type="dxa"/>
        </w:tblCellMar>
      </w:tblPr>
      <w:tblGrid>
        <w:gridCol w:w="2974"/>
        <w:gridCol w:w="3405"/>
        <w:gridCol w:w="2500"/>
      </w:tblGrid>
      <w:tr>
        <w:tblPrEx>
          <w:tblCellMar>
            <w:top w:w="0" w:type="dxa"/>
            <w:left w:w="22" w:type="dxa"/>
            <w:bottom w:w="0" w:type="dxa"/>
            <w:right w:w="5" w:type="dxa"/>
          </w:tblCellMar>
        </w:tblPrEx>
        <w:trPr>
          <w:trHeight w:val="2164" w:hRule="atLeast"/>
        </w:trPr>
        <w:tc>
          <w:tcPr>
            <w:tcW w:w="6379"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4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Seminário de Formação em Teoria da História e História da Historiografia VII</w:t>
            </w:r>
          </w:p>
          <w:p>
            <w:pPr>
              <w:widowControl w:val="0"/>
              <w:pBdr>
                <w:top w:val="none" w:color="auto" w:sz="0" w:space="0"/>
                <w:left w:val="none" w:color="auto" w:sz="0" w:space="0"/>
                <w:bottom w:val="none" w:color="auto" w:sz="0" w:space="0"/>
                <w:right w:val="none" w:color="auto" w:sz="0" w:space="0"/>
                <w:between w:val="none" w:color="auto" w:sz="0" w:space="0"/>
              </w:pBdr>
              <w:spacing w:before="10"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354"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Gateway Seminar in Theory of History and History of Historiography VII</w:t>
            </w:r>
          </w:p>
        </w:tc>
        <w:tc>
          <w:tcPr>
            <w:tcW w:w="2500"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before="6"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HIS316</w:t>
            </w:r>
          </w:p>
        </w:tc>
      </w:tr>
      <w:tr>
        <w:tblPrEx>
          <w:tblCellMar>
            <w:top w:w="0" w:type="dxa"/>
            <w:left w:w="22" w:type="dxa"/>
            <w:bottom w:w="0" w:type="dxa"/>
            <w:right w:w="5" w:type="dxa"/>
          </w:tblCellMar>
        </w:tblPrEx>
        <w:trPr>
          <w:trHeight w:val="825" w:hRule="atLeast"/>
        </w:trPr>
        <w:tc>
          <w:tcPr>
            <w:tcW w:w="6379"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Departamento de História – DEHIS</w:t>
            </w:r>
          </w:p>
        </w:tc>
        <w:tc>
          <w:tcPr>
            <w:tcW w:w="2500"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ICHS</w:t>
            </w:r>
          </w:p>
        </w:tc>
      </w:tr>
      <w:tr>
        <w:tblPrEx>
          <w:tblCellMar>
            <w:top w:w="0" w:type="dxa"/>
            <w:left w:w="22" w:type="dxa"/>
            <w:bottom w:w="0" w:type="dxa"/>
            <w:right w:w="5" w:type="dxa"/>
          </w:tblCellMar>
        </w:tblPrEx>
        <w:trPr>
          <w:trHeight w:val="1243" w:hRule="atLeast"/>
        </w:trPr>
        <w:tc>
          <w:tcPr>
            <w:tcW w:w="2974"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0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96"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3405"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9"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2500"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96"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96"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02 horas/aula</w:t>
            </w:r>
          </w:p>
        </w:tc>
      </w:tr>
      <w:tr>
        <w:tblPrEx>
          <w:tblCellMar>
            <w:top w:w="0" w:type="dxa"/>
            <w:left w:w="22" w:type="dxa"/>
            <w:bottom w:w="0" w:type="dxa"/>
            <w:right w:w="5" w:type="dxa"/>
          </w:tblCellMar>
        </w:tblPrEx>
        <w:trPr>
          <w:trHeight w:val="548" w:hRule="atLeast"/>
        </w:trPr>
        <w:tc>
          <w:tcPr>
            <w:tcW w:w="8879"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b/>
                <w:color w:val="000000"/>
              </w:rPr>
              <w:t>Ementa</w:t>
            </w:r>
            <w:r>
              <w:rPr>
                <w:rFonts w:ascii="Times New Roman" w:hAnsi="Times New Roman" w:eastAsia="Times New Roman" w:cs="Times New Roman"/>
                <w:color w:val="000000"/>
              </w:rPr>
              <w:t>:</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Estudo das principais obras, conceitos e problemas das historiografia norte-americana nos séculos XIX-XX.</w:t>
            </w:r>
          </w:p>
          <w:p>
            <w:pPr>
              <w:widowControl w:val="0"/>
              <w:pBdr>
                <w:top w:val="none" w:color="auto" w:sz="0" w:space="0"/>
                <w:left w:val="none" w:color="auto" w:sz="0" w:space="0"/>
                <w:bottom w:val="none" w:color="auto" w:sz="0" w:space="0"/>
                <w:right w:val="none" w:color="auto" w:sz="0" w:space="0"/>
                <w:between w:val="none" w:color="auto" w:sz="0" w:space="0"/>
              </w:pBdr>
              <w:spacing w:before="141" w:line="240" w:lineRule="auto"/>
              <w:ind w:left="0" w:hanging="2"/>
              <w:rPr>
                <w:rFonts w:ascii="Times New Roman" w:hAnsi="Times New Roman" w:eastAsia="Times New Roman" w:cs="Times New Roman"/>
                <w:color w:val="000000"/>
              </w:rPr>
            </w:pPr>
          </w:p>
        </w:tc>
      </w:tr>
      <w:tr>
        <w:tblPrEx>
          <w:tblCellMar>
            <w:top w:w="0" w:type="dxa"/>
            <w:left w:w="22" w:type="dxa"/>
            <w:bottom w:w="0" w:type="dxa"/>
            <w:right w:w="5" w:type="dxa"/>
          </w:tblCellMar>
        </w:tblPrEx>
        <w:trPr>
          <w:trHeight w:val="547" w:hRule="atLeast"/>
        </w:trPr>
        <w:tc>
          <w:tcPr>
            <w:tcW w:w="8879"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b/>
                <w:color w:val="000000"/>
              </w:rPr>
            </w:pPr>
            <w:r>
              <w:rPr>
                <w:rFonts w:ascii="Times New Roman" w:hAnsi="Times New Roman" w:eastAsia="Times New Roman" w:cs="Times New Roman"/>
                <w:b/>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tabs>
                <w:tab w:val="left" w:pos="1411"/>
                <w:tab w:val="left" w:pos="1766"/>
                <w:tab w:val="left" w:pos="2950"/>
                <w:tab w:val="left" w:pos="3827"/>
                <w:tab w:val="left" w:pos="4187"/>
                <w:tab w:val="left" w:pos="5577"/>
                <w:tab w:val="left" w:pos="6134"/>
                <w:tab w:val="left" w:pos="7390"/>
                <w:tab w:val="left" w:pos="8229"/>
              </w:tabs>
              <w:spacing w:before="1" w:line="360" w:lineRule="auto"/>
              <w:ind w:left="0" w:right="58" w:hanging="2"/>
              <w:rPr>
                <w:rFonts w:ascii="Times New Roman" w:hAnsi="Times New Roman" w:eastAsia="Times New Roman" w:cs="Times New Roman"/>
                <w:color w:val="000000"/>
              </w:rPr>
            </w:pPr>
            <w:r>
              <w:rPr>
                <w:rFonts w:ascii="Times New Roman" w:hAnsi="Times New Roman" w:eastAsia="Times New Roman" w:cs="Times New Roman"/>
                <w:b/>
              </w:rPr>
              <w:t xml:space="preserve">   </w:t>
            </w:r>
            <w:r>
              <w:rPr>
                <w:rFonts w:ascii="Times New Roman" w:hAnsi="Times New Roman" w:eastAsia="Times New Roman" w:cs="Times New Roman"/>
                <w:color w:val="000000"/>
              </w:rPr>
              <w:t>Unidade I.</w:t>
            </w:r>
            <w:r>
              <w:rPr>
                <w:rFonts w:ascii="Times New Roman" w:hAnsi="Times New Roman" w:eastAsia="Times New Roman" w:cs="Times New Roman"/>
              </w:rPr>
              <w:t xml:space="preserve"> </w:t>
            </w:r>
            <w:r>
              <w:rPr>
                <w:rFonts w:ascii="Times New Roman" w:hAnsi="Times New Roman" w:eastAsia="Times New Roman" w:cs="Times New Roman"/>
                <w:color w:val="000000"/>
              </w:rPr>
              <w:t>Espaço,</w:t>
            </w:r>
            <w:r>
              <w:rPr>
                <w:rFonts w:ascii="Times New Roman" w:hAnsi="Times New Roman" w:eastAsia="Times New Roman" w:cs="Times New Roman"/>
              </w:rPr>
              <w:t xml:space="preserve"> </w:t>
            </w:r>
            <w:r>
              <w:rPr>
                <w:rFonts w:ascii="Times New Roman" w:hAnsi="Times New Roman" w:eastAsia="Times New Roman" w:cs="Times New Roman"/>
                <w:color w:val="000000"/>
              </w:rPr>
              <w:t>raça</w:t>
            </w:r>
            <w:r>
              <w:rPr>
                <w:rFonts w:ascii="Times New Roman" w:hAnsi="Times New Roman" w:eastAsia="Times New Roman" w:cs="Times New Roman"/>
              </w:rPr>
              <w:t xml:space="preserve"> </w:t>
            </w:r>
            <w:r>
              <w:rPr>
                <w:rFonts w:ascii="Times New Roman" w:hAnsi="Times New Roman" w:eastAsia="Times New Roman" w:cs="Times New Roman"/>
                <w:color w:val="000000"/>
              </w:rPr>
              <w:t>e</w:t>
            </w:r>
            <w:r>
              <w:rPr>
                <w:rFonts w:ascii="Times New Roman" w:hAnsi="Times New Roman" w:eastAsia="Times New Roman" w:cs="Times New Roman"/>
              </w:rPr>
              <w:t xml:space="preserve">  </w:t>
            </w:r>
            <w:r>
              <w:rPr>
                <w:rFonts w:ascii="Times New Roman" w:hAnsi="Times New Roman" w:eastAsia="Times New Roman" w:cs="Times New Roman"/>
                <w:color w:val="000000"/>
              </w:rPr>
              <w:t>história:</w:t>
            </w:r>
            <w:r>
              <w:rPr>
                <w:rFonts w:ascii="Times New Roman" w:hAnsi="Times New Roman" w:eastAsia="Times New Roman" w:cs="Times New Roman"/>
              </w:rPr>
              <w:t xml:space="preserve"> </w:t>
            </w:r>
            <w:r>
              <w:rPr>
                <w:rFonts w:ascii="Times New Roman" w:hAnsi="Times New Roman" w:eastAsia="Times New Roman" w:cs="Times New Roman"/>
                <w:color w:val="000000"/>
              </w:rPr>
              <w:t>da</w:t>
            </w:r>
            <w:r>
              <w:rPr>
                <w:rFonts w:ascii="Times New Roman" w:hAnsi="Times New Roman" w:eastAsia="Times New Roman" w:cs="Times New Roman"/>
              </w:rPr>
              <w:t xml:space="preserve"> </w:t>
            </w:r>
            <w:r>
              <w:rPr>
                <w:rFonts w:ascii="Times New Roman" w:hAnsi="Times New Roman" w:eastAsia="Times New Roman" w:cs="Times New Roman"/>
                <w:color w:val="000000"/>
              </w:rPr>
              <w:t>‘collor</w:t>
            </w:r>
            <w:r>
              <w:rPr>
                <w:rFonts w:ascii="Times New Roman" w:hAnsi="Times New Roman" w:eastAsia="Times New Roman" w:cs="Times New Roman"/>
              </w:rPr>
              <w:t xml:space="preserve"> </w:t>
            </w:r>
            <w:r>
              <w:rPr>
                <w:rFonts w:ascii="Times New Roman" w:hAnsi="Times New Roman" w:eastAsia="Times New Roman" w:cs="Times New Roman"/>
                <w:color w:val="000000"/>
              </w:rPr>
              <w:t>line’</w:t>
            </w:r>
            <w:r>
              <w:rPr>
                <w:rFonts w:ascii="Times New Roman" w:hAnsi="Times New Roman" w:eastAsia="Times New Roman" w:cs="Times New Roman"/>
              </w:rPr>
              <w:t xml:space="preserve"> </w:t>
            </w:r>
            <w:r>
              <w:rPr>
                <w:rFonts w:ascii="Times New Roman" w:hAnsi="Times New Roman" w:eastAsia="Times New Roman" w:cs="Times New Roman"/>
                <w:color w:val="000000"/>
              </w:rPr>
              <w:t>à fronteira</w:t>
            </w:r>
          </w:p>
          <w:p>
            <w:pPr>
              <w:widowControl w:val="0"/>
              <w:pBdr>
                <w:top w:val="none" w:color="auto" w:sz="0" w:space="0"/>
                <w:left w:val="none" w:color="auto" w:sz="0" w:space="0"/>
                <w:bottom w:val="none" w:color="auto" w:sz="0" w:space="0"/>
                <w:right w:val="none" w:color="auto" w:sz="0" w:space="0"/>
                <w:between w:val="none" w:color="auto" w:sz="0" w:space="0"/>
              </w:pBdr>
              <w:spacing w:before="2"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II. Do positivismo à historiografia crítica.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III Historiografia e crítica cultural unidade.</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IV. Debates contemporâneos.</w:t>
            </w:r>
          </w:p>
        </w:tc>
      </w:tr>
      <w:tr>
        <w:tblPrEx>
          <w:tblCellMar>
            <w:top w:w="0" w:type="dxa"/>
            <w:left w:w="22" w:type="dxa"/>
            <w:bottom w:w="0" w:type="dxa"/>
            <w:right w:w="5" w:type="dxa"/>
          </w:tblCellMar>
        </w:tblPrEx>
        <w:trPr>
          <w:trHeight w:val="2899" w:hRule="atLeast"/>
        </w:trPr>
        <w:tc>
          <w:tcPr>
            <w:tcW w:w="8879"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before="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829"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DU BOIS, W. E. B. </w:t>
            </w:r>
            <w:r>
              <w:rPr>
                <w:rFonts w:ascii="Times New Roman" w:hAnsi="Times New Roman" w:eastAsia="Times New Roman" w:cs="Times New Roman"/>
                <w:i/>
                <w:color w:val="000000"/>
              </w:rPr>
              <w:t xml:space="preserve">As almas da gente negra. </w:t>
            </w:r>
            <w:r>
              <w:rPr>
                <w:rFonts w:ascii="Times New Roman" w:hAnsi="Times New Roman" w:eastAsia="Times New Roman" w:cs="Times New Roman"/>
                <w:color w:val="000000"/>
              </w:rPr>
              <w:t xml:space="preserve">Rio de Janeiro: Lacerda, 1999. LASCH, Christopher. </w:t>
            </w:r>
            <w:r>
              <w:rPr>
                <w:rFonts w:ascii="Times New Roman" w:hAnsi="Times New Roman" w:eastAsia="Times New Roman" w:cs="Times New Roman"/>
                <w:i/>
                <w:color w:val="000000"/>
              </w:rPr>
              <w:t>Refúgio num mundo sem coração</w:t>
            </w:r>
            <w:r>
              <w:rPr>
                <w:rFonts w:ascii="Times New Roman" w:hAnsi="Times New Roman" w:eastAsia="Times New Roman" w:cs="Times New Roman"/>
                <w:color w:val="000000"/>
              </w:rPr>
              <w:t>. Rio de Janeiro: Paz &amp; Terra, 1991.</w:t>
            </w:r>
          </w:p>
          <w:p>
            <w:pPr>
              <w:widowControl w:val="0"/>
              <w:pBdr>
                <w:top w:val="none" w:color="auto" w:sz="0" w:space="0"/>
                <w:left w:val="none" w:color="auto" w:sz="0" w:space="0"/>
                <w:bottom w:val="none" w:color="auto" w:sz="0" w:space="0"/>
                <w:right w:val="none" w:color="auto" w:sz="0" w:space="0"/>
                <w:between w:val="none" w:color="auto" w:sz="0" w:space="0"/>
              </w:pBdr>
              <w:spacing w:before="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TURNER, Frederick Jackson. El significado de la frontera en la historia</w:t>
            </w:r>
          </w:p>
          <w:p>
            <w:pPr>
              <w:widowControl w:val="0"/>
              <w:pBdr>
                <w:top w:val="none" w:color="auto" w:sz="0" w:space="0"/>
                <w:left w:val="none" w:color="auto" w:sz="0" w:space="0"/>
                <w:bottom w:val="none" w:color="auto" w:sz="0" w:space="0"/>
                <w:right w:val="none" w:color="auto" w:sz="0" w:space="0"/>
                <w:between w:val="none" w:color="auto" w:sz="0" w:space="0"/>
              </w:pBdr>
              <w:spacing w:before="138"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americana. </w:t>
            </w:r>
            <w:r>
              <w:rPr>
                <w:rFonts w:ascii="Times New Roman" w:hAnsi="Times New Roman" w:eastAsia="Times New Roman" w:cs="Times New Roman"/>
                <w:i/>
                <w:color w:val="000000"/>
              </w:rPr>
              <w:t>Secuencia</w:t>
            </w:r>
            <w:r>
              <w:rPr>
                <w:rFonts w:ascii="Times New Roman" w:hAnsi="Times New Roman" w:eastAsia="Times New Roman" w:cs="Times New Roman"/>
                <w:color w:val="000000"/>
              </w:rPr>
              <w:t>, n. 7, p. 187-207, 1987.</w:t>
            </w:r>
          </w:p>
        </w:tc>
      </w:tr>
      <w:tr>
        <w:tblPrEx>
          <w:tblCellMar>
            <w:top w:w="0" w:type="dxa"/>
            <w:left w:w="22" w:type="dxa"/>
            <w:bottom w:w="0" w:type="dxa"/>
            <w:right w:w="5" w:type="dxa"/>
          </w:tblCellMar>
        </w:tblPrEx>
        <w:trPr>
          <w:trHeight w:val="7455" w:hRule="atLeast"/>
        </w:trPr>
        <w:tc>
          <w:tcPr>
            <w:tcW w:w="8879" w:type="dxa"/>
            <w:gridSpan w:val="3"/>
            <w:tcBorders>
              <w:top w:val="single" w:color="000000" w:sz="4" w:space="0"/>
              <w:left w:val="single" w:color="000000" w:sz="18" w:space="0"/>
              <w:bottom w:val="single" w:color="000000" w:sz="18"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7"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AVILA, Arthur Lima de. O passado despedaçado: o espectro da fragmentação profissional na historiografia norte-americana (c.1980-1990). </w:t>
            </w:r>
            <w:r>
              <w:rPr>
                <w:rFonts w:ascii="Times New Roman" w:hAnsi="Times New Roman" w:eastAsia="Times New Roman" w:cs="Times New Roman"/>
                <w:i/>
                <w:color w:val="000000"/>
              </w:rPr>
              <w:t>História da Historiografia</w:t>
            </w:r>
            <w:r>
              <w:rPr>
                <w:rFonts w:ascii="Times New Roman" w:hAnsi="Times New Roman" w:eastAsia="Times New Roman" w:cs="Times New Roman"/>
                <w:color w:val="000000"/>
              </w:rPr>
              <w:t>, n. 4, p. 145-162, 2010.</w:t>
            </w:r>
          </w:p>
          <w:p>
            <w:pPr>
              <w:widowControl w:val="0"/>
              <w:pBdr>
                <w:top w:val="none" w:color="auto" w:sz="0" w:space="0"/>
                <w:left w:val="none" w:color="auto" w:sz="0" w:space="0"/>
                <w:bottom w:val="none" w:color="auto" w:sz="0" w:space="0"/>
                <w:right w:val="none" w:color="auto" w:sz="0" w:space="0"/>
                <w:between w:val="none" w:color="auto" w:sz="0" w:space="0"/>
              </w:pBdr>
              <w:spacing w:before="2" w:line="360" w:lineRule="auto"/>
              <w:ind w:left="0" w:right="55"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AVILA, Arthur Lima de. A quem pertence o passado norte-americano? A controvérsia sobre os National History Standards nos Estados Unidos (1994-1996). </w:t>
            </w:r>
            <w:r>
              <w:rPr>
                <w:rFonts w:ascii="Times New Roman" w:hAnsi="Times New Roman" w:eastAsia="Times New Roman" w:cs="Times New Roman"/>
                <w:i/>
                <w:color w:val="000000"/>
              </w:rPr>
              <w:t>Anos 90</w:t>
            </w:r>
            <w:r>
              <w:rPr>
                <w:rFonts w:ascii="Times New Roman" w:hAnsi="Times New Roman" w:eastAsia="Times New Roman" w:cs="Times New Roman"/>
                <w:color w:val="000000"/>
              </w:rPr>
              <w:t>, v. 22, n. 41, p. 29-53,2015.</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57"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BEARD, Charles. “Aquele sonho nobre”. In: MALERBA, Jurandir (org). </w:t>
            </w:r>
            <w:r>
              <w:rPr>
                <w:rFonts w:ascii="Times New Roman" w:hAnsi="Times New Roman" w:eastAsia="Times New Roman" w:cs="Times New Roman"/>
                <w:i/>
                <w:color w:val="000000"/>
              </w:rPr>
              <w:t>Lições de história</w:t>
            </w:r>
            <w:r>
              <w:rPr>
                <w:rFonts w:ascii="Times New Roman" w:hAnsi="Times New Roman" w:eastAsia="Times New Roman" w:cs="Times New Roman"/>
                <w:color w:val="000000"/>
              </w:rPr>
              <w:t>. Da história científica à crítica da razão histórica no limiar do século XX. Porto Alegre/Rio de Janeiro: EdPUCRS/FGV, 2013, p. 338-353.</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1"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DU BOIS, W. E. B. </w:t>
            </w:r>
            <w:r>
              <w:rPr>
                <w:rFonts w:ascii="Times New Roman" w:hAnsi="Times New Roman" w:eastAsia="Times New Roman" w:cs="Times New Roman"/>
                <w:i/>
                <w:color w:val="000000"/>
              </w:rPr>
              <w:t>El negro de Filadelfia</w:t>
            </w:r>
            <w:r>
              <w:rPr>
                <w:rFonts w:ascii="Times New Roman" w:hAnsi="Times New Roman" w:eastAsia="Times New Roman" w:cs="Times New Roman"/>
                <w:color w:val="000000"/>
              </w:rPr>
              <w:t>. Un estudio social. Cali: Arquivos de Índice, 2013.</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LASCH, Christopher. </w:t>
            </w:r>
            <w:r>
              <w:rPr>
                <w:rFonts w:ascii="Times New Roman" w:hAnsi="Times New Roman" w:eastAsia="Times New Roman" w:cs="Times New Roman"/>
                <w:i/>
                <w:color w:val="000000"/>
              </w:rPr>
              <w:t>A cultura do narcisismo</w:t>
            </w:r>
            <w:r>
              <w:rPr>
                <w:rFonts w:ascii="Times New Roman" w:hAnsi="Times New Roman" w:eastAsia="Times New Roman" w:cs="Times New Roman"/>
                <w:color w:val="000000"/>
              </w:rPr>
              <w:t>. Rio de janeiro: Imago, 1983.</w:t>
            </w:r>
          </w:p>
          <w:p>
            <w:pPr>
              <w:widowControl w:val="0"/>
              <w:pBdr>
                <w:top w:val="none" w:color="auto" w:sz="0" w:space="0"/>
                <w:left w:val="none" w:color="auto" w:sz="0" w:space="0"/>
                <w:bottom w:val="none" w:color="auto" w:sz="0" w:space="0"/>
                <w:right w:val="none" w:color="auto" w:sz="0" w:space="0"/>
                <w:between w:val="none" w:color="auto" w:sz="0" w:space="0"/>
              </w:pBdr>
              <w:spacing w:before="140" w:line="360" w:lineRule="auto"/>
              <w:ind w:left="0" w:right="64"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LILLA, Mark. </w:t>
            </w:r>
            <w:r>
              <w:rPr>
                <w:rFonts w:ascii="Times New Roman" w:hAnsi="Times New Roman" w:eastAsia="Times New Roman" w:cs="Times New Roman"/>
                <w:i/>
                <w:color w:val="000000"/>
              </w:rPr>
              <w:t>A mente imprudente</w:t>
            </w:r>
            <w:r>
              <w:rPr>
                <w:rFonts w:ascii="Times New Roman" w:hAnsi="Times New Roman" w:eastAsia="Times New Roman" w:cs="Times New Roman"/>
                <w:color w:val="000000"/>
              </w:rPr>
              <w:t>: os intelectuais na atividade política. Rio de Janeiro: Record, 2017.</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TILLY, Charles. A história social anglo-americana desde 1945. </w:t>
            </w:r>
            <w:r>
              <w:rPr>
                <w:rFonts w:ascii="Times New Roman" w:hAnsi="Times New Roman" w:eastAsia="Times New Roman" w:cs="Times New Roman"/>
                <w:i/>
                <w:color w:val="000000"/>
              </w:rPr>
              <w:t>Tempo Social</w:t>
            </w:r>
            <w:r>
              <w:rPr>
                <w:rFonts w:ascii="Times New Roman" w:hAnsi="Times New Roman" w:eastAsia="Times New Roman" w:cs="Times New Roman"/>
                <w:color w:val="000000"/>
              </w:rPr>
              <w:t>, v. 24,</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p. 13-32, 2012.</w:t>
            </w:r>
          </w:p>
        </w:tc>
      </w:tr>
    </w:tbl>
    <w:p>
      <w:pPr>
        <w:pBdr>
          <w:top w:val="none" w:color="auto" w:sz="0" w:space="0"/>
          <w:left w:val="none" w:color="auto" w:sz="0" w:space="0"/>
          <w:bottom w:val="none" w:color="auto" w:sz="0" w:space="0"/>
          <w:right w:val="none" w:color="auto" w:sz="0" w:space="0"/>
          <w:between w:val="none" w:color="auto" w:sz="0" w:space="0"/>
        </w:pBdr>
        <w:spacing w:before="8" w:after="1" w:line="288" w:lineRule="auto"/>
        <w:ind w:left="0" w:hanging="2"/>
        <w:rPr>
          <w:rFonts w:ascii="Times New Roman" w:hAnsi="Times New Roman" w:eastAsia="Times New Roman" w:cs="Times New Roman"/>
          <w:color w:val="000000"/>
        </w:rPr>
      </w:pPr>
    </w:p>
    <w:tbl>
      <w:tblPr>
        <w:tblStyle w:val="573"/>
        <w:tblW w:w="8879" w:type="dxa"/>
        <w:tblInd w:w="2" w:type="dxa"/>
        <w:tblLayout w:type="fixed"/>
        <w:tblCellMar>
          <w:top w:w="0" w:type="dxa"/>
          <w:left w:w="22" w:type="dxa"/>
          <w:bottom w:w="0" w:type="dxa"/>
          <w:right w:w="5" w:type="dxa"/>
        </w:tblCellMar>
      </w:tblPr>
      <w:tblGrid>
        <w:gridCol w:w="2830"/>
        <w:gridCol w:w="3244"/>
        <w:gridCol w:w="2805"/>
      </w:tblGrid>
      <w:tr>
        <w:tblPrEx>
          <w:tblCellMar>
            <w:top w:w="0" w:type="dxa"/>
            <w:left w:w="22" w:type="dxa"/>
            <w:bottom w:w="0" w:type="dxa"/>
            <w:right w:w="5" w:type="dxa"/>
          </w:tblCellMar>
        </w:tblPrEx>
        <w:trPr>
          <w:trHeight w:val="2485" w:hRule="atLeast"/>
        </w:trPr>
        <w:tc>
          <w:tcPr>
            <w:tcW w:w="6074"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Seminário de formação em Teoria da História e História da Historiografia VIII</w:t>
            </w:r>
          </w:p>
          <w:p>
            <w:pPr>
              <w:widowControl w:val="0"/>
              <w:pBdr>
                <w:top w:val="none" w:color="auto" w:sz="0" w:space="0"/>
                <w:left w:val="none" w:color="auto" w:sz="0" w:space="0"/>
                <w:bottom w:val="none" w:color="auto" w:sz="0" w:space="0"/>
                <w:right w:val="none" w:color="auto" w:sz="0" w:space="0"/>
                <w:between w:val="none" w:color="auto" w:sz="0" w:space="0"/>
              </w:pBdr>
              <w:spacing w:before="240"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w:t>
            </w:r>
          </w:p>
          <w:p>
            <w:pPr>
              <w:widowControl w:val="0"/>
              <w:pBdr>
                <w:top w:val="none" w:color="auto" w:sz="0" w:space="0"/>
                <w:left w:val="none" w:color="auto" w:sz="0" w:space="0"/>
                <w:bottom w:val="none" w:color="auto" w:sz="0" w:space="0"/>
                <w:right w:val="none" w:color="auto" w:sz="0" w:space="0"/>
                <w:between w:val="none" w:color="auto" w:sz="0" w:space="0"/>
              </w:pBdr>
              <w:spacing w:before="3"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Advanced Seminar on Theory and History of Historiography VIII</w:t>
            </w:r>
          </w:p>
        </w:tc>
        <w:tc>
          <w:tcPr>
            <w:tcW w:w="2805"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HIS317</w:t>
            </w:r>
          </w:p>
        </w:tc>
      </w:tr>
      <w:tr>
        <w:tblPrEx>
          <w:tblCellMar>
            <w:top w:w="0" w:type="dxa"/>
            <w:left w:w="22" w:type="dxa"/>
            <w:bottom w:w="0" w:type="dxa"/>
            <w:right w:w="5" w:type="dxa"/>
          </w:tblCellMar>
        </w:tblPrEx>
        <w:trPr>
          <w:trHeight w:val="830" w:hRule="atLeast"/>
        </w:trPr>
        <w:tc>
          <w:tcPr>
            <w:tcW w:w="6074"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Departamento de História - DEHIS</w:t>
            </w:r>
          </w:p>
        </w:tc>
        <w:tc>
          <w:tcPr>
            <w:tcW w:w="2805"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5" w:type="dxa"/>
          </w:tblCellMar>
        </w:tblPrEx>
        <w:trPr>
          <w:trHeight w:val="1243" w:hRule="atLeast"/>
        </w:trPr>
        <w:tc>
          <w:tcPr>
            <w:tcW w:w="2830"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428"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23"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3244"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2805"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Carga horária semanal prática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02 horas/aula</w:t>
            </w:r>
          </w:p>
        </w:tc>
      </w:tr>
      <w:tr>
        <w:tblPrEx>
          <w:tblCellMar>
            <w:top w:w="0" w:type="dxa"/>
            <w:left w:w="22" w:type="dxa"/>
            <w:bottom w:w="0" w:type="dxa"/>
            <w:right w:w="5" w:type="dxa"/>
          </w:tblCellMar>
        </w:tblPrEx>
        <w:trPr>
          <w:trHeight w:val="1237" w:hRule="atLeast"/>
        </w:trPr>
        <w:tc>
          <w:tcPr>
            <w:tcW w:w="8879"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Ementa: Teoria da História e Teoria da História da Historiografia como espaços de</w:t>
            </w:r>
          </w:p>
          <w:p>
            <w:pPr>
              <w:widowControl w:val="0"/>
              <w:pBdr>
                <w:top w:val="none" w:color="auto" w:sz="0" w:space="0"/>
                <w:left w:val="none" w:color="auto" w:sz="0" w:space="0"/>
                <w:bottom w:val="none" w:color="auto" w:sz="0" w:space="0"/>
                <w:right w:val="none" w:color="auto" w:sz="0" w:space="0"/>
                <w:between w:val="none" w:color="auto" w:sz="0" w:space="0"/>
              </w:pBdr>
              <w:spacing w:before="3" w:line="240" w:lineRule="auto"/>
              <w:ind w:left="0" w:right="60" w:hanging="2"/>
              <w:rPr>
                <w:rFonts w:ascii="Times New Roman" w:hAnsi="Times New Roman" w:eastAsia="Times New Roman" w:cs="Times New Roman"/>
                <w:color w:val="000000"/>
              </w:rPr>
            </w:pPr>
            <w:r>
              <w:rPr>
                <w:rFonts w:ascii="Times New Roman" w:hAnsi="Times New Roman" w:eastAsia="Times New Roman" w:cs="Times New Roman"/>
                <w:color w:val="000000"/>
              </w:rPr>
              <w:t>pesquisa histórica especializada. Principais vertentes, obras, temáticas e abordagens teórico-metodológicas.</w:t>
            </w:r>
          </w:p>
        </w:tc>
      </w:tr>
      <w:tr>
        <w:tblPrEx>
          <w:tblCellMar>
            <w:top w:w="0" w:type="dxa"/>
            <w:left w:w="22" w:type="dxa"/>
            <w:bottom w:w="0" w:type="dxa"/>
            <w:right w:w="5" w:type="dxa"/>
          </w:tblCellMar>
        </w:tblPrEx>
        <w:trPr>
          <w:trHeight w:val="3730" w:hRule="atLeast"/>
        </w:trPr>
        <w:tc>
          <w:tcPr>
            <w:tcW w:w="8879"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4453"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Módulo I: História dos conceitos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4453" w:hanging="2"/>
              <w:rPr>
                <w:rFonts w:ascii="Times New Roman" w:hAnsi="Times New Roman" w:eastAsia="Times New Roman" w:cs="Times New Roman"/>
                <w:color w:val="000000"/>
              </w:rPr>
            </w:pPr>
            <w:r>
              <w:rPr>
                <w:rFonts w:ascii="Times New Roman" w:hAnsi="Times New Roman" w:eastAsia="Times New Roman" w:cs="Times New Roman"/>
                <w:color w:val="000000"/>
              </w:rPr>
              <w:t>Módulo II: Contextualismo linguístico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Módulo III: Sociologia e história intelectual</w:t>
            </w:r>
          </w:p>
          <w:p>
            <w:pPr>
              <w:widowControl w:val="0"/>
              <w:pBdr>
                <w:top w:val="none" w:color="auto" w:sz="0" w:space="0"/>
                <w:left w:val="none" w:color="auto" w:sz="0" w:space="0"/>
                <w:bottom w:val="none" w:color="auto" w:sz="0" w:space="0"/>
                <w:right w:val="none" w:color="auto" w:sz="0" w:space="0"/>
                <w:between w:val="none" w:color="auto" w:sz="0" w:space="0"/>
              </w:pBdr>
              <w:spacing w:before="142"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Módulo IV: História da Historiografia e História Política</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right="593" w:hanging="2"/>
              <w:rPr>
                <w:rFonts w:ascii="Times New Roman" w:hAnsi="Times New Roman" w:eastAsia="Times New Roman" w:cs="Times New Roman"/>
                <w:color w:val="000000"/>
              </w:rPr>
            </w:pPr>
            <w:r>
              <w:rPr>
                <w:rFonts w:ascii="Times New Roman" w:hAnsi="Times New Roman" w:eastAsia="Times New Roman" w:cs="Times New Roman"/>
                <w:color w:val="000000"/>
              </w:rPr>
              <w:t>Módulo V: Teoria da História e Historiografia e teoria e história da literatura Módulo VI: História Intelectual, novas abordagens</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Módulo VII: Desafios da pesquisa em Teoria e História da Historiografia</w:t>
            </w:r>
          </w:p>
        </w:tc>
      </w:tr>
      <w:tr>
        <w:tblPrEx>
          <w:tblCellMar>
            <w:top w:w="0" w:type="dxa"/>
            <w:left w:w="22" w:type="dxa"/>
            <w:bottom w:w="0" w:type="dxa"/>
            <w:right w:w="5" w:type="dxa"/>
          </w:tblCellMar>
        </w:tblPrEx>
        <w:trPr>
          <w:trHeight w:val="2496" w:hRule="atLeast"/>
        </w:trPr>
        <w:tc>
          <w:tcPr>
            <w:tcW w:w="8879"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Bibliografiabásica:</w:t>
            </w:r>
          </w:p>
          <w:p>
            <w:pPr>
              <w:widowControl w:val="0"/>
              <w:pBdr>
                <w:top w:val="none" w:color="auto" w:sz="0" w:space="0"/>
                <w:left w:val="none" w:color="auto" w:sz="0" w:space="0"/>
                <w:bottom w:val="none" w:color="auto" w:sz="0" w:space="0"/>
                <w:right w:val="none" w:color="auto" w:sz="0" w:space="0"/>
                <w:between w:val="none" w:color="auto" w:sz="0" w:space="0"/>
              </w:pBdr>
              <w:spacing w:before="141" w:line="360" w:lineRule="auto"/>
              <w:ind w:left="0" w:right="142"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KOSELLECK, R. </w:t>
            </w:r>
            <w:r>
              <w:rPr>
                <w:rFonts w:ascii="Times New Roman" w:hAnsi="Times New Roman" w:eastAsia="Times New Roman" w:cs="Times New Roman"/>
                <w:i/>
                <w:color w:val="000000"/>
              </w:rPr>
              <w:t xml:space="preserve">Estratos do Tempo: estudos sobre história. </w:t>
            </w:r>
            <w:r>
              <w:rPr>
                <w:rFonts w:ascii="Times New Roman" w:hAnsi="Times New Roman" w:eastAsia="Times New Roman" w:cs="Times New Roman"/>
                <w:color w:val="000000"/>
              </w:rPr>
              <w:t>Rio de Janeiro: Puc-Rio Contraponto.2014.</w:t>
            </w:r>
          </w:p>
          <w:p>
            <w:pPr>
              <w:widowControl w:val="0"/>
              <w:pBdr>
                <w:top w:val="none" w:color="auto" w:sz="0" w:space="0"/>
                <w:left w:val="none" w:color="auto" w:sz="0" w:space="0"/>
                <w:bottom w:val="none" w:color="auto" w:sz="0" w:space="0"/>
                <w:right w:val="none" w:color="auto" w:sz="0" w:space="0"/>
                <w:between w:val="none" w:color="auto" w:sz="0" w:space="0"/>
              </w:pBdr>
              <w:spacing w:before="8"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KOSELLECK, R. </w:t>
            </w:r>
            <w:r>
              <w:rPr>
                <w:rFonts w:ascii="Times New Roman" w:hAnsi="Times New Roman" w:eastAsia="Times New Roman" w:cs="Times New Roman"/>
                <w:i/>
                <w:color w:val="000000"/>
              </w:rPr>
              <w:t>Futuro passado</w:t>
            </w:r>
            <w:r>
              <w:rPr>
                <w:rFonts w:ascii="Times New Roman" w:hAnsi="Times New Roman" w:eastAsia="Times New Roman" w:cs="Times New Roman"/>
                <w:color w:val="000000"/>
              </w:rPr>
              <w:t>. Rio de Janeiro: Puc-Rio; Contraponto, 2006.</w:t>
            </w:r>
          </w:p>
          <w:p>
            <w:pPr>
              <w:widowControl w:val="0"/>
              <w:pBdr>
                <w:top w:val="none" w:color="auto" w:sz="0" w:space="0"/>
                <w:left w:val="none" w:color="auto" w:sz="0" w:space="0"/>
                <w:bottom w:val="none" w:color="auto" w:sz="0" w:space="0"/>
                <w:right w:val="none" w:color="auto" w:sz="0" w:space="0"/>
                <w:between w:val="none" w:color="auto" w:sz="0" w:space="0"/>
              </w:pBdr>
              <w:spacing w:before="8"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John Pocock. </w:t>
            </w:r>
            <w:r>
              <w:rPr>
                <w:rFonts w:ascii="Times New Roman" w:hAnsi="Times New Roman" w:eastAsia="Times New Roman" w:cs="Times New Roman"/>
                <w:i/>
                <w:color w:val="000000"/>
              </w:rPr>
              <w:t xml:space="preserve">Linguagens do Ideário Político </w:t>
            </w:r>
            <w:r>
              <w:rPr>
                <w:rFonts w:ascii="Times New Roman" w:hAnsi="Times New Roman" w:eastAsia="Times New Roman" w:cs="Times New Roman"/>
                <w:color w:val="000000"/>
              </w:rPr>
              <w:t>(pp. 23–62). São Paulo: Edusp, 2003.</w:t>
            </w:r>
          </w:p>
          <w:p>
            <w:pPr>
              <w:widowControl w:val="0"/>
              <w:pBdr>
                <w:top w:val="none" w:color="auto" w:sz="0" w:space="0"/>
                <w:left w:val="none" w:color="auto" w:sz="0" w:space="0"/>
                <w:bottom w:val="none" w:color="auto" w:sz="0" w:space="0"/>
                <w:right w:val="none" w:color="auto" w:sz="0" w:space="0"/>
                <w:between w:val="none" w:color="auto" w:sz="0" w:space="0"/>
              </w:pBdr>
              <w:spacing w:before="8"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GUMBRECHT, Hans Ulrich. 2015. </w:t>
            </w:r>
            <w:r>
              <w:rPr>
                <w:rFonts w:ascii="Times New Roman" w:hAnsi="Times New Roman" w:eastAsia="Times New Roman" w:cs="Times New Roman"/>
                <w:i/>
                <w:color w:val="000000"/>
              </w:rPr>
              <w:t>Nosso Amplo Presente</w:t>
            </w:r>
            <w:r>
              <w:rPr>
                <w:rFonts w:ascii="Times New Roman" w:hAnsi="Times New Roman" w:eastAsia="Times New Roman" w:cs="Times New Roman"/>
                <w:color w:val="000000"/>
              </w:rPr>
              <w:t>. São Paulo: Unesp. 2015</w:t>
            </w:r>
          </w:p>
        </w:tc>
      </w:tr>
      <w:tr>
        <w:tblPrEx>
          <w:tblCellMar>
            <w:top w:w="0" w:type="dxa"/>
            <w:left w:w="22" w:type="dxa"/>
            <w:bottom w:w="0" w:type="dxa"/>
            <w:right w:w="5" w:type="dxa"/>
          </w:tblCellMar>
        </w:tblPrEx>
        <w:trPr>
          <w:trHeight w:val="3757" w:hRule="atLeast"/>
        </w:trPr>
        <w:tc>
          <w:tcPr>
            <w:tcW w:w="8879"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9"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386"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OLIVEIRA, M. da G. de. (2012). </w:t>
            </w:r>
            <w:r>
              <w:rPr>
                <w:rFonts w:ascii="Times New Roman" w:hAnsi="Times New Roman" w:eastAsia="Times New Roman" w:cs="Times New Roman"/>
                <w:i/>
                <w:color w:val="000000"/>
              </w:rPr>
              <w:t>Escrever vidas, narrar a história: A biografia como problema historiográfico no Brasil oitocentista</w:t>
            </w:r>
            <w:r>
              <w:rPr>
                <w:rFonts w:ascii="Times New Roman" w:hAnsi="Times New Roman" w:eastAsia="Times New Roman" w:cs="Times New Roman"/>
                <w:color w:val="000000"/>
              </w:rPr>
              <w:t>. Rio de Janeiro: FGV.</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CALDAS, P. S. P. (2011). Os Limites dos Limites da Representação Historiográfica do Holocausto : Um exercício hermenêutico. </w:t>
            </w:r>
            <w:r>
              <w:rPr>
                <w:rFonts w:ascii="Times New Roman" w:hAnsi="Times New Roman" w:eastAsia="Times New Roman" w:cs="Times New Roman"/>
                <w:i/>
                <w:color w:val="000000"/>
              </w:rPr>
              <w:t>Revista Contemporânea</w:t>
            </w:r>
            <w:r>
              <w:rPr>
                <w:rFonts w:ascii="Times New Roman" w:hAnsi="Times New Roman" w:eastAsia="Times New Roman" w:cs="Times New Roman"/>
                <w:color w:val="000000"/>
              </w:rPr>
              <w:t>, (1), 156–169.</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ARAUJO, V. L. de. (2006). Sobre o lugar da história da historiografia como disciplina autônoma. </w:t>
            </w:r>
            <w:r>
              <w:rPr>
                <w:rFonts w:ascii="Times New Roman" w:hAnsi="Times New Roman" w:eastAsia="Times New Roman" w:cs="Times New Roman"/>
                <w:i/>
                <w:color w:val="000000"/>
              </w:rPr>
              <w:t>Locus: Revista de História, Juiz de Fora</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12</w:t>
            </w:r>
            <w:r>
              <w:rPr>
                <w:rFonts w:ascii="Times New Roman" w:hAnsi="Times New Roman" w:eastAsia="Times New Roman" w:cs="Times New Roman"/>
                <w:color w:val="000000"/>
              </w:rPr>
              <w:t>(1), 79–94.</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2"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HARTOG, François. 2013. </w:t>
            </w:r>
            <w:r>
              <w:rPr>
                <w:rFonts w:ascii="Times New Roman" w:hAnsi="Times New Roman" w:eastAsia="Times New Roman" w:cs="Times New Roman"/>
                <w:i/>
                <w:color w:val="000000"/>
              </w:rPr>
              <w:t>Regimes de Historicidade: Presentismo E Experiências Do Tempo</w:t>
            </w:r>
            <w:r>
              <w:rPr>
                <w:rFonts w:ascii="Times New Roman" w:hAnsi="Times New Roman" w:eastAsia="Times New Roman" w:cs="Times New Roman"/>
                <w:color w:val="000000"/>
              </w:rPr>
              <w:t>. Belo Horizonte: Autêntica Editora.</w:t>
            </w:r>
          </w:p>
        </w:tc>
      </w:tr>
    </w:tbl>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6" w:after="14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6" w:after="140" w:line="288" w:lineRule="auto"/>
        <w:ind w:left="0" w:hanging="2"/>
        <w:rPr>
          <w:rFonts w:ascii="Times New Roman" w:hAnsi="Times New Roman" w:eastAsia="Times New Roman" w:cs="Times New Roman"/>
          <w:color w:val="000000"/>
        </w:rPr>
      </w:pPr>
    </w:p>
    <w:tbl>
      <w:tblPr>
        <w:tblStyle w:val="574"/>
        <w:tblW w:w="8879" w:type="dxa"/>
        <w:tblInd w:w="2" w:type="dxa"/>
        <w:tblLayout w:type="fixed"/>
        <w:tblCellMar>
          <w:top w:w="0" w:type="dxa"/>
          <w:left w:w="22" w:type="dxa"/>
          <w:bottom w:w="0" w:type="dxa"/>
          <w:right w:w="5" w:type="dxa"/>
        </w:tblCellMar>
      </w:tblPr>
      <w:tblGrid>
        <w:gridCol w:w="2794"/>
        <w:gridCol w:w="3280"/>
        <w:gridCol w:w="2805"/>
      </w:tblGrid>
      <w:tr>
        <w:tblPrEx>
          <w:tblCellMar>
            <w:top w:w="0" w:type="dxa"/>
            <w:left w:w="22" w:type="dxa"/>
            <w:bottom w:w="0" w:type="dxa"/>
            <w:right w:w="5" w:type="dxa"/>
          </w:tblCellMar>
        </w:tblPrEx>
        <w:trPr>
          <w:trHeight w:val="3316" w:hRule="atLeast"/>
        </w:trPr>
        <w:tc>
          <w:tcPr>
            <w:tcW w:w="6074"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628"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Seminário de Formação em Teoria da História e História da Historiografia IX</w:t>
            </w:r>
          </w:p>
          <w:p>
            <w:pPr>
              <w:widowControl w:val="0"/>
              <w:pBdr>
                <w:top w:val="none" w:color="auto" w:sz="0" w:space="0"/>
                <w:left w:val="none" w:color="auto" w:sz="0" w:space="0"/>
                <w:bottom w:val="none" w:color="auto" w:sz="0" w:space="0"/>
                <w:right w:val="none" w:color="auto" w:sz="0" w:space="0"/>
                <w:between w:val="none" w:color="auto" w:sz="0" w:space="0"/>
              </w:pBdr>
              <w:spacing w:before="8"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1137"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Advanced Seminar on Theory and Historyof Historiography VIII</w:t>
            </w:r>
          </w:p>
        </w:tc>
        <w:tc>
          <w:tcPr>
            <w:tcW w:w="2805"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Código: </w:t>
            </w:r>
            <w:r>
              <w:rPr>
                <w:rFonts w:ascii="Times New Roman" w:hAnsi="Times New Roman" w:eastAsia="Times New Roman" w:cs="Times New Roman"/>
                <w:color w:val="00AFEF"/>
              </w:rPr>
              <w:t>HIS318</w:t>
            </w:r>
          </w:p>
        </w:tc>
      </w:tr>
      <w:tr>
        <w:tblPrEx>
          <w:tblCellMar>
            <w:top w:w="0" w:type="dxa"/>
            <w:left w:w="22" w:type="dxa"/>
            <w:bottom w:w="0" w:type="dxa"/>
            <w:right w:w="5" w:type="dxa"/>
          </w:tblCellMar>
        </w:tblPrEx>
        <w:trPr>
          <w:trHeight w:val="825" w:hRule="atLeast"/>
        </w:trPr>
        <w:tc>
          <w:tcPr>
            <w:tcW w:w="6074"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Departamento de História - DEHIS</w:t>
            </w:r>
          </w:p>
        </w:tc>
        <w:tc>
          <w:tcPr>
            <w:tcW w:w="2805"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5" w:type="dxa"/>
          </w:tblCellMar>
        </w:tblPrEx>
        <w:trPr>
          <w:trHeight w:val="1477" w:hRule="atLeast"/>
        </w:trPr>
        <w:tc>
          <w:tcPr>
            <w:tcW w:w="2794"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semestral</w:t>
            </w:r>
          </w:p>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3280"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right="77"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w:t>
            </w:r>
          </w:p>
          <w:p>
            <w:pPr>
              <w:widowControl w:val="0"/>
              <w:pBdr>
                <w:top w:val="none" w:color="auto" w:sz="0" w:space="0"/>
                <w:left w:val="none" w:color="auto" w:sz="0" w:space="0"/>
                <w:bottom w:val="none" w:color="auto" w:sz="0" w:space="0"/>
                <w:right w:val="none" w:color="auto" w:sz="0" w:space="0"/>
                <w:between w:val="none" w:color="auto" w:sz="0" w:space="0"/>
              </w:pBdr>
              <w:spacing w:before="136" w:line="276" w:lineRule="auto"/>
              <w:ind w:left="0" w:right="77"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04 horas/aula</w:t>
            </w:r>
          </w:p>
        </w:tc>
        <w:tc>
          <w:tcPr>
            <w:tcW w:w="2805"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right="62"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right="59"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02 horas/aula</w:t>
            </w:r>
          </w:p>
        </w:tc>
      </w:tr>
      <w:tr>
        <w:tblPrEx>
          <w:tblCellMar>
            <w:top w:w="0" w:type="dxa"/>
            <w:left w:w="22" w:type="dxa"/>
            <w:bottom w:w="0" w:type="dxa"/>
            <w:right w:w="5" w:type="dxa"/>
          </w:tblCellMar>
        </w:tblPrEx>
        <w:trPr>
          <w:trHeight w:val="548" w:hRule="atLeast"/>
        </w:trPr>
        <w:tc>
          <w:tcPr>
            <w:tcW w:w="8879"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Ementa: Estudo das diversas formas de popularização, divulgação e educação</w:t>
            </w:r>
          </w:p>
          <w:p>
            <w:pPr>
              <w:widowControl w:val="0"/>
              <w:pBdr>
                <w:top w:val="none" w:color="auto" w:sz="0" w:space="0"/>
                <w:left w:val="none" w:color="auto" w:sz="0" w:space="0"/>
                <w:bottom w:val="none" w:color="auto" w:sz="0" w:space="0"/>
                <w:right w:val="none" w:color="auto" w:sz="0" w:space="0"/>
                <w:between w:val="none" w:color="auto" w:sz="0" w:space="0"/>
              </w:pBdr>
              <w:spacing w:before="141"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histórica na atualidade, reflexão teórica sobre tais práticas.</w:t>
            </w:r>
          </w:p>
          <w:p>
            <w:pPr>
              <w:widowControl w:val="0"/>
              <w:pBdr>
                <w:top w:val="none" w:color="auto" w:sz="0" w:space="0"/>
                <w:left w:val="none" w:color="auto" w:sz="0" w:space="0"/>
                <w:bottom w:val="none" w:color="auto" w:sz="0" w:space="0"/>
                <w:right w:val="none" w:color="auto" w:sz="0" w:space="0"/>
                <w:between w:val="none" w:color="auto" w:sz="0" w:space="0"/>
              </w:pBdr>
              <w:spacing w:before="141" w:line="240" w:lineRule="auto"/>
              <w:ind w:left="0" w:hanging="2"/>
              <w:rPr>
                <w:rFonts w:ascii="Times New Roman" w:hAnsi="Times New Roman" w:eastAsia="Times New Roman" w:cs="Times New Roman"/>
                <w:color w:val="000000"/>
              </w:rPr>
            </w:pPr>
          </w:p>
        </w:tc>
      </w:tr>
      <w:tr>
        <w:tblPrEx>
          <w:tblCellMar>
            <w:top w:w="0" w:type="dxa"/>
            <w:left w:w="22" w:type="dxa"/>
            <w:bottom w:w="0" w:type="dxa"/>
            <w:right w:w="5" w:type="dxa"/>
          </w:tblCellMar>
        </w:tblPrEx>
        <w:trPr>
          <w:trHeight w:val="547" w:hRule="atLeast"/>
        </w:trPr>
        <w:tc>
          <w:tcPr>
            <w:tcW w:w="8879"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right="1203" w:hanging="2"/>
              <w:rPr>
                <w:rFonts w:ascii="Times New Roman" w:hAnsi="Times New Roman" w:eastAsia="Times New Roman" w:cs="Times New Roman"/>
                <w:color w:val="000000"/>
              </w:rPr>
            </w:pPr>
            <w:r>
              <w:rPr>
                <w:rFonts w:ascii="Times New Roman" w:hAnsi="Times New Roman" w:eastAsia="Times New Roman" w:cs="Times New Roman"/>
                <w:color w:val="000000"/>
              </w:rPr>
              <w:t>Módulo I: Variedade do discurso histórico: aproximações teóricas</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right="1203" w:hanging="2"/>
              <w:rPr>
                <w:rFonts w:ascii="Times New Roman" w:hAnsi="Times New Roman" w:eastAsia="Times New Roman" w:cs="Times New Roman"/>
                <w:color w:val="000000"/>
              </w:rPr>
            </w:pPr>
            <w:r>
              <w:rPr>
                <w:rFonts w:ascii="Times New Roman" w:hAnsi="Times New Roman" w:eastAsia="Times New Roman" w:cs="Times New Roman"/>
                <w:color w:val="000000"/>
              </w:rPr>
              <w:t>Módulo II:</w:t>
            </w:r>
            <w:r>
              <w:rPr>
                <w:rFonts w:ascii="Times New Roman" w:hAnsi="Times New Roman" w:eastAsia="Times New Roman" w:cs="Times New Roman"/>
              </w:rPr>
              <w:t xml:space="preserve"> </w:t>
            </w:r>
            <w:r>
              <w:rPr>
                <w:rFonts w:ascii="Times New Roman" w:hAnsi="Times New Roman" w:eastAsia="Times New Roman" w:cs="Times New Roman"/>
                <w:color w:val="000000"/>
              </w:rPr>
              <w:t>Discurso histórico escolar e a disciplina histórica.</w:t>
            </w:r>
          </w:p>
          <w:p>
            <w:pPr>
              <w:widowControl w:val="0"/>
              <w:pBdr>
                <w:top w:val="none" w:color="auto" w:sz="0" w:space="0"/>
                <w:left w:val="none" w:color="auto" w:sz="0" w:space="0"/>
                <w:bottom w:val="none" w:color="auto" w:sz="0" w:space="0"/>
                <w:right w:val="none" w:color="auto" w:sz="0" w:space="0"/>
                <w:between w:val="none" w:color="auto" w:sz="0" w:space="0"/>
              </w:pBdr>
              <w:spacing w:before="2" w:line="360" w:lineRule="auto"/>
              <w:ind w:left="0" w:right="1949" w:hanging="2"/>
              <w:rPr>
                <w:rFonts w:ascii="Times New Roman" w:hAnsi="Times New Roman" w:eastAsia="Times New Roman" w:cs="Times New Roman"/>
                <w:color w:val="000000"/>
              </w:rPr>
            </w:pPr>
            <w:r>
              <w:rPr>
                <w:rFonts w:ascii="Times New Roman" w:hAnsi="Times New Roman" w:eastAsia="Times New Roman" w:cs="Times New Roman"/>
                <w:color w:val="000000"/>
              </w:rPr>
              <w:t>Módulo III: Historiografias populares: panorama histórico</w:t>
            </w:r>
          </w:p>
          <w:p>
            <w:pPr>
              <w:widowControl w:val="0"/>
              <w:pBdr>
                <w:top w:val="none" w:color="auto" w:sz="0" w:space="0"/>
                <w:left w:val="none" w:color="auto" w:sz="0" w:space="0"/>
                <w:bottom w:val="none" w:color="auto" w:sz="0" w:space="0"/>
                <w:right w:val="none" w:color="auto" w:sz="0" w:space="0"/>
                <w:between w:val="none" w:color="auto" w:sz="0" w:space="0"/>
              </w:pBdr>
              <w:spacing w:before="2" w:line="360" w:lineRule="auto"/>
              <w:ind w:left="0" w:right="1949" w:hanging="2"/>
              <w:rPr>
                <w:rFonts w:ascii="Times New Roman" w:hAnsi="Times New Roman" w:eastAsia="Times New Roman" w:cs="Times New Roman"/>
                <w:color w:val="000000"/>
              </w:rPr>
            </w:pPr>
            <w:r>
              <w:rPr>
                <w:rFonts w:ascii="Times New Roman" w:hAnsi="Times New Roman" w:eastAsia="Times New Roman" w:cs="Times New Roman"/>
                <w:color w:val="000000"/>
              </w:rPr>
              <w:t>Módulo IV: História Pública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Módulo V: O debate da profissionalização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Módulo VI: A era digital e os desafios da historiografia</w:t>
            </w:r>
          </w:p>
        </w:tc>
      </w:tr>
      <w:tr>
        <w:tblPrEx>
          <w:tblCellMar>
            <w:top w:w="0" w:type="dxa"/>
            <w:left w:w="22" w:type="dxa"/>
            <w:bottom w:w="0" w:type="dxa"/>
            <w:right w:w="5" w:type="dxa"/>
          </w:tblCellMar>
        </w:tblPrEx>
        <w:trPr>
          <w:trHeight w:val="6240" w:hRule="atLeast"/>
        </w:trPr>
        <w:tc>
          <w:tcPr>
            <w:tcW w:w="8879"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right="26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PIMENTA, João Paulo Garrido, César Augusto Atti, Nadiesda Dimambro, Beatriz Duarte Lanna, Mariana Pupo, and Luís Otávio Vieira. 2014. “A Independência E Uma Cultura de História No Brasil.” </w:t>
            </w:r>
            <w:r>
              <w:rPr>
                <w:rFonts w:ascii="Times New Roman" w:hAnsi="Times New Roman" w:eastAsia="Times New Roman" w:cs="Times New Roman"/>
                <w:i/>
                <w:color w:val="000000"/>
              </w:rPr>
              <w:t xml:space="preserve">Almanack </w:t>
            </w:r>
            <w:r>
              <w:rPr>
                <w:rFonts w:ascii="Times New Roman" w:hAnsi="Times New Roman" w:eastAsia="Times New Roman" w:cs="Times New Roman"/>
                <w:color w:val="000000"/>
              </w:rPr>
              <w:t>2o. Semestre (8): 5–36.</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GLEZER, R., &amp; Albieri, S. (2009). O campo da história e as “obras fronteiriças”: algumas observações sobre a produção historiográfica brasileira e uma proposta de conciliação. </w:t>
            </w:r>
            <w:r>
              <w:rPr>
                <w:rFonts w:ascii="Times New Roman" w:hAnsi="Times New Roman" w:eastAsia="Times New Roman" w:cs="Times New Roman"/>
                <w:i/>
                <w:color w:val="000000"/>
              </w:rPr>
              <w:t>Revista IEB</w:t>
            </w:r>
            <w:r>
              <w:rPr>
                <w:rFonts w:ascii="Times New Roman" w:hAnsi="Times New Roman" w:eastAsia="Times New Roman" w:cs="Times New Roman"/>
                <w:color w:val="000000"/>
              </w:rPr>
              <w:t>, (48), 13–30.</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38"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MALERBA, J. (2014). Acadêmicos na berlinda ou como cada um escreve a História?: uma reflexão sobre o embate entre historiadores acadêmicos e não acadêmicos no Brasil à luz dos debates sobre Public History. </w:t>
            </w:r>
            <w:r>
              <w:rPr>
                <w:rFonts w:ascii="Times New Roman" w:hAnsi="Times New Roman" w:eastAsia="Times New Roman" w:cs="Times New Roman"/>
                <w:i/>
                <w:color w:val="000000"/>
              </w:rPr>
              <w:t>História Da Historiografia</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0</w:t>
            </w:r>
            <w:r>
              <w:rPr>
                <w:rFonts w:ascii="Times New Roman" w:hAnsi="Times New Roman" w:eastAsia="Times New Roman" w:cs="Times New Roman"/>
                <w:color w:val="000000"/>
              </w:rPr>
              <w:t>(15), 27–50. https://doi.org/10.15848/hh.v0i15.692</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ABREU, M., &amp; Rangel, M. (2015). Memória, cultura histórica e ensino de história no mundo contemporâneo. </w:t>
            </w:r>
            <w:r>
              <w:rPr>
                <w:rFonts w:ascii="Times New Roman" w:hAnsi="Times New Roman" w:eastAsia="Times New Roman" w:cs="Times New Roman"/>
                <w:i/>
                <w:color w:val="000000"/>
              </w:rPr>
              <w:t>História E Cultura</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4</w:t>
            </w:r>
            <w:r>
              <w:rPr>
                <w:rFonts w:ascii="Times New Roman" w:hAnsi="Times New Roman" w:eastAsia="Times New Roman" w:cs="Times New Roman"/>
                <w:color w:val="000000"/>
              </w:rPr>
              <w:t xml:space="preserve">(2), 7–24.PEREIRA, M. H. de F. (2015). Nova direita? Guerras de memória em tempos de Comissão da Verdade (2012-2014). </w:t>
            </w:r>
            <w:r>
              <w:rPr>
                <w:rFonts w:ascii="Times New Roman" w:hAnsi="Times New Roman" w:eastAsia="Times New Roman" w:cs="Times New Roman"/>
                <w:i/>
                <w:color w:val="000000"/>
              </w:rPr>
              <w:t>Varia Historia</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31</w:t>
            </w:r>
            <w:r>
              <w:rPr>
                <w:rFonts w:ascii="Times New Roman" w:hAnsi="Times New Roman" w:eastAsia="Times New Roman" w:cs="Times New Roman"/>
                <w:color w:val="000000"/>
              </w:rPr>
              <w:t>(57 (set-dez), 853–902</w:t>
            </w:r>
          </w:p>
        </w:tc>
      </w:tr>
      <w:tr>
        <w:tblPrEx>
          <w:tblCellMar>
            <w:top w:w="0" w:type="dxa"/>
            <w:left w:w="22" w:type="dxa"/>
            <w:bottom w:w="0" w:type="dxa"/>
            <w:right w:w="5" w:type="dxa"/>
          </w:tblCellMar>
        </w:tblPrEx>
        <w:trPr>
          <w:trHeight w:val="1108" w:hRule="atLeast"/>
        </w:trPr>
        <w:tc>
          <w:tcPr>
            <w:tcW w:w="8879"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SCHMIDT, B. B., &amp; Rodrigues, M. C. D. M. (2017). O professor universitário de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história é um professor? Reflexões sobre a docência de teoria e metodologia da história e historiografia no ensino superior. </w:t>
            </w:r>
            <w:r>
              <w:rPr>
                <w:rFonts w:ascii="Times New Roman" w:hAnsi="Times New Roman" w:eastAsia="Times New Roman" w:cs="Times New Roman"/>
                <w:i/>
                <w:color w:val="000000"/>
              </w:rPr>
              <w:t>História Unisinos</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21(2)</w:t>
            </w:r>
            <w:r>
              <w:rPr>
                <w:rFonts w:ascii="Times New Roman" w:hAnsi="Times New Roman" w:eastAsia="Times New Roman" w:cs="Times New Roman"/>
                <w:color w:val="000000"/>
              </w:rPr>
              <w:t xml:space="preserve">(Maio- Agosto), 169–178.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NICOLAZZI, F. (2013, September 3). O historiador enquanto leitor: história da historiografia e leitura da história. </w:t>
            </w:r>
            <w:r>
              <w:rPr>
                <w:rFonts w:ascii="Times New Roman" w:hAnsi="Times New Roman" w:eastAsia="Times New Roman" w:cs="Times New Roman"/>
                <w:i/>
                <w:color w:val="000000"/>
              </w:rPr>
              <w:t>História da Historiografia</w:t>
            </w:r>
            <w:r>
              <w:rPr>
                <w:rFonts w:ascii="Times New Roman" w:hAnsi="Times New Roman" w:eastAsia="Times New Roman" w:cs="Times New Roman"/>
                <w:color w:val="000000"/>
              </w:rPr>
              <w:t xml:space="preserve">. https://doi.org/10.15848/hh.v0i13.675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PEREIRA, N. M., Meinerz, C. B., &amp; Pacievitch, C. (2015). Viver e pensar a docência em história diante das demandas sociais e identitárias do século XXI. </w:t>
            </w:r>
            <w:r>
              <w:rPr>
                <w:rFonts w:ascii="Times New Roman" w:hAnsi="Times New Roman" w:eastAsia="Times New Roman" w:cs="Times New Roman"/>
                <w:i/>
                <w:color w:val="000000"/>
              </w:rPr>
              <w:t>História &amp; Ensino</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21</w:t>
            </w:r>
            <w:r>
              <w:rPr>
                <w:rFonts w:ascii="Times New Roman" w:hAnsi="Times New Roman" w:eastAsia="Times New Roman" w:cs="Times New Roman"/>
                <w:color w:val="000000"/>
              </w:rPr>
              <w:t xml:space="preserve">(2), 31–53. https://doi.org/10.5433/2238-3018.2015v21n2p31 </w:t>
            </w:r>
          </w:p>
          <w:p>
            <w:pPr>
              <w:widowControl w:val="0"/>
              <w:pBdr>
                <w:top w:val="none" w:color="auto" w:sz="0" w:space="0"/>
                <w:left w:val="none" w:color="auto" w:sz="0" w:space="0"/>
                <w:bottom w:val="none" w:color="auto" w:sz="0" w:space="0"/>
                <w:right w:val="none" w:color="auto" w:sz="0" w:space="0"/>
                <w:between w:val="none" w:color="auto" w:sz="0" w:space="0"/>
              </w:pBdr>
              <w:spacing w:before="1"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SOUZA, F. G. de, Gaio, G. G., &amp; Nicodemo, T. L. (2017). Uma lágrima sobre a cicatriz: o desmonte da universidade pública como desafio à reflexão histórica (#UERJresiste). </w:t>
            </w:r>
            <w:r>
              <w:rPr>
                <w:rFonts w:ascii="Times New Roman" w:hAnsi="Times New Roman" w:eastAsia="Times New Roman" w:cs="Times New Roman"/>
                <w:i/>
                <w:color w:val="000000"/>
              </w:rPr>
              <w:t>Maracanan</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17</w:t>
            </w:r>
            <w:r>
              <w:rPr>
                <w:rFonts w:ascii="Times New Roman" w:hAnsi="Times New Roman" w:eastAsia="Times New Roman" w:cs="Times New Roman"/>
                <w:color w:val="000000"/>
              </w:rPr>
              <w:t xml:space="preserve">(dez.), 71–87. </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575"/>
        <w:tblW w:w="8878" w:type="dxa"/>
        <w:tblInd w:w="65" w:type="dxa"/>
        <w:tblLayout w:type="fixed"/>
        <w:tblCellMar>
          <w:top w:w="0" w:type="dxa"/>
          <w:left w:w="108" w:type="dxa"/>
          <w:bottom w:w="0" w:type="dxa"/>
          <w:right w:w="108" w:type="dxa"/>
        </w:tblCellMar>
      </w:tblPr>
      <w:tblGrid>
        <w:gridCol w:w="3531"/>
        <w:gridCol w:w="3119"/>
        <w:gridCol w:w="2228"/>
      </w:tblGrid>
      <w:tr>
        <w:tblPrEx>
          <w:tblCellMar>
            <w:top w:w="0" w:type="dxa"/>
            <w:left w:w="108" w:type="dxa"/>
            <w:bottom w:w="0" w:type="dxa"/>
            <w:right w:w="108" w:type="dxa"/>
          </w:tblCellMar>
        </w:tblPrEx>
        <w:tc>
          <w:tcPr>
            <w:tcW w:w="6651" w:type="dxa"/>
            <w:gridSpan w:val="2"/>
            <w:tcBorders>
              <w:top w:val="single" w:color="000000" w:sz="18"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do Componente Curricular em português:</w:t>
            </w:r>
          </w:p>
          <w:p>
            <w:pPr>
              <w:spacing w:line="360" w:lineRule="auto"/>
              <w:ind w:left="0" w:hanging="2"/>
              <w:rPr>
                <w:rFonts w:ascii="Times New Roman" w:hAnsi="Times New Roman" w:cs="Times New Roman"/>
              </w:rPr>
            </w:pPr>
            <w:r>
              <w:rPr>
                <w:rFonts w:ascii="Times New Roman" w:hAnsi="Times New Roman" w:eastAsia="Times New Roman" w:cs="Times New Roman"/>
              </w:rPr>
              <w:t>Seminário em História das Áfricas IV</w:t>
            </w:r>
          </w:p>
          <w:p>
            <w:pPr>
              <w:spacing w:line="360" w:lineRule="auto"/>
              <w:ind w:left="0" w:hanging="2"/>
              <w:rPr>
                <w:rFonts w:ascii="Times New Roman" w:hAnsi="Times New Roman" w:eastAsia="Times New Roman" w:cs="Times New Roman"/>
              </w:rPr>
            </w:pPr>
          </w:p>
          <w:p>
            <w:pPr>
              <w:spacing w:line="360" w:lineRule="auto"/>
              <w:ind w:left="0" w:hanging="2"/>
              <w:rPr>
                <w:rFonts w:ascii="Times New Roman" w:hAnsi="Times New Roman" w:cs="Times New Roman"/>
              </w:rPr>
            </w:pPr>
            <w:r>
              <w:rPr>
                <w:rFonts w:ascii="Times New Roman" w:hAnsi="Times New Roman" w:eastAsia="Times New Roman" w:cs="Times New Roman"/>
              </w:rPr>
              <w:t>Nome do Componente Curricular em inglês:</w:t>
            </w:r>
          </w:p>
          <w:p>
            <w:pPr>
              <w:spacing w:line="360" w:lineRule="auto"/>
              <w:ind w:left="0" w:hanging="2"/>
              <w:rPr>
                <w:rFonts w:ascii="Times New Roman" w:hAnsi="Times New Roman" w:cs="Times New Roman"/>
              </w:rPr>
            </w:pPr>
            <w:r>
              <w:rPr>
                <w:rFonts w:ascii="Times New Roman" w:hAnsi="Times New Roman" w:eastAsia="Times New Roman" w:cs="Times New Roman"/>
              </w:rPr>
              <w:t>Seminar in History of Africas IV</w:t>
            </w:r>
          </w:p>
        </w:tc>
        <w:tc>
          <w:tcPr>
            <w:tcW w:w="2228" w:type="dxa"/>
            <w:tcBorders>
              <w:top w:val="single" w:color="000000" w:sz="18"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Código: HIS905</w:t>
            </w:r>
          </w:p>
        </w:tc>
      </w:tr>
      <w:tr>
        <w:tblPrEx>
          <w:tblCellMar>
            <w:top w:w="0" w:type="dxa"/>
            <w:left w:w="108" w:type="dxa"/>
            <w:bottom w:w="0" w:type="dxa"/>
            <w:right w:w="108" w:type="dxa"/>
          </w:tblCellMar>
        </w:tblPrEx>
        <w:trPr>
          <w:trHeight w:val="641" w:hRule="atLeast"/>
        </w:trPr>
        <w:tc>
          <w:tcPr>
            <w:tcW w:w="6651" w:type="dxa"/>
            <w:gridSpan w:val="2"/>
            <w:tcBorders>
              <w:top w:val="single" w:color="000000" w:sz="4"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e sigla do departamento:</w:t>
            </w:r>
          </w:p>
          <w:p>
            <w:pPr>
              <w:spacing w:line="360" w:lineRule="auto"/>
              <w:ind w:left="0" w:hanging="2"/>
              <w:rPr>
                <w:rFonts w:ascii="Times New Roman" w:hAnsi="Times New Roman" w:cs="Times New Roman"/>
              </w:rPr>
            </w:pPr>
            <w:r>
              <w:rPr>
                <w:rFonts w:ascii="Times New Roman" w:hAnsi="Times New Roman" w:eastAsia="Times New Roman" w:cs="Times New Roman"/>
              </w:rPr>
              <w:t>Departamento de História - DEHIS</w:t>
            </w:r>
          </w:p>
        </w:tc>
        <w:tc>
          <w:tcPr>
            <w:tcW w:w="2228" w:type="dxa"/>
            <w:tcBorders>
              <w:top w:val="single" w:color="000000" w:sz="4" w:space="0"/>
              <w:left w:val="single" w:color="000000" w:sz="4" w:space="0"/>
              <w:bottom w:val="single" w:color="000000" w:sz="4" w:space="0"/>
              <w:right w:val="single" w:color="000000" w:sz="18"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Unidade acadêmica:</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ICHS</w:t>
            </w:r>
          </w:p>
        </w:tc>
      </w:tr>
      <w:tr>
        <w:tblPrEx>
          <w:tblCellMar>
            <w:top w:w="0" w:type="dxa"/>
            <w:left w:w="108" w:type="dxa"/>
            <w:bottom w:w="0" w:type="dxa"/>
            <w:right w:w="108" w:type="dxa"/>
          </w:tblCellMar>
        </w:tblPrEx>
        <w:trPr>
          <w:trHeight w:val="641" w:hRule="atLeast"/>
        </w:trPr>
        <w:tc>
          <w:tcPr>
            <w:tcW w:w="3532" w:type="dxa"/>
            <w:tcBorders>
              <w:top w:val="single" w:color="000000" w:sz="4" w:space="0"/>
              <w:left w:val="single" w:color="000000" w:sz="18" w:space="0"/>
              <w:bottom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Carga horária semestral</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60 horas</w:t>
            </w:r>
          </w:p>
        </w:tc>
        <w:tc>
          <w:tcPr>
            <w:tcW w:w="3119" w:type="dxa"/>
            <w:tcBorders>
              <w:top w:val="single" w:color="000000" w:sz="4" w:space="0"/>
              <w:left w:val="single" w:color="000000" w:sz="4" w:space="0"/>
              <w:bottom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 xml:space="preserve">Carga horária semanal teórica </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04 horas/aula</w:t>
            </w:r>
          </w:p>
        </w:tc>
        <w:tc>
          <w:tcPr>
            <w:tcW w:w="2228" w:type="dxa"/>
            <w:tcBorders>
              <w:top w:val="single" w:color="000000" w:sz="4" w:space="0"/>
              <w:left w:val="single" w:color="000000" w:sz="4" w:space="0"/>
              <w:bottom w:val="single" w:color="000000" w:sz="4" w:space="0"/>
              <w:right w:val="single" w:color="000000" w:sz="18"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Carga horária semanal prática</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00 horas/aula</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Ementa:  Analisar a produção cinematográfica produzida em África e observar as estratégias narrativas, o diálogo ente o universal e o local e as formas de auto-inscrição dos diferentes povos africanos.</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Conteúdo programático: </w:t>
            </w:r>
          </w:p>
          <w:p>
            <w:pPr>
              <w:numPr>
                <w:ilvl w:val="0"/>
                <w:numId w:val="73"/>
              </w:numPr>
              <w:tabs>
                <w:tab w:val="left" w:pos="0"/>
                <w:tab w:val="left" w:pos="720"/>
              </w:tabs>
              <w:spacing w:line="360" w:lineRule="auto"/>
              <w:ind w:left="0" w:hanging="2"/>
              <w:rPr>
                <w:rFonts w:ascii="Times New Roman" w:hAnsi="Times New Roman" w:eastAsia="Times New Roman" w:cs="Times New Roman"/>
              </w:rPr>
            </w:pPr>
            <w:r>
              <w:rPr>
                <w:rFonts w:ascii="Times New Roman" w:hAnsi="Times New Roman" w:eastAsia="Times New Roman" w:cs="Times New Roman"/>
              </w:rPr>
              <w:t>O cinema como fonte histórica</w:t>
            </w:r>
          </w:p>
          <w:p>
            <w:pPr>
              <w:numPr>
                <w:ilvl w:val="0"/>
                <w:numId w:val="73"/>
              </w:numPr>
              <w:tabs>
                <w:tab w:val="left" w:pos="0"/>
                <w:tab w:val="left" w:pos="720"/>
              </w:tabs>
              <w:spacing w:line="360" w:lineRule="auto"/>
              <w:ind w:left="0" w:hanging="2"/>
              <w:rPr>
                <w:rFonts w:ascii="Times New Roman" w:hAnsi="Times New Roman" w:eastAsia="Times New Roman" w:cs="Times New Roman"/>
              </w:rPr>
            </w:pPr>
            <w:r>
              <w:rPr>
                <w:rFonts w:ascii="Times New Roman" w:hAnsi="Times New Roman" w:eastAsia="Times New Roman" w:cs="Times New Roman"/>
              </w:rPr>
              <w:t>A produção do excepcionalismo no universal</w:t>
            </w:r>
          </w:p>
          <w:p>
            <w:pPr>
              <w:numPr>
                <w:ilvl w:val="0"/>
                <w:numId w:val="73"/>
              </w:numPr>
              <w:tabs>
                <w:tab w:val="left" w:pos="0"/>
                <w:tab w:val="left" w:pos="720"/>
              </w:tabs>
              <w:spacing w:line="360" w:lineRule="auto"/>
              <w:ind w:left="0" w:hanging="2"/>
              <w:rPr>
                <w:rFonts w:ascii="Times New Roman" w:hAnsi="Times New Roman" w:eastAsia="Times New Roman" w:cs="Times New Roman"/>
              </w:rPr>
            </w:pPr>
            <w:r>
              <w:rPr>
                <w:rFonts w:ascii="Times New Roman" w:hAnsi="Times New Roman" w:eastAsia="Times New Roman" w:cs="Times New Roman"/>
              </w:rPr>
              <w:t>Análise de filmes</w:t>
            </w:r>
          </w:p>
          <w:p>
            <w:pPr>
              <w:numPr>
                <w:ilvl w:val="0"/>
                <w:numId w:val="73"/>
              </w:numPr>
              <w:tabs>
                <w:tab w:val="left" w:pos="0"/>
                <w:tab w:val="left" w:pos="720"/>
              </w:tabs>
              <w:spacing w:line="360" w:lineRule="auto"/>
              <w:ind w:left="0" w:hanging="2"/>
              <w:rPr>
                <w:rFonts w:ascii="Times New Roman" w:hAnsi="Times New Roman" w:eastAsia="Times New Roman" w:cs="Times New Roman"/>
              </w:rPr>
            </w:pPr>
            <w:r>
              <w:rPr>
                <w:rFonts w:ascii="Times New Roman" w:hAnsi="Times New Roman" w:eastAsia="Times New Roman" w:cs="Times New Roman"/>
              </w:rPr>
              <w:t>A produção fílmica como forma narrativa do Eu.</w:t>
            </w:r>
          </w:p>
          <w:p>
            <w:pPr>
              <w:numPr>
                <w:ilvl w:val="0"/>
                <w:numId w:val="73"/>
              </w:numPr>
              <w:tabs>
                <w:tab w:val="left" w:pos="0"/>
                <w:tab w:val="left" w:pos="720"/>
              </w:tabs>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Estratégias de abordagem do passado via produção imagética</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Bibliografia básica: </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KI-ZERBO, Joseph; NIANE, Djibril Tamsir; OGOT, Bethewell Allan; FASI, Mohammed el; HRBEK, I; AJAYI, J. F. Ade; BOAHEN, Albert Adu; MOKHTAR, Gamal; KI-ZERBO, J; MAZRUI, Ali A; WONDJI, C. História geral da África. 2.ed. Brasília: Unesco, 2010. 8v. </w:t>
            </w:r>
          </w:p>
          <w:p>
            <w:pPr>
              <w:spacing w:line="360" w:lineRule="auto"/>
              <w:ind w:left="0" w:hanging="2"/>
              <w:rPr>
                <w:rFonts w:ascii="Times New Roman" w:hAnsi="Times New Roman" w:cs="Times New Roman"/>
              </w:rPr>
            </w:pPr>
            <w:r>
              <w:rPr>
                <w:rFonts w:ascii="Times New Roman" w:hAnsi="Times New Roman" w:eastAsia="Times New Roman" w:cs="Times New Roman"/>
              </w:rPr>
              <w:t>APPIAH, Kwame Anthony. Na casa de meu pai. Rio de Janeiro, Contraponto, 1997.</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BAMBA, M. Do “cinema com sotaque” e transnacional à recepção transcultural e diaspórica dos filmes. palíndromo Processos Artísticos Contempoâneos 2011,n o5. </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CÁNEPA, L. MÜLLER, A., VIEIRA, M., SOUZA, G. XII Estudos de cinema e audiovisual – SOCINE. SP: Socine, 2011. &lt;</w:t>
            </w:r>
            <w:r>
              <w:rPr>
                <w:rFonts w:ascii="Times New Roman" w:hAnsi="Times New Roman" w:eastAsia="Times New Roman" w:cs="Times New Roman"/>
                <w:i/>
              </w:rPr>
              <w:t>socine.org.br/livro/XII_ESTUDOS_SOCINE_V1_b.</w:t>
            </w:r>
            <w:r>
              <w:rPr>
                <w:rFonts w:ascii="Times New Roman" w:hAnsi="Times New Roman" w:eastAsia="Times New Roman" w:cs="Times New Roman"/>
                <w:b/>
                <w:i/>
              </w:rPr>
              <w:t>pdf</w:t>
            </w:r>
            <w:r>
              <w:rPr>
                <w:rFonts w:ascii="Times New Roman" w:hAnsi="Times New Roman" w:eastAsia="Times New Roman" w:cs="Times New Roman"/>
              </w:rPr>
              <w:t>‎ &gt;</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 xml:space="preserve">Bibliografia complementar: </w:t>
            </w:r>
          </w:p>
          <w:p>
            <w:pPr>
              <w:spacing w:line="360" w:lineRule="auto"/>
              <w:ind w:left="0" w:hanging="2"/>
              <w:rPr>
                <w:rFonts w:ascii="Times New Roman" w:hAnsi="Times New Roman" w:cs="Times New Roman"/>
              </w:rPr>
            </w:pPr>
            <w:r>
              <w:rPr>
                <w:rFonts w:ascii="Times New Roman" w:hAnsi="Times New Roman" w:eastAsia="Times New Roman" w:cs="Times New Roman"/>
              </w:rPr>
              <w:t>MBEMBE, A. Fomas de auto-inscrição. Estudos Afro-Asiáticos, Ano 23, no 1, 2001, pp. 171-209.</w:t>
            </w:r>
          </w:p>
          <w:p>
            <w:pPr>
              <w:spacing w:line="360" w:lineRule="auto"/>
              <w:ind w:left="0" w:hanging="2"/>
              <w:rPr>
                <w:rFonts w:ascii="Times New Roman" w:hAnsi="Times New Roman" w:eastAsia="Times New Roman" w:cs="Times New Roman"/>
              </w:rPr>
            </w:pPr>
            <w:r>
              <w:rPr>
                <w:rFonts w:ascii="Times New Roman" w:hAnsi="Times New Roman" w:eastAsia="Times New Roman" w:cs="Times New Roman"/>
              </w:rPr>
              <w:t xml:space="preserve">GOMES, Wilson. A Poética do Cinema e a questão do método em análise fílmica. </w:t>
            </w:r>
            <w:r>
              <w:fldChar w:fldCharType="begin"/>
            </w:r>
            <w:r>
              <w:instrText xml:space="preserve"> HYPERLINK "http://www.bahiamultimidia/cinema/artigo.asp" \h </w:instrText>
            </w:r>
            <w:r>
              <w:fldChar w:fldCharType="separate"/>
            </w:r>
            <w:r>
              <w:rPr>
                <w:rFonts w:ascii="Times New Roman" w:hAnsi="Times New Roman" w:eastAsia="Times New Roman" w:cs="Times New Roman"/>
                <w:color w:val="0000FF"/>
                <w:u w:val="single"/>
              </w:rPr>
              <w:t>http://www.bahiamultimidia/cinema/artigo.asp</w:t>
            </w:r>
            <w:r>
              <w:rPr>
                <w:rFonts w:ascii="Times New Roman" w:hAnsi="Times New Roman" w:eastAsia="Times New Roman" w:cs="Times New Roman"/>
                <w:color w:val="0000FF"/>
                <w:u w:val="single"/>
              </w:rPr>
              <w:fldChar w:fldCharType="end"/>
            </w:r>
          </w:p>
          <w:p>
            <w:pPr>
              <w:spacing w:line="360" w:lineRule="auto"/>
              <w:ind w:left="0" w:hanging="2"/>
              <w:rPr>
                <w:rFonts w:ascii="Times New Roman" w:hAnsi="Times New Roman" w:cs="Times New Roman"/>
              </w:rPr>
            </w:pPr>
            <w:r>
              <w:rPr>
                <w:rFonts w:ascii="Times New Roman" w:hAnsi="Times New Roman" w:eastAsia="Times New Roman" w:cs="Times New Roman"/>
              </w:rPr>
              <w:t>JAUSS, Hans Robert. A história da literatura como provocação à teoria literária. São Paulo : Ática, 1994.</w:t>
            </w:r>
          </w:p>
          <w:p>
            <w:pPr>
              <w:spacing w:line="360" w:lineRule="auto"/>
              <w:ind w:left="0" w:hanging="2"/>
              <w:rPr>
                <w:rFonts w:ascii="Times New Roman" w:hAnsi="Times New Roman" w:eastAsia="Times New Roman" w:cs="Times New Roman"/>
              </w:rPr>
            </w:pPr>
            <w:r>
              <w:fldChar w:fldCharType="begin"/>
            </w:r>
            <w:r>
              <w:instrText xml:space="preserve"> HYPERLINK "http://200.131.208.160:8000/cgi-bin/gw/chameleon?sessionid=2013110912324830145&amp;skin=sisbin&amp;lng=pt&amp;inst=consortium&amp;host=localhost%2B1111%2BDEFAULT&amp;patronhost=localhost%201111%20DEFAULT&amp;search=SCAN&amp;function=INITREQ&amp;sourcescreen=INITREQ&amp;pos=1&amp;rootsearch=3&amp;elementcount=1&amp;u1=2009&amp;t1=S%C3%A3o%20Paulo%20%3A%20Brasiliense,1990&amp;beginsrch=1" \h </w:instrText>
            </w:r>
            <w:r>
              <w:fldChar w:fldCharType="separate"/>
            </w:r>
            <w:r>
              <w:rPr>
                <w:rFonts w:ascii="Times New Roman" w:hAnsi="Times New Roman" w:eastAsia="Times New Roman" w:cs="Times New Roman"/>
                <w:color w:val="0000FF"/>
                <w:u w:val="single"/>
              </w:rPr>
              <w:t>DELEUZE, G. A imagem-tempo. SP: Brasiliense, 1990.</w:t>
            </w:r>
            <w:r>
              <w:rPr>
                <w:rFonts w:ascii="Times New Roman" w:hAnsi="Times New Roman" w:eastAsia="Times New Roman" w:cs="Times New Roman"/>
                <w:color w:val="0000FF"/>
                <w:u w:val="single"/>
              </w:rPr>
              <w:fldChar w:fldCharType="end"/>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Site: </w:t>
            </w:r>
          </w:p>
          <w:p>
            <w:pPr>
              <w:spacing w:line="360" w:lineRule="auto"/>
              <w:ind w:left="0" w:hanging="2"/>
              <w:rPr>
                <w:rFonts w:ascii="Times New Roman" w:hAnsi="Times New Roman" w:eastAsia="Times New Roman" w:cs="Times New Roman"/>
              </w:rPr>
            </w:pPr>
            <w:r>
              <w:rPr>
                <w:rFonts w:ascii="Times New Roman" w:hAnsi="Times New Roman" w:eastAsia="Times New Roman" w:cs="Times New Roman"/>
              </w:rPr>
              <w:t xml:space="preserve">Casa das Áfricas. </w:t>
            </w:r>
            <w:r>
              <w:fldChar w:fldCharType="begin"/>
            </w:r>
            <w:r>
              <w:instrText xml:space="preserve"> HYPERLINK "http://www.casadasafricas.org.br/" \h </w:instrText>
            </w:r>
            <w:r>
              <w:fldChar w:fldCharType="separate"/>
            </w:r>
            <w:r>
              <w:rPr>
                <w:rFonts w:ascii="Times New Roman" w:hAnsi="Times New Roman" w:eastAsia="Times New Roman" w:cs="Times New Roman"/>
                <w:color w:val="0000FF"/>
                <w:u w:val="single"/>
              </w:rPr>
              <w:t>http://www.casadasafricas.org.br/</w:t>
            </w:r>
            <w:r>
              <w:rPr>
                <w:rFonts w:ascii="Times New Roman" w:hAnsi="Times New Roman" w:eastAsia="Times New Roman" w:cs="Times New Roman"/>
                <w:color w:val="0000FF"/>
                <w:u w:val="single"/>
              </w:rPr>
              <w:fldChar w:fldCharType="end"/>
            </w:r>
          </w:p>
          <w:p>
            <w:pPr>
              <w:spacing w:line="360" w:lineRule="auto"/>
              <w:ind w:left="0" w:hanging="2"/>
              <w:rPr>
                <w:rFonts w:ascii="Times New Roman" w:hAnsi="Times New Roman" w:eastAsia="Times New Roman" w:cs="Times New Roman"/>
              </w:rPr>
            </w:pPr>
            <w:r>
              <w:rPr>
                <w:rFonts w:ascii="Times New Roman" w:hAnsi="Times New Roman" w:eastAsia="Times New Roman" w:cs="Times New Roman"/>
              </w:rPr>
              <w:t xml:space="preserve">Cine África. </w:t>
            </w:r>
            <w:r>
              <w:fldChar w:fldCharType="begin"/>
            </w:r>
            <w:r>
              <w:instrText xml:space="preserve"> HYPERLINK "http://cine-africa.blogspot.com.br/" \h </w:instrText>
            </w:r>
            <w:r>
              <w:fldChar w:fldCharType="separate"/>
            </w:r>
            <w:r>
              <w:rPr>
                <w:rFonts w:ascii="Times New Roman" w:hAnsi="Times New Roman" w:eastAsia="Times New Roman" w:cs="Times New Roman"/>
                <w:color w:val="0000FF"/>
                <w:u w:val="single"/>
              </w:rPr>
              <w:t>http://cine-africa.blogspot.com.br/</w:t>
            </w:r>
            <w:r>
              <w:rPr>
                <w:rFonts w:ascii="Times New Roman" w:hAnsi="Times New Roman" w:eastAsia="Times New Roman" w:cs="Times New Roman"/>
                <w:color w:val="0000FF"/>
                <w:u w:val="single"/>
              </w:rPr>
              <w:fldChar w:fldCharType="end"/>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576"/>
        <w:tblW w:w="8879" w:type="dxa"/>
        <w:tblInd w:w="65" w:type="dxa"/>
        <w:tblLayout w:type="fixed"/>
        <w:tblCellMar>
          <w:top w:w="0" w:type="dxa"/>
          <w:left w:w="108" w:type="dxa"/>
          <w:bottom w:w="0" w:type="dxa"/>
          <w:right w:w="108" w:type="dxa"/>
        </w:tblCellMar>
      </w:tblPr>
      <w:tblGrid>
        <w:gridCol w:w="3137"/>
        <w:gridCol w:w="3375"/>
        <w:gridCol w:w="2367"/>
      </w:tblGrid>
      <w:tr>
        <w:tblPrEx>
          <w:tblCellMar>
            <w:top w:w="0" w:type="dxa"/>
            <w:left w:w="108" w:type="dxa"/>
            <w:bottom w:w="0" w:type="dxa"/>
            <w:right w:w="108" w:type="dxa"/>
          </w:tblCellMar>
        </w:tblPrEx>
        <w:trPr>
          <w:trHeight w:val="1705" w:hRule="atLeast"/>
        </w:trPr>
        <w:tc>
          <w:tcPr>
            <w:tcW w:w="6512" w:type="dxa"/>
            <w:gridSpan w:val="2"/>
            <w:tcBorders>
              <w:top w:val="single" w:color="000000" w:sz="18"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do Componente Curricular em português:</w:t>
            </w:r>
          </w:p>
          <w:p>
            <w:pPr>
              <w:spacing w:line="360" w:lineRule="auto"/>
              <w:ind w:left="0" w:hanging="2"/>
              <w:rPr>
                <w:rFonts w:ascii="Times New Roman" w:hAnsi="Times New Roman" w:cs="Times New Roman"/>
              </w:rPr>
            </w:pPr>
            <w:r>
              <w:rPr>
                <w:rFonts w:ascii="Times New Roman" w:hAnsi="Times New Roman" w:eastAsia="Times New Roman" w:cs="Times New Roman"/>
              </w:rPr>
              <w:t>Historiografia e Teoria das Áfricas</w:t>
            </w:r>
          </w:p>
          <w:p>
            <w:pPr>
              <w:spacing w:before="240" w:line="360" w:lineRule="auto"/>
              <w:ind w:left="0" w:hanging="2"/>
              <w:rPr>
                <w:rFonts w:ascii="Times New Roman" w:hAnsi="Times New Roman" w:cs="Times New Roman"/>
              </w:rPr>
            </w:pPr>
            <w:r>
              <w:rPr>
                <w:rFonts w:ascii="Times New Roman" w:hAnsi="Times New Roman" w:eastAsia="Times New Roman" w:cs="Times New Roman"/>
              </w:rPr>
              <w:t>Nome do Componente Curricular em inglês:</w:t>
            </w:r>
          </w:p>
          <w:p>
            <w:pPr>
              <w:spacing w:line="360" w:lineRule="auto"/>
              <w:ind w:left="0" w:hanging="2"/>
              <w:rPr>
                <w:rFonts w:ascii="Times New Roman" w:hAnsi="Times New Roman" w:cs="Times New Roman"/>
              </w:rPr>
            </w:pPr>
            <w:r>
              <w:rPr>
                <w:rFonts w:ascii="Times New Roman" w:hAnsi="Times New Roman" w:eastAsia="Times New Roman" w:cs="Times New Roman"/>
              </w:rPr>
              <w:t>Historiography and Theory of Africas</w:t>
            </w:r>
          </w:p>
        </w:tc>
        <w:tc>
          <w:tcPr>
            <w:tcW w:w="2367" w:type="dxa"/>
            <w:tcBorders>
              <w:top w:val="single" w:color="000000" w:sz="18"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Código: HIS906</w:t>
            </w:r>
          </w:p>
        </w:tc>
      </w:tr>
      <w:tr>
        <w:tblPrEx>
          <w:tblCellMar>
            <w:top w:w="0" w:type="dxa"/>
            <w:left w:w="108" w:type="dxa"/>
            <w:bottom w:w="0" w:type="dxa"/>
            <w:right w:w="108" w:type="dxa"/>
          </w:tblCellMar>
        </w:tblPrEx>
        <w:trPr>
          <w:trHeight w:val="641" w:hRule="atLeast"/>
        </w:trPr>
        <w:tc>
          <w:tcPr>
            <w:tcW w:w="6512" w:type="dxa"/>
            <w:gridSpan w:val="2"/>
            <w:tcBorders>
              <w:top w:val="single" w:color="000000" w:sz="4"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e sigla do departamento:</w:t>
            </w:r>
          </w:p>
          <w:p>
            <w:pPr>
              <w:spacing w:line="360" w:lineRule="auto"/>
              <w:ind w:left="0" w:hanging="2"/>
              <w:rPr>
                <w:rFonts w:ascii="Times New Roman" w:hAnsi="Times New Roman" w:cs="Times New Roman"/>
              </w:rPr>
            </w:pPr>
            <w:r>
              <w:rPr>
                <w:rFonts w:ascii="Times New Roman" w:hAnsi="Times New Roman" w:eastAsia="Times New Roman" w:cs="Times New Roman"/>
              </w:rPr>
              <w:t>Departamento de História - DEHIS</w:t>
            </w:r>
          </w:p>
        </w:tc>
        <w:tc>
          <w:tcPr>
            <w:tcW w:w="2367" w:type="dxa"/>
            <w:tcBorders>
              <w:top w:val="single" w:color="000000" w:sz="4" w:space="0"/>
              <w:left w:val="single" w:color="000000" w:sz="4" w:space="0"/>
              <w:bottom w:val="single" w:color="000000" w:sz="4" w:space="0"/>
              <w:right w:val="single" w:color="000000" w:sz="18"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Unidade acadêmica:</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ICHS</w:t>
            </w:r>
          </w:p>
        </w:tc>
      </w:tr>
      <w:tr>
        <w:tblPrEx>
          <w:tblCellMar>
            <w:top w:w="0" w:type="dxa"/>
            <w:left w:w="108" w:type="dxa"/>
            <w:bottom w:w="0" w:type="dxa"/>
            <w:right w:w="108" w:type="dxa"/>
          </w:tblCellMar>
        </w:tblPrEx>
        <w:trPr>
          <w:trHeight w:val="641" w:hRule="atLeast"/>
        </w:trPr>
        <w:tc>
          <w:tcPr>
            <w:tcW w:w="3137" w:type="dxa"/>
            <w:tcBorders>
              <w:top w:val="single" w:color="000000" w:sz="4" w:space="0"/>
              <w:left w:val="single" w:color="000000" w:sz="18" w:space="0"/>
              <w:bottom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Carga horária semestral</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60 horas</w:t>
            </w:r>
          </w:p>
        </w:tc>
        <w:tc>
          <w:tcPr>
            <w:tcW w:w="3375" w:type="dxa"/>
            <w:tcBorders>
              <w:top w:val="single" w:color="000000" w:sz="4" w:space="0"/>
              <w:left w:val="single" w:color="000000" w:sz="4" w:space="0"/>
              <w:bottom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 xml:space="preserve">Carga horária semanal teórica </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04 horas/aula</w:t>
            </w:r>
          </w:p>
        </w:tc>
        <w:tc>
          <w:tcPr>
            <w:tcW w:w="2367" w:type="dxa"/>
            <w:tcBorders>
              <w:top w:val="single" w:color="000000" w:sz="4" w:space="0"/>
              <w:left w:val="single" w:color="000000" w:sz="4" w:space="0"/>
              <w:bottom w:val="single" w:color="000000" w:sz="4" w:space="0"/>
              <w:right w:val="single" w:color="000000" w:sz="18"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Carga horária semanal prática</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00 horas/aula</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Ementa: Leitura e debate de autores clássicos da História Africana </w:t>
            </w:r>
          </w:p>
        </w:tc>
      </w:tr>
      <w:tr>
        <w:tblPrEx>
          <w:tblCellMar>
            <w:top w:w="0" w:type="dxa"/>
            <w:left w:w="108" w:type="dxa"/>
            <w:bottom w:w="0" w:type="dxa"/>
            <w:right w:w="108" w:type="dxa"/>
          </w:tblCellMar>
        </w:tblPrEx>
        <w:trPr>
          <w:trHeight w:val="832" w:hRule="atLeast"/>
        </w:trPr>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Bibliografia básica: </w:t>
            </w:r>
          </w:p>
          <w:p>
            <w:pPr>
              <w:spacing w:line="360" w:lineRule="auto"/>
              <w:ind w:left="0" w:hanging="2"/>
              <w:rPr>
                <w:rFonts w:ascii="Times New Roman" w:hAnsi="Times New Roman" w:cs="Times New Roman"/>
              </w:rPr>
            </w:pPr>
            <w:r>
              <w:rPr>
                <w:rFonts w:ascii="Times New Roman" w:hAnsi="Times New Roman" w:eastAsia="Times New Roman" w:cs="Times New Roman"/>
              </w:rPr>
              <w:t>APPIAH, Kwame Anthony. Na casa de meu pai. Rio de Janeiro, Contraponto, 1997.</w:t>
            </w:r>
          </w:p>
          <w:p>
            <w:pPr>
              <w:spacing w:line="360" w:lineRule="auto"/>
              <w:ind w:left="0" w:hanging="2"/>
              <w:rPr>
                <w:rFonts w:ascii="Times New Roman" w:hAnsi="Times New Roman" w:cs="Times New Roman"/>
              </w:rPr>
            </w:pPr>
            <w:r>
              <w:rPr>
                <w:rFonts w:ascii="Times New Roman" w:hAnsi="Times New Roman" w:eastAsia="Times New Roman" w:cs="Times New Roman"/>
              </w:rPr>
              <w:t>M'BOKOLO, Elikia. África negra: história e civilizações: tomo I (até ao século XVIII)</w:t>
            </w:r>
          </w:p>
          <w:p>
            <w:pPr>
              <w:spacing w:line="360" w:lineRule="auto"/>
              <w:ind w:left="0" w:hanging="2"/>
              <w:rPr>
                <w:rFonts w:ascii="Times New Roman" w:hAnsi="Times New Roman" w:cs="Times New Roman"/>
              </w:rPr>
            </w:pPr>
            <w:r>
              <w:rPr>
                <w:rFonts w:ascii="Times New Roman" w:hAnsi="Times New Roman" w:eastAsia="Times New Roman" w:cs="Times New Roman"/>
              </w:rPr>
              <w:t>M'BOKOLO, Elikia. África negra: história e civilizações: tomo II (do século XIX aos nossos dias). 2. ed. Lisboa: Edições Colibri; [2011]. 626 p. (Tempos e espaços africanos).</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KI-ZERBO, Joseph; NIANE, Djibril Tamsir; OGOT, Bethewell Allan; FASI, Mohammed el; HRBEK, I; AJAYI, J. F. Ade; BOAHEN, Albert Adu; MOKHTAR, Gamal; KI-ZERBO, J; MAZRUI, Ali A; WONDJI, C. História geral da África. 2.ed. Brasília: Unesco, 2010. 8v. </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Bibliografia complementar:</w:t>
            </w:r>
          </w:p>
          <w:p>
            <w:pPr>
              <w:spacing w:line="360" w:lineRule="auto"/>
              <w:ind w:left="0" w:hanging="2"/>
              <w:rPr>
                <w:rFonts w:ascii="Times New Roman" w:hAnsi="Times New Roman" w:eastAsia="Times New Roman" w:cs="Times New Roman"/>
              </w:rPr>
            </w:pPr>
            <w:r>
              <w:rPr>
                <w:rFonts w:ascii="Times New Roman" w:hAnsi="Times New Roman" w:eastAsia="Times New Roman" w:cs="Times New Roman"/>
              </w:rPr>
              <w:t xml:space="preserve">MBEMBE, A.  A crítica da Razão Negra. </w:t>
            </w:r>
            <w:r>
              <w:fldChar w:fldCharType="begin"/>
            </w:r>
            <w:r>
              <w:instrText xml:space="preserve"> HYPERLINK "https://joaocamillopenna.files.wordpress.com/2018/03/mbembe-critica-da-razacc83o-negra.pdf" \h </w:instrText>
            </w:r>
            <w:r>
              <w:fldChar w:fldCharType="separate"/>
            </w:r>
            <w:r>
              <w:rPr>
                <w:rFonts w:ascii="Times New Roman" w:hAnsi="Times New Roman" w:eastAsia="Times New Roman" w:cs="Times New Roman"/>
                <w:color w:val="0000FF"/>
                <w:u w:val="single"/>
              </w:rPr>
              <w:t>https://joaocamillopenna.files.wordpress.com/2018/03/mbembe-critica-da-razacc83o-negra.pdf</w:t>
            </w:r>
            <w:r>
              <w:rPr>
                <w:rFonts w:ascii="Times New Roman" w:hAnsi="Times New Roman" w:eastAsia="Times New Roman" w:cs="Times New Roman"/>
                <w:color w:val="0000FF"/>
                <w:u w:val="single"/>
              </w:rPr>
              <w:fldChar w:fldCharType="end"/>
            </w:r>
          </w:p>
          <w:p>
            <w:pPr>
              <w:spacing w:line="360" w:lineRule="auto"/>
              <w:ind w:left="0" w:hanging="2"/>
              <w:rPr>
                <w:rFonts w:ascii="Times New Roman" w:hAnsi="Times New Roman" w:eastAsia="Times New Roman" w:cs="Times New Roman"/>
              </w:rPr>
            </w:pPr>
            <w:r>
              <w:rPr>
                <w:rFonts w:ascii="Times New Roman" w:hAnsi="Times New Roman" w:eastAsia="Times New Roman" w:cs="Times New Roman"/>
              </w:rPr>
              <w:t>_________ As formas africanas de auto-inscriçã</w:t>
            </w:r>
            <w:r>
              <w:rPr>
                <w:rFonts w:ascii="Times New Roman" w:hAnsi="Times New Roman" w:eastAsia="Times New Roman" w:cs="Times New Roman"/>
                <w:u w:val="single"/>
              </w:rPr>
              <w:t xml:space="preserve">o. </w:t>
            </w:r>
            <w:r>
              <w:fldChar w:fldCharType="begin"/>
            </w:r>
            <w:r>
              <w:instrText xml:space="preserve"> HYPERLINK "http://www.scielo.br/scielo.php?%20pid=S0101546X2001000100007&amp;script=sci_abstract&amp;tlng=pt" \h </w:instrText>
            </w:r>
            <w:r>
              <w:fldChar w:fldCharType="separate"/>
            </w:r>
            <w:r>
              <w:rPr>
                <w:rFonts w:ascii="Times New Roman" w:hAnsi="Times New Roman" w:eastAsia="Times New Roman" w:cs="Times New Roman"/>
                <w:color w:val="0000FF"/>
                <w:u w:val="single"/>
              </w:rPr>
              <w:t>http://www.scielo.br/scielo.php? pid=S0101546X2001000100007&amp;script=sci_abstract&amp;tlng=pt</w:t>
            </w:r>
            <w:r>
              <w:rPr>
                <w:rFonts w:ascii="Times New Roman" w:hAnsi="Times New Roman" w:eastAsia="Times New Roman" w:cs="Times New Roman"/>
                <w:color w:val="0000FF"/>
                <w:u w:val="single"/>
              </w:rPr>
              <w:fldChar w:fldCharType="end"/>
            </w:r>
          </w:p>
          <w:p>
            <w:pPr>
              <w:spacing w:line="360" w:lineRule="auto"/>
              <w:ind w:left="0" w:hanging="2"/>
              <w:rPr>
                <w:rFonts w:ascii="Times New Roman" w:hAnsi="Times New Roman" w:eastAsia="Times New Roman" w:cs="Times New Roman"/>
              </w:rPr>
            </w:pPr>
            <w:r>
              <w:rPr>
                <w:rFonts w:ascii="Times New Roman" w:hAnsi="Times New Roman" w:eastAsia="Times New Roman" w:cs="Times New Roman"/>
              </w:rPr>
              <w:t xml:space="preserve">MUDIMBE, Y. A invenção da áfrica gnose, filosofia e a ordem do conhecimento. </w:t>
            </w:r>
            <w:r>
              <w:fldChar w:fldCharType="begin"/>
            </w:r>
            <w:r>
              <w:instrText xml:space="preserve"> HYPERLINK "http://lehaf.paginas.ufsc.br/files/2016/03/V.Y.MUDIMBE.pdf" \h </w:instrText>
            </w:r>
            <w:r>
              <w:fldChar w:fldCharType="separate"/>
            </w:r>
            <w:r>
              <w:rPr>
                <w:rFonts w:ascii="Times New Roman" w:hAnsi="Times New Roman" w:eastAsia="Times New Roman" w:cs="Times New Roman"/>
                <w:color w:val="0000FF"/>
                <w:u w:val="single"/>
              </w:rPr>
              <w:t>http://lehaf.paginas.ufsc.br/files/2016/03/V.Y.MUDIMBE.pdf</w:t>
            </w:r>
            <w:r>
              <w:rPr>
                <w:rFonts w:ascii="Times New Roman" w:hAnsi="Times New Roman" w:eastAsia="Times New Roman" w:cs="Times New Roman"/>
                <w:color w:val="0000FF"/>
                <w:u w:val="single"/>
              </w:rPr>
              <w:fldChar w:fldCharType="end"/>
            </w:r>
          </w:p>
          <w:p>
            <w:pPr>
              <w:spacing w:line="360" w:lineRule="auto"/>
              <w:ind w:left="0" w:hanging="2"/>
              <w:rPr>
                <w:rFonts w:ascii="Times New Roman" w:hAnsi="Times New Roman" w:cs="Times New Roman"/>
              </w:rPr>
            </w:pPr>
            <w:r>
              <w:rPr>
                <w:rFonts w:ascii="Times New Roman" w:hAnsi="Times New Roman" w:eastAsia="Times New Roman" w:cs="Times New Roman"/>
              </w:rPr>
              <w:t>JAHN, J. Muntu. Fondo de cultura econômica. México – Buenos Aires, 1963.</w:t>
            </w:r>
          </w:p>
          <w:p>
            <w:pPr>
              <w:spacing w:line="360" w:lineRule="auto"/>
              <w:ind w:left="0" w:hanging="2"/>
              <w:rPr>
                <w:rFonts w:ascii="Times New Roman" w:hAnsi="Times New Roman" w:eastAsia="Times New Roman" w:cs="Times New Roman"/>
              </w:rPr>
            </w:pPr>
            <w:r>
              <w:rPr>
                <w:rFonts w:ascii="Times New Roman" w:hAnsi="Times New Roman" w:eastAsia="Times New Roman" w:cs="Times New Roman"/>
              </w:rPr>
              <w:t xml:space="preserve">JAMBA, A. J.O despertar filosófico em África de Alphonse Elungu Pene Elungu: Uma referência permanente para o conhecimento do pensamento filosófico africano. Mulemba. </w:t>
            </w:r>
            <w:r>
              <w:fldChar w:fldCharType="begin"/>
            </w:r>
            <w:r>
              <w:instrText xml:space="preserve"> HYPERLINK "https://journals.openedition.org/mulemba/pdf/307" \h </w:instrText>
            </w:r>
            <w:r>
              <w:fldChar w:fldCharType="separate"/>
            </w:r>
            <w:r>
              <w:rPr>
                <w:rFonts w:ascii="Times New Roman" w:hAnsi="Times New Roman" w:eastAsia="Times New Roman" w:cs="Times New Roman"/>
                <w:color w:val="0000FF"/>
                <w:u w:val="single"/>
              </w:rPr>
              <w:t>https://journals.openedition.org/mulemba/pdf/307</w:t>
            </w:r>
            <w:r>
              <w:rPr>
                <w:rFonts w:ascii="Times New Roman" w:hAnsi="Times New Roman" w:eastAsia="Times New Roman" w:cs="Times New Roman"/>
                <w:color w:val="0000FF"/>
                <w:u w:val="single"/>
              </w:rPr>
              <w:fldChar w:fldCharType="end"/>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577"/>
        <w:tblW w:w="8879" w:type="dxa"/>
        <w:tblInd w:w="65" w:type="dxa"/>
        <w:tblLayout w:type="fixed"/>
        <w:tblCellMar>
          <w:top w:w="0" w:type="dxa"/>
          <w:left w:w="108" w:type="dxa"/>
          <w:bottom w:w="0" w:type="dxa"/>
          <w:right w:w="108" w:type="dxa"/>
        </w:tblCellMar>
      </w:tblPr>
      <w:tblGrid>
        <w:gridCol w:w="3424"/>
        <w:gridCol w:w="2813"/>
        <w:gridCol w:w="2642"/>
      </w:tblGrid>
      <w:tr>
        <w:tblPrEx>
          <w:tblCellMar>
            <w:top w:w="0" w:type="dxa"/>
            <w:left w:w="108" w:type="dxa"/>
            <w:bottom w:w="0" w:type="dxa"/>
            <w:right w:w="108" w:type="dxa"/>
          </w:tblCellMar>
        </w:tblPrEx>
        <w:tc>
          <w:tcPr>
            <w:tcW w:w="6237" w:type="dxa"/>
            <w:gridSpan w:val="2"/>
            <w:tcBorders>
              <w:top w:val="single" w:color="000000" w:sz="18"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do Componente Curricular em português:</w:t>
            </w:r>
          </w:p>
          <w:p>
            <w:pPr>
              <w:spacing w:line="360" w:lineRule="auto"/>
              <w:ind w:left="0" w:hanging="2"/>
              <w:rPr>
                <w:rFonts w:ascii="Times New Roman" w:hAnsi="Times New Roman" w:cs="Times New Roman"/>
              </w:rPr>
            </w:pPr>
            <w:r>
              <w:rPr>
                <w:rFonts w:ascii="Times New Roman" w:hAnsi="Times New Roman" w:eastAsia="Times New Roman" w:cs="Times New Roman"/>
              </w:rPr>
              <w:t>Seminário em História das Áfricas V</w:t>
            </w:r>
          </w:p>
          <w:p>
            <w:pPr>
              <w:spacing w:line="360" w:lineRule="auto"/>
              <w:ind w:left="0" w:hanging="2"/>
              <w:rPr>
                <w:rFonts w:ascii="Times New Roman" w:hAnsi="Times New Roman" w:eastAsia="Times New Roman" w:cs="Times New Roman"/>
              </w:rPr>
            </w:pPr>
          </w:p>
          <w:p>
            <w:pPr>
              <w:spacing w:line="360" w:lineRule="auto"/>
              <w:ind w:left="0" w:hanging="2"/>
              <w:rPr>
                <w:rFonts w:ascii="Times New Roman" w:hAnsi="Times New Roman" w:cs="Times New Roman"/>
              </w:rPr>
            </w:pPr>
            <w:r>
              <w:rPr>
                <w:rFonts w:ascii="Times New Roman" w:hAnsi="Times New Roman" w:eastAsia="Times New Roman" w:cs="Times New Roman"/>
              </w:rPr>
              <w:t>Nome do Componente Curricular em inglês:</w:t>
            </w:r>
          </w:p>
          <w:p>
            <w:pPr>
              <w:spacing w:line="360" w:lineRule="auto"/>
              <w:ind w:left="0" w:hanging="2"/>
              <w:rPr>
                <w:rFonts w:ascii="Times New Roman" w:hAnsi="Times New Roman" w:cs="Times New Roman"/>
              </w:rPr>
            </w:pPr>
            <w:r>
              <w:rPr>
                <w:rFonts w:ascii="Times New Roman" w:hAnsi="Times New Roman" w:eastAsia="Times New Roman" w:cs="Times New Roman"/>
              </w:rPr>
              <w:t>Seminar in History of Africas V</w:t>
            </w:r>
          </w:p>
        </w:tc>
        <w:tc>
          <w:tcPr>
            <w:tcW w:w="2642" w:type="dxa"/>
            <w:tcBorders>
              <w:top w:val="single" w:color="000000" w:sz="18" w:space="0"/>
              <w:left w:val="single" w:color="000000" w:sz="4" w:space="0"/>
              <w:bottom w:val="single" w:color="000000" w:sz="4" w:space="0"/>
              <w:right w:val="single" w:color="000000" w:sz="18"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Código: HIS907</w:t>
            </w:r>
          </w:p>
        </w:tc>
      </w:tr>
      <w:tr>
        <w:tblPrEx>
          <w:tblCellMar>
            <w:top w:w="0" w:type="dxa"/>
            <w:left w:w="108" w:type="dxa"/>
            <w:bottom w:w="0" w:type="dxa"/>
            <w:right w:w="108" w:type="dxa"/>
          </w:tblCellMar>
        </w:tblPrEx>
        <w:trPr>
          <w:trHeight w:val="641" w:hRule="atLeast"/>
        </w:trPr>
        <w:tc>
          <w:tcPr>
            <w:tcW w:w="6237" w:type="dxa"/>
            <w:gridSpan w:val="2"/>
            <w:tcBorders>
              <w:top w:val="single" w:color="000000" w:sz="4"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e sigla do departamento:</w:t>
            </w:r>
            <w:r>
              <w:rPr>
                <w:rFonts w:ascii="Times New Roman" w:hAnsi="Times New Roman" w:cs="Times New Roman"/>
              </w:rPr>
              <w:t xml:space="preserve"> </w:t>
            </w:r>
            <w:r>
              <w:rPr>
                <w:rFonts w:ascii="Times New Roman" w:hAnsi="Times New Roman" w:eastAsia="Times New Roman" w:cs="Times New Roman"/>
              </w:rPr>
              <w:t>Departamento de História - DEHIS</w:t>
            </w:r>
          </w:p>
        </w:tc>
        <w:tc>
          <w:tcPr>
            <w:tcW w:w="2642" w:type="dxa"/>
            <w:tcBorders>
              <w:top w:val="single" w:color="000000" w:sz="4" w:space="0"/>
              <w:left w:val="single" w:color="000000" w:sz="4" w:space="0"/>
              <w:bottom w:val="single" w:color="000000" w:sz="4" w:space="0"/>
              <w:right w:val="single" w:color="000000" w:sz="18"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Unidade acadêmica:</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ICHS</w:t>
            </w:r>
          </w:p>
        </w:tc>
      </w:tr>
      <w:tr>
        <w:tblPrEx>
          <w:tblCellMar>
            <w:top w:w="0" w:type="dxa"/>
            <w:left w:w="108" w:type="dxa"/>
            <w:bottom w:w="0" w:type="dxa"/>
            <w:right w:w="108" w:type="dxa"/>
          </w:tblCellMar>
        </w:tblPrEx>
        <w:trPr>
          <w:trHeight w:val="641" w:hRule="atLeast"/>
        </w:trPr>
        <w:tc>
          <w:tcPr>
            <w:tcW w:w="3424" w:type="dxa"/>
            <w:tcBorders>
              <w:top w:val="single" w:color="000000" w:sz="4" w:space="0"/>
              <w:left w:val="single" w:color="000000" w:sz="18" w:space="0"/>
              <w:bottom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Carga horária semestral</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90 horas</w:t>
            </w:r>
          </w:p>
        </w:tc>
        <w:tc>
          <w:tcPr>
            <w:tcW w:w="2813" w:type="dxa"/>
            <w:tcBorders>
              <w:top w:val="single" w:color="000000" w:sz="4" w:space="0"/>
              <w:left w:val="single" w:color="000000" w:sz="4" w:space="0"/>
              <w:bottom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 xml:space="preserve">Carga horária semanal teórica </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04 horas/aula</w:t>
            </w:r>
          </w:p>
        </w:tc>
        <w:tc>
          <w:tcPr>
            <w:tcW w:w="2642" w:type="dxa"/>
            <w:tcBorders>
              <w:top w:val="single" w:color="000000" w:sz="4" w:space="0"/>
              <w:left w:val="single" w:color="000000" w:sz="4" w:space="0"/>
              <w:bottom w:val="single" w:color="000000" w:sz="4" w:space="0"/>
              <w:right w:val="single" w:color="000000" w:sz="18"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Carga horária semanal prática</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02 horas/aula</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Ementa: Reconhecimento das características socioeconômicas, políticas e culturais das sociedades africanas entre os séculos VII e XIX com ênfase na penetração e fixação do Islã</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Conteúdo programático: </w:t>
            </w:r>
          </w:p>
          <w:p>
            <w:pPr>
              <w:numPr>
                <w:ilvl w:val="0"/>
                <w:numId w:val="74"/>
              </w:numPr>
              <w:spacing w:line="360" w:lineRule="auto"/>
              <w:ind w:left="0" w:hanging="2"/>
              <w:rPr>
                <w:rFonts w:ascii="Times New Roman" w:hAnsi="Times New Roman" w:eastAsia="Times New Roman" w:cs="Times New Roman"/>
              </w:rPr>
            </w:pPr>
            <w:r>
              <w:rPr>
                <w:rFonts w:ascii="Times New Roman" w:hAnsi="Times New Roman" w:eastAsia="Times New Roman" w:cs="Times New Roman"/>
              </w:rPr>
              <w:t>Árabes e Islâmicos</w:t>
            </w:r>
          </w:p>
          <w:p>
            <w:pPr>
              <w:numPr>
                <w:ilvl w:val="0"/>
                <w:numId w:val="74"/>
              </w:numPr>
              <w:spacing w:line="360" w:lineRule="auto"/>
              <w:ind w:left="0" w:hanging="2"/>
              <w:rPr>
                <w:rFonts w:ascii="Times New Roman" w:hAnsi="Times New Roman" w:eastAsia="Times New Roman" w:cs="Times New Roman"/>
              </w:rPr>
            </w:pPr>
            <w:r>
              <w:rPr>
                <w:rFonts w:ascii="Times New Roman" w:hAnsi="Times New Roman" w:eastAsia="Times New Roman" w:cs="Times New Roman"/>
              </w:rPr>
              <w:t>Formação do Islã</w:t>
            </w:r>
          </w:p>
          <w:p>
            <w:pPr>
              <w:numPr>
                <w:ilvl w:val="0"/>
                <w:numId w:val="74"/>
              </w:numPr>
              <w:spacing w:line="360" w:lineRule="auto"/>
              <w:ind w:left="0" w:hanging="2"/>
              <w:rPr>
                <w:rFonts w:ascii="Times New Roman" w:hAnsi="Times New Roman" w:eastAsia="Times New Roman" w:cs="Times New Roman"/>
              </w:rPr>
            </w:pPr>
            <w:r>
              <w:rPr>
                <w:rFonts w:ascii="Times New Roman" w:hAnsi="Times New Roman" w:eastAsia="Times New Roman" w:cs="Times New Roman"/>
              </w:rPr>
              <w:t>Religião e política</w:t>
            </w:r>
          </w:p>
          <w:p>
            <w:pPr>
              <w:numPr>
                <w:ilvl w:val="0"/>
                <w:numId w:val="74"/>
              </w:numPr>
              <w:spacing w:line="360" w:lineRule="auto"/>
              <w:ind w:left="0" w:hanging="2"/>
              <w:rPr>
                <w:rFonts w:ascii="Times New Roman" w:hAnsi="Times New Roman" w:eastAsia="Times New Roman" w:cs="Times New Roman"/>
              </w:rPr>
            </w:pPr>
            <w:r>
              <w:rPr>
                <w:rFonts w:ascii="Times New Roman" w:hAnsi="Times New Roman" w:eastAsia="Times New Roman" w:cs="Times New Roman"/>
              </w:rPr>
              <w:t>Expansão Árabe e Islâmica na África</w:t>
            </w:r>
          </w:p>
          <w:p>
            <w:pPr>
              <w:numPr>
                <w:ilvl w:val="0"/>
                <w:numId w:val="74"/>
              </w:numPr>
              <w:spacing w:line="360" w:lineRule="auto"/>
              <w:ind w:left="0" w:hanging="2"/>
              <w:rPr>
                <w:rFonts w:ascii="Times New Roman" w:hAnsi="Times New Roman" w:eastAsia="Times New Roman" w:cs="Times New Roman"/>
              </w:rPr>
            </w:pPr>
            <w:r>
              <w:rPr>
                <w:rFonts w:ascii="Times New Roman" w:hAnsi="Times New Roman" w:eastAsia="Times New Roman" w:cs="Times New Roman"/>
              </w:rPr>
              <w:t xml:space="preserve">Fatímidas </w:t>
            </w:r>
          </w:p>
          <w:p>
            <w:pPr>
              <w:numPr>
                <w:ilvl w:val="0"/>
                <w:numId w:val="74"/>
              </w:numPr>
              <w:spacing w:line="360" w:lineRule="auto"/>
              <w:ind w:left="0" w:hanging="2"/>
              <w:rPr>
                <w:rFonts w:ascii="Times New Roman" w:hAnsi="Times New Roman" w:eastAsia="Times New Roman" w:cs="Times New Roman"/>
              </w:rPr>
            </w:pPr>
            <w:r>
              <w:rPr>
                <w:rFonts w:ascii="Times New Roman" w:hAnsi="Times New Roman" w:eastAsia="Times New Roman" w:cs="Times New Roman"/>
              </w:rPr>
              <w:t>Almorávidas</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Bibliografia básica: </w:t>
            </w:r>
          </w:p>
          <w:p>
            <w:pPr>
              <w:spacing w:line="360" w:lineRule="auto"/>
              <w:ind w:left="0" w:hanging="2"/>
              <w:rPr>
                <w:rFonts w:ascii="Times New Roman" w:hAnsi="Times New Roman" w:cs="Times New Roman"/>
              </w:rPr>
            </w:pPr>
            <w:r>
              <w:rPr>
                <w:rFonts w:ascii="Times New Roman" w:hAnsi="Times New Roman" w:eastAsia="Times New Roman" w:cs="Times New Roman"/>
              </w:rPr>
              <w:t>APPIAH, Kwame Anthony. Na casa de meu pai. Rio de Janeiro, Contraponto, 1997.</w:t>
            </w:r>
          </w:p>
          <w:p>
            <w:pPr>
              <w:spacing w:line="360" w:lineRule="auto"/>
              <w:ind w:left="0" w:hanging="2"/>
              <w:rPr>
                <w:rFonts w:ascii="Times New Roman" w:hAnsi="Times New Roman" w:cs="Times New Roman"/>
              </w:rPr>
            </w:pPr>
            <w:r>
              <w:rPr>
                <w:rFonts w:ascii="Times New Roman" w:hAnsi="Times New Roman" w:eastAsia="Times New Roman" w:cs="Times New Roman"/>
              </w:rPr>
              <w:t>M'BOKOLO, Elikia. África negra: história e civilizações: tomo I (até ao século XVIII)</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KI-ZERBO, Joseph; NIANE, Djibril Tamsir; OGOT, Bethewell Allan; FASI, Mohammed el; HRBEK, I; AJAYI, J. F. Ade; BOAHEN, Albert Adu; MOKHTAR, Gamal; KI-ZERBO, J; MAZRUI, Ali A; WONDJI, C. História geral da África. 2.ed. Brasília: Unesco, 2010. 8v. </w:t>
            </w:r>
          </w:p>
          <w:p>
            <w:pPr>
              <w:spacing w:line="360" w:lineRule="auto"/>
              <w:ind w:left="0" w:hanging="2"/>
              <w:rPr>
                <w:rFonts w:ascii="Times New Roman" w:hAnsi="Times New Roman" w:cs="Times New Roman"/>
              </w:rPr>
            </w:pPr>
            <w:r>
              <w:rPr>
                <w:rFonts w:ascii="Times New Roman" w:hAnsi="Times New Roman" w:eastAsia="Times New Roman" w:cs="Times New Roman"/>
              </w:rPr>
              <w:t>LEWIS, Bernard. Os árabes na história. 2. ed. Lisboa: Estampa 1990. 224p (Imprensa universitária; 26).</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LE BON, Gustavo. La civilizacion de los arabes. Buenos Aires: Biblioteca Clásica, 1944.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COSTA, S. As correntes no interior do Islamismo. </w:t>
            </w:r>
            <w:r>
              <w:fldChar w:fldCharType="begin"/>
            </w:r>
            <w:r>
              <w:instrText xml:space="preserve"> HYPERLINK "http://www1.eeg.uminho.pt/riap/cp/ceupinto/ProjectoFCT/WP_UM_%20%20%20%20Texto%20correntes%20de%20pensamento%202.pdf" \h </w:instrText>
            </w:r>
            <w:r>
              <w:fldChar w:fldCharType="separate"/>
            </w:r>
            <w:r>
              <w:rPr>
                <w:rFonts w:ascii="Times New Roman" w:hAnsi="Times New Roman" w:eastAsia="Times New Roman" w:cs="Times New Roman"/>
                <w:color w:val="0000FF"/>
                <w:u w:val="single"/>
              </w:rPr>
              <w:t>http://www1.eeg.uminho.pt/riap/cp/ceupinto/ProjectoFCT/WP_UM_    Texto%20correntes%20de%20pensamento%202.pdf</w:t>
            </w:r>
            <w:r>
              <w:rPr>
                <w:rFonts w:ascii="Times New Roman" w:hAnsi="Times New Roman" w:eastAsia="Times New Roman" w:cs="Times New Roman"/>
                <w:color w:val="0000FF"/>
                <w:u w:val="single"/>
              </w:rPr>
              <w:fldChar w:fldCharType="end"/>
            </w:r>
          </w:p>
        </w:tc>
      </w:tr>
      <w:tr>
        <w:tblPrEx>
          <w:tblCellMar>
            <w:top w:w="0" w:type="dxa"/>
            <w:left w:w="108" w:type="dxa"/>
            <w:bottom w:w="0" w:type="dxa"/>
            <w:right w:w="108" w:type="dxa"/>
          </w:tblCellMar>
        </w:tblPrEx>
        <w:trPr>
          <w:trHeight w:val="4284" w:hRule="atLeast"/>
        </w:trPr>
        <w:tc>
          <w:tcPr>
            <w:tcW w:w="8879" w:type="dxa"/>
            <w:gridSpan w:val="3"/>
            <w:tcBorders>
              <w:top w:val="single" w:color="000000" w:sz="4" w:space="0"/>
              <w:left w:val="single" w:color="000000" w:sz="18" w:space="0"/>
              <w:bottom w:val="single" w:color="000000" w:sz="4" w:space="0"/>
              <w:right w:val="single" w:color="000000" w:sz="18" w:space="0"/>
            </w:tcBorders>
          </w:tcPr>
          <w:p>
            <w:pPr>
              <w:ind w:left="0" w:hanging="2"/>
              <w:jc w:val="both"/>
              <w:rPr>
                <w:rFonts w:ascii="Times New Roman" w:hAnsi="Times New Roman" w:cs="Times New Roman"/>
              </w:rPr>
            </w:pPr>
            <w:r>
              <w:rPr>
                <w:rFonts w:ascii="Times New Roman" w:hAnsi="Times New Roman" w:eastAsia="Times New Roman" w:cs="Times New Roman"/>
              </w:rPr>
              <w:t xml:space="preserve">Bibliografia complementar: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HOURANI, A. A criação de um mundo</w:t>
            </w:r>
            <w:r>
              <w:rPr>
                <w:rFonts w:ascii="Times New Roman" w:hAnsi="Times New Roman" w:eastAsia="Times New Roman" w:cs="Times New Roman"/>
                <w:b/>
                <w:color w:val="000000"/>
              </w:rPr>
              <w:t>.</w:t>
            </w:r>
            <w:r>
              <w:rPr>
                <w:rFonts w:ascii="Times New Roman" w:hAnsi="Times New Roman" w:eastAsia="Times New Roman" w:cs="Times New Roman"/>
                <w:color w:val="000000"/>
              </w:rPr>
              <w:t xml:space="preserve"> Uma história dos povos árabes. São Paulo: Cia das Letras, 2006.</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RODRIGUES, M. O Mundo árabe e islâmico, Sintése histórica. 1980 </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LOVEJOY, Paul E. A escravidão na África: uma história de suas transformações. Rio De Janeiro: Civilização Brasileira 2002.</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OLIVER, Roland Anthony; AGUIAR, Renato. A experiência africana: da pré-história aos dias atuais. Rio de Janeiro: Jorge Zahar c1994.</w:t>
            </w:r>
          </w:p>
          <w:p>
            <w:pPr>
              <w:spacing w:line="360" w:lineRule="auto"/>
              <w:ind w:left="0" w:hanging="2"/>
              <w:rPr>
                <w:rFonts w:ascii="Times New Roman" w:hAnsi="Times New Roman" w:cs="Times New Roman"/>
              </w:rPr>
            </w:pPr>
            <w:r>
              <w:rPr>
                <w:rFonts w:ascii="Times New Roman" w:hAnsi="Times New Roman" w:eastAsia="Times New Roman" w:cs="Times New Roman"/>
              </w:rPr>
              <w:t>THORNTON, John Kelly. A África e os africanos: na formação do mundo Atlântico, 1400-1800 .5. ed. Rio de Janeiro: Campus c2004</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578"/>
        <w:tblW w:w="8879" w:type="dxa"/>
        <w:tblInd w:w="65" w:type="dxa"/>
        <w:tblLayout w:type="fixed"/>
        <w:tblCellMar>
          <w:top w:w="0" w:type="dxa"/>
          <w:left w:w="108" w:type="dxa"/>
          <w:bottom w:w="0" w:type="dxa"/>
          <w:right w:w="108" w:type="dxa"/>
        </w:tblCellMar>
      </w:tblPr>
      <w:tblGrid>
        <w:gridCol w:w="3525"/>
        <w:gridCol w:w="2548"/>
        <w:gridCol w:w="2806"/>
      </w:tblGrid>
      <w:tr>
        <w:tblPrEx>
          <w:tblCellMar>
            <w:top w:w="0" w:type="dxa"/>
            <w:left w:w="108" w:type="dxa"/>
            <w:bottom w:w="0" w:type="dxa"/>
            <w:right w:w="108" w:type="dxa"/>
          </w:tblCellMar>
        </w:tblPrEx>
        <w:trPr>
          <w:trHeight w:val="1624" w:hRule="atLeast"/>
        </w:trPr>
        <w:tc>
          <w:tcPr>
            <w:tcW w:w="6073" w:type="dxa"/>
            <w:gridSpan w:val="2"/>
            <w:tcBorders>
              <w:top w:val="single" w:color="000000" w:sz="18"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do Componente Curricular em português:</w:t>
            </w:r>
          </w:p>
          <w:p>
            <w:pPr>
              <w:spacing w:line="360" w:lineRule="auto"/>
              <w:ind w:left="0" w:hanging="2"/>
              <w:rPr>
                <w:rFonts w:ascii="Times New Roman" w:hAnsi="Times New Roman" w:cs="Times New Roman"/>
              </w:rPr>
            </w:pPr>
            <w:r>
              <w:rPr>
                <w:rFonts w:ascii="Times New Roman" w:hAnsi="Times New Roman" w:eastAsia="Times New Roman" w:cs="Times New Roman"/>
              </w:rPr>
              <w:t>Seminário em História das Áfricas VI</w:t>
            </w:r>
          </w:p>
          <w:p>
            <w:pPr>
              <w:spacing w:line="360" w:lineRule="auto"/>
              <w:ind w:left="0" w:hanging="2"/>
              <w:rPr>
                <w:rFonts w:ascii="Times New Roman" w:hAnsi="Times New Roman" w:eastAsia="Times New Roman" w:cs="Times New Roman"/>
              </w:rPr>
            </w:pPr>
          </w:p>
          <w:p>
            <w:pPr>
              <w:spacing w:line="360" w:lineRule="auto"/>
              <w:ind w:left="0" w:hanging="2"/>
              <w:rPr>
                <w:rFonts w:ascii="Times New Roman" w:hAnsi="Times New Roman" w:cs="Times New Roman"/>
              </w:rPr>
            </w:pPr>
            <w:r>
              <w:rPr>
                <w:rFonts w:ascii="Times New Roman" w:hAnsi="Times New Roman" w:eastAsia="Times New Roman" w:cs="Times New Roman"/>
              </w:rPr>
              <w:t>Nome do Componente Curricular em inglês:</w:t>
            </w:r>
          </w:p>
          <w:p>
            <w:pPr>
              <w:spacing w:line="360" w:lineRule="auto"/>
              <w:ind w:left="0" w:hanging="2"/>
              <w:rPr>
                <w:rFonts w:ascii="Times New Roman" w:hAnsi="Times New Roman" w:cs="Times New Roman"/>
              </w:rPr>
            </w:pPr>
            <w:r>
              <w:rPr>
                <w:rFonts w:ascii="Times New Roman" w:hAnsi="Times New Roman" w:eastAsia="Times New Roman" w:cs="Times New Roman"/>
              </w:rPr>
              <w:t>Seminar in History of Africas VI</w:t>
            </w:r>
          </w:p>
        </w:tc>
        <w:tc>
          <w:tcPr>
            <w:tcW w:w="2806" w:type="dxa"/>
            <w:tcBorders>
              <w:top w:val="single" w:color="000000" w:sz="18"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Código: HIS908</w:t>
            </w:r>
          </w:p>
        </w:tc>
      </w:tr>
      <w:tr>
        <w:tblPrEx>
          <w:tblCellMar>
            <w:top w:w="0" w:type="dxa"/>
            <w:left w:w="108" w:type="dxa"/>
            <w:bottom w:w="0" w:type="dxa"/>
            <w:right w:w="108" w:type="dxa"/>
          </w:tblCellMar>
        </w:tblPrEx>
        <w:trPr>
          <w:trHeight w:val="641" w:hRule="atLeast"/>
        </w:trPr>
        <w:tc>
          <w:tcPr>
            <w:tcW w:w="6073" w:type="dxa"/>
            <w:gridSpan w:val="2"/>
            <w:tcBorders>
              <w:top w:val="single" w:color="000000" w:sz="4"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e sigla do departamento:</w:t>
            </w:r>
          </w:p>
          <w:p>
            <w:pPr>
              <w:spacing w:line="360" w:lineRule="auto"/>
              <w:ind w:left="0" w:hanging="2"/>
              <w:rPr>
                <w:rFonts w:ascii="Times New Roman" w:hAnsi="Times New Roman" w:cs="Times New Roman"/>
              </w:rPr>
            </w:pPr>
            <w:r>
              <w:rPr>
                <w:rFonts w:ascii="Times New Roman" w:hAnsi="Times New Roman" w:eastAsia="Times New Roman" w:cs="Times New Roman"/>
              </w:rPr>
              <w:t>Departamento de História - DEHIS</w:t>
            </w:r>
          </w:p>
        </w:tc>
        <w:tc>
          <w:tcPr>
            <w:tcW w:w="2806" w:type="dxa"/>
            <w:tcBorders>
              <w:top w:val="single" w:color="000000" w:sz="4" w:space="0"/>
              <w:left w:val="single" w:color="000000" w:sz="4" w:space="0"/>
              <w:bottom w:val="single" w:color="000000" w:sz="4" w:space="0"/>
              <w:right w:val="single" w:color="000000" w:sz="18"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Unidade acadêmica:</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ICHS</w:t>
            </w:r>
          </w:p>
        </w:tc>
      </w:tr>
      <w:tr>
        <w:tblPrEx>
          <w:tblCellMar>
            <w:top w:w="0" w:type="dxa"/>
            <w:left w:w="108" w:type="dxa"/>
            <w:bottom w:w="0" w:type="dxa"/>
            <w:right w:w="108" w:type="dxa"/>
          </w:tblCellMar>
        </w:tblPrEx>
        <w:trPr>
          <w:trHeight w:val="641" w:hRule="atLeast"/>
        </w:trPr>
        <w:tc>
          <w:tcPr>
            <w:tcW w:w="3525" w:type="dxa"/>
            <w:tcBorders>
              <w:top w:val="single" w:color="000000" w:sz="4" w:space="0"/>
              <w:left w:val="single" w:color="000000" w:sz="18" w:space="0"/>
              <w:bottom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Carga horária semestral</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90 horas</w:t>
            </w:r>
          </w:p>
        </w:tc>
        <w:tc>
          <w:tcPr>
            <w:tcW w:w="2548" w:type="dxa"/>
            <w:tcBorders>
              <w:top w:val="single" w:color="000000" w:sz="4" w:space="0"/>
              <w:left w:val="single" w:color="000000" w:sz="4" w:space="0"/>
              <w:bottom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 xml:space="preserve">Carga horária semanal teórica </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04 horas/aula</w:t>
            </w:r>
          </w:p>
        </w:tc>
        <w:tc>
          <w:tcPr>
            <w:tcW w:w="2806" w:type="dxa"/>
            <w:tcBorders>
              <w:top w:val="single" w:color="000000" w:sz="4" w:space="0"/>
              <w:left w:val="single" w:color="000000" w:sz="4" w:space="0"/>
              <w:bottom w:val="single" w:color="000000" w:sz="4" w:space="0"/>
              <w:right w:val="single" w:color="000000" w:sz="18"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Carga horária semanal prática</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02 horas/aula</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Ementa: Analisar a produção cinematográfica produzida em África e observar as estratégias narrativas, o diálogo entre o universal e o local e as formas de auto-inscrição dos diferentes povos africanos.</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Conteúdo programático: </w:t>
            </w:r>
          </w:p>
          <w:p>
            <w:pPr>
              <w:numPr>
                <w:ilvl w:val="0"/>
                <w:numId w:val="75"/>
              </w:numPr>
              <w:tabs>
                <w:tab w:val="left" w:pos="0"/>
                <w:tab w:val="left" w:pos="720"/>
              </w:tabs>
              <w:spacing w:line="360" w:lineRule="auto"/>
              <w:ind w:left="0" w:hanging="2"/>
              <w:rPr>
                <w:rFonts w:ascii="Times New Roman" w:hAnsi="Times New Roman" w:eastAsia="Times New Roman" w:cs="Times New Roman"/>
              </w:rPr>
            </w:pPr>
            <w:r>
              <w:rPr>
                <w:rFonts w:ascii="Times New Roman" w:hAnsi="Times New Roman" w:eastAsia="Times New Roman" w:cs="Times New Roman"/>
              </w:rPr>
              <w:t>O cinema como fonte histórica</w:t>
            </w:r>
          </w:p>
          <w:p>
            <w:pPr>
              <w:numPr>
                <w:ilvl w:val="0"/>
                <w:numId w:val="75"/>
              </w:numPr>
              <w:tabs>
                <w:tab w:val="left" w:pos="0"/>
                <w:tab w:val="left" w:pos="720"/>
              </w:tabs>
              <w:spacing w:line="360" w:lineRule="auto"/>
              <w:ind w:left="0" w:hanging="2"/>
              <w:rPr>
                <w:rFonts w:ascii="Times New Roman" w:hAnsi="Times New Roman" w:eastAsia="Times New Roman" w:cs="Times New Roman"/>
              </w:rPr>
            </w:pPr>
            <w:r>
              <w:rPr>
                <w:rFonts w:ascii="Times New Roman" w:hAnsi="Times New Roman" w:eastAsia="Times New Roman" w:cs="Times New Roman"/>
              </w:rPr>
              <w:t>A produção do excepcionalismo no universal</w:t>
            </w:r>
          </w:p>
          <w:p>
            <w:pPr>
              <w:numPr>
                <w:ilvl w:val="0"/>
                <w:numId w:val="75"/>
              </w:numPr>
              <w:tabs>
                <w:tab w:val="left" w:pos="0"/>
                <w:tab w:val="left" w:pos="720"/>
              </w:tabs>
              <w:spacing w:line="360" w:lineRule="auto"/>
              <w:ind w:left="0" w:hanging="2"/>
              <w:rPr>
                <w:rFonts w:ascii="Times New Roman" w:hAnsi="Times New Roman" w:eastAsia="Times New Roman" w:cs="Times New Roman"/>
              </w:rPr>
            </w:pPr>
            <w:r>
              <w:rPr>
                <w:rFonts w:ascii="Times New Roman" w:hAnsi="Times New Roman" w:eastAsia="Times New Roman" w:cs="Times New Roman"/>
              </w:rPr>
              <w:t>Análise de filmes</w:t>
            </w:r>
          </w:p>
          <w:p>
            <w:pPr>
              <w:numPr>
                <w:ilvl w:val="0"/>
                <w:numId w:val="75"/>
              </w:numPr>
              <w:tabs>
                <w:tab w:val="left" w:pos="0"/>
                <w:tab w:val="left" w:pos="720"/>
              </w:tabs>
              <w:spacing w:line="360" w:lineRule="auto"/>
              <w:ind w:left="0" w:hanging="2"/>
              <w:rPr>
                <w:rFonts w:ascii="Times New Roman" w:hAnsi="Times New Roman" w:eastAsia="Times New Roman" w:cs="Times New Roman"/>
              </w:rPr>
            </w:pPr>
            <w:r>
              <w:rPr>
                <w:rFonts w:ascii="Times New Roman" w:hAnsi="Times New Roman" w:eastAsia="Times New Roman" w:cs="Times New Roman"/>
              </w:rPr>
              <w:t>A produção fílmica como forma narrativa do Eu.</w:t>
            </w:r>
          </w:p>
          <w:p>
            <w:pPr>
              <w:numPr>
                <w:ilvl w:val="0"/>
                <w:numId w:val="75"/>
              </w:numPr>
              <w:tabs>
                <w:tab w:val="left" w:pos="0"/>
                <w:tab w:val="left" w:pos="720"/>
              </w:tabs>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Estratégias de abordagem do passado via produção imagética</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Bibliografia básica: </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KI-ZERBO, Joseph; NIANE, Djibril Tamsir; OGOT, Bethewell Allan; FASI, Mohammed el; HRBEK, I; AJAYI, J. F. Ade; BOAHEN, Albert Adu; MOKHTAR, Gamal; KI-ZERBO, J; MAZRUI, Ali A; WONDJI, C. História geral da África. 2.ed. Brasília: Unesco, 2010. 8v. </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APPIAH, Kwame Anthony. Na casa de meu pai. Rio de Janeiro, Contraponto, 1997.</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CÁNEPA, L. MÜLLER, A., VIEIRA, M., SOUZA, G. XIIEstudos de cinema e audiovisual – SOCINE. SP: Socine, 2011. &lt;</w:t>
            </w:r>
            <w:r>
              <w:rPr>
                <w:rFonts w:ascii="Times New Roman" w:hAnsi="Times New Roman" w:eastAsia="Times New Roman" w:cs="Times New Roman"/>
                <w:i/>
              </w:rPr>
              <w:t>socine.org.br/livro/XII_ESTUDOS_SOCINE_V1_b.</w:t>
            </w:r>
            <w:r>
              <w:rPr>
                <w:rFonts w:ascii="Times New Roman" w:hAnsi="Times New Roman" w:eastAsia="Times New Roman" w:cs="Times New Roman"/>
                <w:b/>
                <w:i/>
              </w:rPr>
              <w:t>pdf</w:t>
            </w:r>
            <w:r>
              <w:rPr>
                <w:rFonts w:ascii="Times New Roman" w:hAnsi="Times New Roman" w:eastAsia="Times New Roman" w:cs="Times New Roman"/>
              </w:rPr>
              <w:t>‎ &gt;</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Bibliografia complementar: </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MBEMBE, A. Fomas de auto-incrição. Estudos Afro-Asiáticos, Ano 23, no 1, 2001, pp. 171-209</w:t>
            </w:r>
          </w:p>
          <w:p>
            <w:pPr>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 xml:space="preserve">GOMES, Wilson. A Poética do Cinema e a questão do método em análise fílmica. </w:t>
            </w:r>
            <w:r>
              <w:fldChar w:fldCharType="begin"/>
            </w:r>
            <w:r>
              <w:instrText xml:space="preserve"> HYPERLINK "http://www.bahiamultimidia/cinema/artigo.asp" \h </w:instrText>
            </w:r>
            <w:r>
              <w:fldChar w:fldCharType="separate"/>
            </w:r>
            <w:r>
              <w:rPr>
                <w:rFonts w:ascii="Times New Roman" w:hAnsi="Times New Roman" w:eastAsia="Times New Roman" w:cs="Times New Roman"/>
                <w:color w:val="0000FF"/>
                <w:u w:val="single"/>
              </w:rPr>
              <w:t>http://www.bahiamultimidia/cinema/artigo.asp</w:t>
            </w:r>
            <w:r>
              <w:rPr>
                <w:rFonts w:ascii="Times New Roman" w:hAnsi="Times New Roman" w:eastAsia="Times New Roman" w:cs="Times New Roman"/>
                <w:color w:val="0000FF"/>
                <w:u w:val="single"/>
              </w:rPr>
              <w:fldChar w:fldCharType="end"/>
            </w:r>
          </w:p>
          <w:p>
            <w:pPr>
              <w:spacing w:line="360" w:lineRule="auto"/>
              <w:ind w:left="0" w:hanging="2"/>
              <w:jc w:val="both"/>
              <w:rPr>
                <w:rFonts w:ascii="Times New Roman" w:hAnsi="Times New Roman" w:cs="Times New Roman"/>
              </w:rPr>
            </w:pPr>
            <w:r>
              <w:rPr>
                <w:rFonts w:ascii="Times New Roman" w:hAnsi="Times New Roman" w:eastAsia="Times New Roman" w:cs="Times New Roman"/>
              </w:rPr>
              <w:t>JAUSS, Hans Robert. A história da literatura como provocação à teoria literária. São Paulo : Ática, 1994.</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BAMBA, M. Do “cinema com sotaque” e transnacional à recepção transcultural e diaspórica dos filmes. palíndromo Processos Artísticos Contempoâneos, 2011,n</w:t>
            </w:r>
            <w:r>
              <w:rPr>
                <w:rFonts w:ascii="Times New Roman" w:hAnsi="Times New Roman" w:eastAsia="Times New Roman" w:cs="Times New Roman"/>
                <w:vertAlign w:val="superscript"/>
              </w:rPr>
              <w:t>o</w:t>
            </w:r>
            <w:r>
              <w:rPr>
                <w:rFonts w:ascii="Times New Roman" w:hAnsi="Times New Roman" w:eastAsia="Times New Roman" w:cs="Times New Roman"/>
              </w:rPr>
              <w:t xml:space="preserve">.5. </w:t>
            </w:r>
          </w:p>
          <w:p>
            <w:pPr>
              <w:spacing w:line="360" w:lineRule="auto"/>
              <w:ind w:left="0" w:hanging="2"/>
              <w:jc w:val="both"/>
              <w:rPr>
                <w:rFonts w:ascii="Times New Roman" w:hAnsi="Times New Roman" w:eastAsia="Times New Roman" w:cs="Times New Roman"/>
              </w:rPr>
            </w:pPr>
            <w:r>
              <w:fldChar w:fldCharType="begin"/>
            </w:r>
            <w:r>
              <w:instrText xml:space="preserve"> HYPERLINK "http://200.131.208.160:8000/cgi-bin/gw/chameleon?sessionid=2013110912324830145&amp;skin=sisbin&amp;lng=pt&amp;inst=consortium&amp;host=localhost%2B1111%2BDEFAULT&amp;patronhost=localhost%201111%20DEFAULT&amp;search=SCAN&amp;function=INITREQ&amp;sourcescreen=INITREQ&amp;pos=1&amp;rootsearch=3&amp;elementcount=1&amp;u1=2009&amp;t1=S%C3%A3o%20Paulo%20%3A%20Brasiliense,1990&amp;beginsrch=1" \h </w:instrText>
            </w:r>
            <w:r>
              <w:fldChar w:fldCharType="separate"/>
            </w:r>
            <w:r>
              <w:rPr>
                <w:rFonts w:ascii="Times New Roman" w:hAnsi="Times New Roman" w:eastAsia="Times New Roman" w:cs="Times New Roman"/>
                <w:color w:val="0000FF"/>
                <w:u w:val="single"/>
              </w:rPr>
              <w:t>DELEUZE, G. A imagem-tempo. SP: Brasiliense, 1990.</w:t>
            </w:r>
            <w:r>
              <w:rPr>
                <w:rFonts w:ascii="Times New Roman" w:hAnsi="Times New Roman" w:eastAsia="Times New Roman" w:cs="Times New Roman"/>
                <w:color w:val="0000FF"/>
                <w:u w:val="single"/>
              </w:rPr>
              <w:fldChar w:fldCharType="end"/>
            </w:r>
          </w:p>
          <w:p>
            <w:pPr>
              <w:spacing w:line="360" w:lineRule="auto"/>
              <w:ind w:left="0" w:hanging="2"/>
              <w:jc w:val="both"/>
              <w:rPr>
                <w:rFonts w:ascii="Times New Roman" w:hAnsi="Times New Roman" w:cs="Times New Roman"/>
              </w:rPr>
            </w:pPr>
            <w:r>
              <w:rPr>
                <w:rFonts w:ascii="Times New Roman" w:hAnsi="Times New Roman" w:eastAsia="Times New Roman" w:cs="Times New Roman"/>
              </w:rPr>
              <w:t>Site:</w:t>
            </w:r>
          </w:p>
          <w:p>
            <w:pPr>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 xml:space="preserve">Casa das Áfricas. </w:t>
            </w:r>
            <w:r>
              <w:fldChar w:fldCharType="begin"/>
            </w:r>
            <w:r>
              <w:instrText xml:space="preserve"> HYPERLINK "http://www.casadasafricas.org.br/" \h </w:instrText>
            </w:r>
            <w:r>
              <w:fldChar w:fldCharType="separate"/>
            </w:r>
            <w:r>
              <w:rPr>
                <w:rFonts w:ascii="Times New Roman" w:hAnsi="Times New Roman" w:eastAsia="Times New Roman" w:cs="Times New Roman"/>
                <w:color w:val="0000FF"/>
                <w:u w:val="single"/>
              </w:rPr>
              <w:t>http://www.casadasafricas.org.br/</w:t>
            </w:r>
            <w:r>
              <w:rPr>
                <w:rFonts w:ascii="Times New Roman" w:hAnsi="Times New Roman" w:eastAsia="Times New Roman" w:cs="Times New Roman"/>
                <w:color w:val="0000FF"/>
                <w:u w:val="single"/>
              </w:rPr>
              <w:fldChar w:fldCharType="end"/>
            </w:r>
          </w:p>
          <w:p>
            <w:pPr>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 xml:space="preserve">Cine África. </w:t>
            </w:r>
            <w:r>
              <w:fldChar w:fldCharType="begin"/>
            </w:r>
            <w:r>
              <w:instrText xml:space="preserve"> HYPERLINK "http://cine-africa.blogspot.com.br/" \h </w:instrText>
            </w:r>
            <w:r>
              <w:fldChar w:fldCharType="separate"/>
            </w:r>
            <w:r>
              <w:rPr>
                <w:rFonts w:ascii="Times New Roman" w:hAnsi="Times New Roman" w:eastAsia="Times New Roman" w:cs="Times New Roman"/>
                <w:color w:val="0000FF"/>
                <w:u w:val="single"/>
              </w:rPr>
              <w:t>http://cine-africa.blogspot.com.br/</w:t>
            </w:r>
            <w:r>
              <w:rPr>
                <w:rFonts w:ascii="Times New Roman" w:hAnsi="Times New Roman" w:eastAsia="Times New Roman" w:cs="Times New Roman"/>
                <w:color w:val="0000FF"/>
                <w:u w:val="single"/>
              </w:rPr>
              <w:fldChar w:fldCharType="end"/>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579"/>
        <w:tblW w:w="8879" w:type="dxa"/>
        <w:tblInd w:w="65" w:type="dxa"/>
        <w:tblLayout w:type="fixed"/>
        <w:tblCellMar>
          <w:top w:w="0" w:type="dxa"/>
          <w:left w:w="108" w:type="dxa"/>
          <w:bottom w:w="0" w:type="dxa"/>
          <w:right w:w="108" w:type="dxa"/>
        </w:tblCellMar>
      </w:tblPr>
      <w:tblGrid>
        <w:gridCol w:w="3116"/>
        <w:gridCol w:w="3119"/>
        <w:gridCol w:w="2644"/>
      </w:tblGrid>
      <w:tr>
        <w:tblPrEx>
          <w:tblCellMar>
            <w:top w:w="0" w:type="dxa"/>
            <w:left w:w="108" w:type="dxa"/>
            <w:bottom w:w="0" w:type="dxa"/>
            <w:right w:w="108" w:type="dxa"/>
          </w:tblCellMar>
        </w:tblPrEx>
        <w:tc>
          <w:tcPr>
            <w:tcW w:w="6235" w:type="dxa"/>
            <w:gridSpan w:val="2"/>
            <w:tcBorders>
              <w:top w:val="single" w:color="000000" w:sz="18"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do Componente Curricular em português:</w:t>
            </w:r>
          </w:p>
          <w:p>
            <w:pPr>
              <w:spacing w:line="360" w:lineRule="auto"/>
              <w:ind w:left="0" w:hanging="2"/>
              <w:rPr>
                <w:rFonts w:ascii="Times New Roman" w:hAnsi="Times New Roman" w:cs="Times New Roman"/>
              </w:rPr>
            </w:pPr>
            <w:r>
              <w:rPr>
                <w:rFonts w:ascii="Times New Roman" w:hAnsi="Times New Roman" w:eastAsia="Times New Roman" w:cs="Times New Roman"/>
              </w:rPr>
              <w:t>Seminário em História das Áfricas VII</w:t>
            </w:r>
          </w:p>
          <w:p>
            <w:pPr>
              <w:spacing w:line="360" w:lineRule="auto"/>
              <w:ind w:left="0" w:hanging="2"/>
              <w:rPr>
                <w:rFonts w:ascii="Times New Roman" w:hAnsi="Times New Roman" w:eastAsia="Times New Roman" w:cs="Times New Roman"/>
              </w:rPr>
            </w:pPr>
          </w:p>
          <w:p>
            <w:pPr>
              <w:spacing w:line="360" w:lineRule="auto"/>
              <w:ind w:left="0" w:hanging="2"/>
              <w:rPr>
                <w:rFonts w:ascii="Times New Roman" w:hAnsi="Times New Roman" w:cs="Times New Roman"/>
              </w:rPr>
            </w:pPr>
            <w:r>
              <w:rPr>
                <w:rFonts w:ascii="Times New Roman" w:hAnsi="Times New Roman" w:eastAsia="Times New Roman" w:cs="Times New Roman"/>
              </w:rPr>
              <w:t>Nome do Componente Curricular em inglês:</w:t>
            </w:r>
          </w:p>
          <w:p>
            <w:pPr>
              <w:spacing w:line="360" w:lineRule="auto"/>
              <w:ind w:left="0" w:hanging="2"/>
              <w:rPr>
                <w:rFonts w:ascii="Times New Roman" w:hAnsi="Times New Roman" w:cs="Times New Roman"/>
              </w:rPr>
            </w:pPr>
            <w:r>
              <w:rPr>
                <w:rFonts w:ascii="Times New Roman" w:hAnsi="Times New Roman" w:eastAsia="Times New Roman" w:cs="Times New Roman"/>
              </w:rPr>
              <w:t>Seminar in History of Africas VII</w:t>
            </w:r>
          </w:p>
        </w:tc>
        <w:tc>
          <w:tcPr>
            <w:tcW w:w="2644" w:type="dxa"/>
            <w:tcBorders>
              <w:top w:val="single" w:color="000000" w:sz="18"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Código: HIS909</w:t>
            </w:r>
          </w:p>
        </w:tc>
      </w:tr>
      <w:tr>
        <w:tblPrEx>
          <w:tblCellMar>
            <w:top w:w="0" w:type="dxa"/>
            <w:left w:w="108" w:type="dxa"/>
            <w:bottom w:w="0" w:type="dxa"/>
            <w:right w:w="108" w:type="dxa"/>
          </w:tblCellMar>
        </w:tblPrEx>
        <w:trPr>
          <w:trHeight w:val="641" w:hRule="atLeast"/>
        </w:trPr>
        <w:tc>
          <w:tcPr>
            <w:tcW w:w="6235" w:type="dxa"/>
            <w:gridSpan w:val="2"/>
            <w:tcBorders>
              <w:top w:val="single" w:color="000000" w:sz="4"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e sigla do departamento:</w:t>
            </w:r>
          </w:p>
          <w:p>
            <w:pPr>
              <w:spacing w:line="360" w:lineRule="auto"/>
              <w:ind w:left="0" w:hanging="2"/>
              <w:rPr>
                <w:rFonts w:ascii="Times New Roman" w:hAnsi="Times New Roman" w:cs="Times New Roman"/>
              </w:rPr>
            </w:pPr>
            <w:r>
              <w:rPr>
                <w:rFonts w:ascii="Times New Roman" w:hAnsi="Times New Roman" w:eastAsia="Times New Roman" w:cs="Times New Roman"/>
              </w:rPr>
              <w:t>Departamento de História - DEHIS</w:t>
            </w:r>
          </w:p>
        </w:tc>
        <w:tc>
          <w:tcPr>
            <w:tcW w:w="2644" w:type="dxa"/>
            <w:tcBorders>
              <w:top w:val="single" w:color="000000" w:sz="4"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Unidade acadêmica:</w:t>
            </w:r>
          </w:p>
          <w:p>
            <w:pPr>
              <w:spacing w:line="360" w:lineRule="auto"/>
              <w:ind w:left="0" w:hanging="2"/>
              <w:rPr>
                <w:rFonts w:ascii="Times New Roman" w:hAnsi="Times New Roman" w:cs="Times New Roman"/>
              </w:rPr>
            </w:pPr>
            <w:r>
              <w:rPr>
                <w:rFonts w:ascii="Times New Roman" w:hAnsi="Times New Roman" w:eastAsia="Times New Roman" w:cs="Times New Roman"/>
              </w:rPr>
              <w:t>ICHS</w:t>
            </w:r>
          </w:p>
        </w:tc>
      </w:tr>
      <w:tr>
        <w:tblPrEx>
          <w:tblCellMar>
            <w:top w:w="0" w:type="dxa"/>
            <w:left w:w="108" w:type="dxa"/>
            <w:bottom w:w="0" w:type="dxa"/>
            <w:right w:w="108" w:type="dxa"/>
          </w:tblCellMar>
        </w:tblPrEx>
        <w:trPr>
          <w:trHeight w:val="641" w:hRule="atLeast"/>
        </w:trPr>
        <w:tc>
          <w:tcPr>
            <w:tcW w:w="3116" w:type="dxa"/>
            <w:tcBorders>
              <w:top w:val="single" w:color="000000" w:sz="4" w:space="0"/>
              <w:left w:val="single" w:color="000000" w:sz="18" w:space="0"/>
              <w:bottom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Carga horária semestral</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60 horas</w:t>
            </w:r>
          </w:p>
        </w:tc>
        <w:tc>
          <w:tcPr>
            <w:tcW w:w="3119" w:type="dxa"/>
            <w:tcBorders>
              <w:top w:val="single" w:color="000000" w:sz="4" w:space="0"/>
              <w:left w:val="single" w:color="000000" w:sz="4" w:space="0"/>
              <w:bottom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 xml:space="preserve">Carga horária semanal teórica </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04 horas/aula</w:t>
            </w:r>
          </w:p>
        </w:tc>
        <w:tc>
          <w:tcPr>
            <w:tcW w:w="2644" w:type="dxa"/>
            <w:tcBorders>
              <w:top w:val="single" w:color="000000" w:sz="4" w:space="0"/>
              <w:left w:val="single" w:color="000000" w:sz="4" w:space="0"/>
              <w:bottom w:val="single" w:color="000000" w:sz="4" w:space="0"/>
              <w:right w:val="single" w:color="000000" w:sz="18"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Carga horária semanal prática</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00 horas/aula</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Ementa: Leitura e debate de autores clássicos da Diáspora Africana </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Conteúdo programático: </w:t>
            </w:r>
          </w:p>
          <w:p>
            <w:pPr>
              <w:numPr>
                <w:ilvl w:val="0"/>
                <w:numId w:val="76"/>
              </w:numPr>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 xml:space="preserve"> WEB Dubois</w:t>
            </w:r>
          </w:p>
          <w:p>
            <w:pPr>
              <w:numPr>
                <w:ilvl w:val="0"/>
                <w:numId w:val="76"/>
              </w:numPr>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Marcus Garvey</w:t>
            </w:r>
          </w:p>
          <w:p>
            <w:pPr>
              <w:numPr>
                <w:ilvl w:val="0"/>
                <w:numId w:val="76"/>
              </w:numPr>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Aimé Cesaire</w:t>
            </w:r>
          </w:p>
          <w:p>
            <w:pPr>
              <w:numPr>
                <w:ilvl w:val="0"/>
                <w:numId w:val="76"/>
              </w:numPr>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 xml:space="preserve"> Patrick Chamoiseau</w:t>
            </w:r>
          </w:p>
          <w:p>
            <w:pPr>
              <w:numPr>
                <w:ilvl w:val="0"/>
                <w:numId w:val="76"/>
              </w:numPr>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 xml:space="preserve"> Franz Fanon</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Bibliografia básica: </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APPIAH, Kwame Anthony. Na casa de meu pai. Rio de Janeiro, Contraponto, 1997.</w:t>
            </w:r>
          </w:p>
          <w:p>
            <w:pPr>
              <w:spacing w:line="360" w:lineRule="auto"/>
              <w:ind w:left="0" w:hanging="2"/>
              <w:rPr>
                <w:rFonts w:ascii="Times New Roman" w:hAnsi="Times New Roman" w:cs="Times New Roman"/>
              </w:rPr>
            </w:pPr>
            <w:r>
              <w:rPr>
                <w:rFonts w:ascii="Times New Roman" w:hAnsi="Times New Roman" w:eastAsia="Times New Roman" w:cs="Times New Roman"/>
              </w:rPr>
              <w:t>M'BOKOLO, Elikia. África negra: história e civilizações: tomo I (até ao século XVIII)</w:t>
            </w:r>
          </w:p>
          <w:p>
            <w:pPr>
              <w:spacing w:line="360" w:lineRule="auto"/>
              <w:ind w:left="0" w:hanging="2"/>
              <w:rPr>
                <w:rFonts w:ascii="Times New Roman" w:hAnsi="Times New Roman" w:cs="Times New Roman"/>
              </w:rPr>
            </w:pPr>
            <w:r>
              <w:rPr>
                <w:rFonts w:ascii="Times New Roman" w:hAnsi="Times New Roman" w:eastAsia="Times New Roman" w:cs="Times New Roman"/>
              </w:rPr>
              <w:t>M'BOKOLO, Elikia. África negra: história e civilizações: tomo II (do século XIX aos nossos dias). 2. ed. Lisboa: Edições Colibri; [2011]. 626 p. (Tempos e espaços africanos).</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KI-ZERBO, Joseph; NIANE, Djibril Tamsir; OGOT, Bethewell Allan; FASI, Mohammed el; HRBEK, I; AJAYI, J. F. Ade; BOAHEN, Albert Adu; MOKHTAR, Gamal; KI-ZERBO, J; MAZRUI, Ali A; WONDJI, C. História geral da África. 2.ed. Brasília: Unesco, 2010. 8v. </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Bibliografia complementar:</w:t>
            </w:r>
          </w:p>
          <w:p>
            <w:pPr>
              <w:spacing w:line="360" w:lineRule="auto"/>
              <w:ind w:left="0" w:hanging="2"/>
              <w:rPr>
                <w:rFonts w:ascii="Times New Roman" w:hAnsi="Times New Roman" w:eastAsia="Times New Roman" w:cs="Times New Roman"/>
              </w:rPr>
            </w:pPr>
            <w:r>
              <w:rPr>
                <w:rFonts w:ascii="Times New Roman" w:hAnsi="Times New Roman" w:eastAsia="Times New Roman" w:cs="Times New Roman"/>
              </w:rPr>
              <w:t xml:space="preserve">CESAIRE, A. Discurso sobre o </w:t>
            </w:r>
            <w:r>
              <w:fldChar w:fldCharType="begin"/>
            </w:r>
            <w:r>
              <w:instrText xml:space="preserve"> HYPERLINK "https://antropologiadeoutraforma.files.wordpress.com/2013/04/aime-cesaire-discurso-sobre-o-colonialismo.pdf" \h </w:instrText>
            </w:r>
            <w:r>
              <w:fldChar w:fldCharType="separate"/>
            </w:r>
            <w:r>
              <w:rPr>
                <w:rFonts w:ascii="Times New Roman" w:hAnsi="Times New Roman" w:eastAsia="Times New Roman" w:cs="Times New Roman"/>
                <w:color w:val="0000FF"/>
                <w:u w:val="single"/>
              </w:rPr>
              <w:t>https://antropologiadeoutraforma.files.wordpress.com/2013/04/aime-cesaire-discurso-sobre-o-colonialismo.pdf</w:t>
            </w:r>
            <w:r>
              <w:rPr>
                <w:rFonts w:ascii="Times New Roman" w:hAnsi="Times New Roman" w:eastAsia="Times New Roman" w:cs="Times New Roman"/>
                <w:color w:val="0000FF"/>
                <w:u w:val="single"/>
              </w:rPr>
              <w:fldChar w:fldCharType="end"/>
            </w:r>
          </w:p>
          <w:p>
            <w:pPr>
              <w:spacing w:line="360" w:lineRule="auto"/>
              <w:ind w:left="0" w:hanging="2"/>
              <w:rPr>
                <w:rFonts w:ascii="Times New Roman" w:hAnsi="Times New Roman" w:eastAsia="Times New Roman" w:cs="Times New Roman"/>
              </w:rPr>
            </w:pPr>
            <w:r>
              <w:rPr>
                <w:rFonts w:ascii="Times New Roman" w:hAnsi="Times New Roman" w:eastAsia="Times New Roman" w:cs="Times New Roman"/>
              </w:rPr>
              <w:t xml:space="preserve">GARVEY, M Estrela Preta. Eu &amp; EU, 2013. </w:t>
            </w:r>
            <w:r>
              <w:fldChar w:fldCharType="begin"/>
            </w:r>
            <w:r>
              <w:instrText xml:space="preserve"> HYPERLINK "https://www.academia.edu/7459869/Marcus_Garvey_A_estrela_preta?auto=download" \h </w:instrText>
            </w:r>
            <w:r>
              <w:fldChar w:fldCharType="separate"/>
            </w:r>
            <w:r>
              <w:rPr>
                <w:rFonts w:ascii="Times New Roman" w:hAnsi="Times New Roman" w:eastAsia="Times New Roman" w:cs="Times New Roman"/>
                <w:color w:val="0000FF"/>
                <w:u w:val="single"/>
              </w:rPr>
              <w:t>https://www.academia.edu/7459869/Marcus_Garvey_A_estrela_preta?auto=download</w:t>
            </w:r>
            <w:r>
              <w:rPr>
                <w:rFonts w:ascii="Times New Roman" w:hAnsi="Times New Roman" w:eastAsia="Times New Roman" w:cs="Times New Roman"/>
                <w:color w:val="0000FF"/>
                <w:u w:val="single"/>
              </w:rPr>
              <w:fldChar w:fldCharType="end"/>
            </w:r>
          </w:p>
          <w:p>
            <w:pPr>
              <w:spacing w:line="360" w:lineRule="auto"/>
              <w:ind w:left="0" w:hanging="2"/>
              <w:rPr>
                <w:rFonts w:ascii="Times New Roman" w:hAnsi="Times New Roman" w:eastAsia="Times New Roman" w:cs="Times New Roman"/>
              </w:rPr>
            </w:pPr>
            <w:r>
              <w:rPr>
                <w:rFonts w:ascii="Times New Roman" w:hAnsi="Times New Roman" w:eastAsia="Times New Roman" w:cs="Times New Roman"/>
              </w:rPr>
              <w:t xml:space="preserve">CHAMOISEAU, Patrick; BERNABÉ, Jean; CONFIANT, Raphaël. Éloge de la criolité. Paris: Gallimard,1990.  </w:t>
            </w:r>
            <w:r>
              <w:fldChar w:fldCharType="begin"/>
            </w:r>
            <w:r>
              <w:instrText xml:space="preserve"> HYPERLINK "http://www.ufrgs.br/cdrom/chamoiseau/chamoiseau.pdf" \h </w:instrText>
            </w:r>
            <w:r>
              <w:fldChar w:fldCharType="separate"/>
            </w:r>
            <w:r>
              <w:rPr>
                <w:rFonts w:ascii="Times New Roman" w:hAnsi="Times New Roman" w:eastAsia="Times New Roman" w:cs="Times New Roman"/>
                <w:color w:val="0000FF"/>
                <w:u w:val="single"/>
              </w:rPr>
              <w:t>http://www.ufrgs.br/cdrom/chamoiseau/chamoiseau.pdf</w:t>
            </w:r>
            <w:r>
              <w:rPr>
                <w:rFonts w:ascii="Times New Roman" w:hAnsi="Times New Roman" w:eastAsia="Times New Roman" w:cs="Times New Roman"/>
                <w:color w:val="0000FF"/>
                <w:u w:val="single"/>
              </w:rPr>
              <w:fldChar w:fldCharType="end"/>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FANON, F. Os Condenados da Terra. </w:t>
            </w:r>
            <w:r>
              <w:fldChar w:fldCharType="begin"/>
            </w:r>
            <w:r>
              <w:instrText xml:space="preserve"> HYPERLINK "https://www.kilombagem.net.br/wp-content/uploads/2015/07/Os_condenados_da_Terra-Frantz-Fanon.pdf" \h </w:instrText>
            </w:r>
            <w:r>
              <w:fldChar w:fldCharType="separate"/>
            </w:r>
            <w:r>
              <w:rPr>
                <w:rFonts w:ascii="Times New Roman" w:hAnsi="Times New Roman" w:eastAsia="Times New Roman" w:cs="Times New Roman"/>
                <w:color w:val="0000FF"/>
                <w:u w:val="single"/>
              </w:rPr>
              <w:t>https://www.kilombagem.net.br/wp-content/uploads/2015/07/Os_condenados_da_Terra-Frantz-Fanon.pdf</w:t>
            </w:r>
            <w:r>
              <w:rPr>
                <w:rFonts w:ascii="Times New Roman" w:hAnsi="Times New Roman" w:eastAsia="Times New Roman" w:cs="Times New Roman"/>
                <w:color w:val="0000FF"/>
                <w:u w:val="single"/>
              </w:rPr>
              <w:fldChar w:fldCharType="end"/>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________. Pele Negra máscaras brancas. </w:t>
            </w:r>
            <w:r>
              <w:fldChar w:fldCharType="begin"/>
            </w:r>
            <w:r>
              <w:instrText xml:space="preserve"> HYPERLINK "https://repositorio.ufsc.br/bitstream/handle/123456789/1579/6739688-Frantz-Fanon-Piel-Negra-Mascaras-Blancas.pdf?sequence=1&amp;isAllowed=y" \h </w:instrText>
            </w:r>
            <w:r>
              <w:fldChar w:fldCharType="separate"/>
            </w:r>
            <w:r>
              <w:rPr>
                <w:rFonts w:ascii="Times New Roman" w:hAnsi="Times New Roman" w:eastAsia="Times New Roman" w:cs="Times New Roman"/>
                <w:color w:val="0000FF"/>
                <w:u w:val="single"/>
              </w:rPr>
              <w:t>https://repositorio.ufsc.br/bitstream/handle/123456789/1579/6739688-Frantz-Fanon-Piel-Negra-Mascaras-Blancas.pdf?sequence=1&amp;isAllowed=y</w:t>
            </w:r>
            <w:r>
              <w:rPr>
                <w:rFonts w:ascii="Times New Roman" w:hAnsi="Times New Roman" w:eastAsia="Times New Roman" w:cs="Times New Roman"/>
                <w:color w:val="0000FF"/>
                <w:u w:val="single"/>
              </w:rPr>
              <w:fldChar w:fldCharType="end"/>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580"/>
        <w:tblW w:w="8879" w:type="dxa"/>
        <w:tblInd w:w="65" w:type="dxa"/>
        <w:tblLayout w:type="fixed"/>
        <w:tblCellMar>
          <w:top w:w="0" w:type="dxa"/>
          <w:left w:w="108" w:type="dxa"/>
          <w:bottom w:w="0" w:type="dxa"/>
          <w:right w:w="108" w:type="dxa"/>
        </w:tblCellMar>
      </w:tblPr>
      <w:tblGrid>
        <w:gridCol w:w="2975"/>
        <w:gridCol w:w="3240"/>
        <w:gridCol w:w="2664"/>
      </w:tblGrid>
      <w:tr>
        <w:tblPrEx>
          <w:tblCellMar>
            <w:top w:w="0" w:type="dxa"/>
            <w:left w:w="108" w:type="dxa"/>
            <w:bottom w:w="0" w:type="dxa"/>
            <w:right w:w="108" w:type="dxa"/>
          </w:tblCellMar>
        </w:tblPrEx>
        <w:tc>
          <w:tcPr>
            <w:tcW w:w="6215" w:type="dxa"/>
            <w:gridSpan w:val="2"/>
            <w:tcBorders>
              <w:top w:val="single" w:color="000000" w:sz="18"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do Componente Curricular em português:</w:t>
            </w:r>
          </w:p>
          <w:p>
            <w:pPr>
              <w:spacing w:line="360" w:lineRule="auto"/>
              <w:ind w:left="0" w:hanging="2"/>
              <w:rPr>
                <w:rFonts w:ascii="Times New Roman" w:hAnsi="Times New Roman" w:cs="Times New Roman"/>
              </w:rPr>
            </w:pPr>
            <w:r>
              <w:rPr>
                <w:rFonts w:ascii="Times New Roman" w:hAnsi="Times New Roman" w:eastAsia="Times New Roman" w:cs="Times New Roman"/>
              </w:rPr>
              <w:t>Seminário em História das Áfricas VIII</w:t>
            </w:r>
          </w:p>
          <w:p>
            <w:pPr>
              <w:spacing w:line="360" w:lineRule="auto"/>
              <w:ind w:left="0" w:hanging="2"/>
              <w:rPr>
                <w:rFonts w:ascii="Times New Roman" w:hAnsi="Times New Roman" w:eastAsia="Times New Roman" w:cs="Times New Roman"/>
              </w:rPr>
            </w:pPr>
          </w:p>
          <w:p>
            <w:pPr>
              <w:spacing w:line="360" w:lineRule="auto"/>
              <w:ind w:left="0" w:hanging="2"/>
              <w:rPr>
                <w:rFonts w:ascii="Times New Roman" w:hAnsi="Times New Roman" w:cs="Times New Roman"/>
              </w:rPr>
            </w:pPr>
            <w:r>
              <w:rPr>
                <w:rFonts w:ascii="Times New Roman" w:hAnsi="Times New Roman" w:eastAsia="Times New Roman" w:cs="Times New Roman"/>
              </w:rPr>
              <w:t>Nome do Componente Curricular em inglês:</w:t>
            </w:r>
          </w:p>
          <w:p>
            <w:pPr>
              <w:spacing w:line="360" w:lineRule="auto"/>
              <w:ind w:left="0" w:hanging="2"/>
              <w:rPr>
                <w:rFonts w:ascii="Times New Roman" w:hAnsi="Times New Roman" w:cs="Times New Roman"/>
              </w:rPr>
            </w:pPr>
            <w:r>
              <w:rPr>
                <w:rFonts w:ascii="Times New Roman" w:hAnsi="Times New Roman" w:eastAsia="Times New Roman" w:cs="Times New Roman"/>
              </w:rPr>
              <w:t>Seminar in History of Africas VIII</w:t>
            </w:r>
          </w:p>
        </w:tc>
        <w:tc>
          <w:tcPr>
            <w:tcW w:w="2664" w:type="dxa"/>
            <w:tcBorders>
              <w:top w:val="single" w:color="000000" w:sz="18"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Código: HIS910</w:t>
            </w:r>
          </w:p>
        </w:tc>
      </w:tr>
      <w:tr>
        <w:tblPrEx>
          <w:tblCellMar>
            <w:top w:w="0" w:type="dxa"/>
            <w:left w:w="108" w:type="dxa"/>
            <w:bottom w:w="0" w:type="dxa"/>
            <w:right w:w="108" w:type="dxa"/>
          </w:tblCellMar>
        </w:tblPrEx>
        <w:trPr>
          <w:trHeight w:val="641" w:hRule="atLeast"/>
        </w:trPr>
        <w:tc>
          <w:tcPr>
            <w:tcW w:w="6215" w:type="dxa"/>
            <w:gridSpan w:val="2"/>
            <w:tcBorders>
              <w:top w:val="single" w:color="000000" w:sz="4"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e sigla do departamento:</w:t>
            </w:r>
          </w:p>
          <w:p>
            <w:pPr>
              <w:spacing w:line="360" w:lineRule="auto"/>
              <w:ind w:left="0" w:hanging="2"/>
              <w:rPr>
                <w:rFonts w:ascii="Times New Roman" w:hAnsi="Times New Roman" w:cs="Times New Roman"/>
              </w:rPr>
            </w:pPr>
            <w:r>
              <w:rPr>
                <w:rFonts w:ascii="Times New Roman" w:hAnsi="Times New Roman" w:eastAsia="Times New Roman" w:cs="Times New Roman"/>
              </w:rPr>
              <w:t>Departamento de História - DEHIS</w:t>
            </w:r>
          </w:p>
        </w:tc>
        <w:tc>
          <w:tcPr>
            <w:tcW w:w="2664" w:type="dxa"/>
            <w:tcBorders>
              <w:top w:val="single" w:color="000000" w:sz="4"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Unidade acadêmica:</w:t>
            </w:r>
          </w:p>
          <w:p>
            <w:pPr>
              <w:spacing w:line="360" w:lineRule="auto"/>
              <w:ind w:left="0" w:hanging="2"/>
              <w:rPr>
                <w:rFonts w:ascii="Times New Roman" w:hAnsi="Times New Roman" w:cs="Times New Roman"/>
              </w:rPr>
            </w:pPr>
            <w:r>
              <w:rPr>
                <w:rFonts w:ascii="Times New Roman" w:hAnsi="Times New Roman" w:eastAsia="Times New Roman" w:cs="Times New Roman"/>
              </w:rPr>
              <w:t>ICHS</w:t>
            </w:r>
          </w:p>
        </w:tc>
      </w:tr>
      <w:tr>
        <w:tblPrEx>
          <w:tblCellMar>
            <w:top w:w="0" w:type="dxa"/>
            <w:left w:w="108" w:type="dxa"/>
            <w:bottom w:w="0" w:type="dxa"/>
            <w:right w:w="108" w:type="dxa"/>
          </w:tblCellMar>
        </w:tblPrEx>
        <w:trPr>
          <w:trHeight w:val="641" w:hRule="atLeast"/>
        </w:trPr>
        <w:tc>
          <w:tcPr>
            <w:tcW w:w="2975" w:type="dxa"/>
            <w:tcBorders>
              <w:top w:val="single" w:color="000000" w:sz="4" w:space="0"/>
              <w:left w:val="single" w:color="000000" w:sz="18" w:space="0"/>
              <w:bottom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Carga horária semestral</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60 horas</w:t>
            </w:r>
          </w:p>
        </w:tc>
        <w:tc>
          <w:tcPr>
            <w:tcW w:w="3240" w:type="dxa"/>
            <w:tcBorders>
              <w:top w:val="single" w:color="000000" w:sz="4" w:space="0"/>
              <w:left w:val="single" w:color="000000" w:sz="4" w:space="0"/>
              <w:bottom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 xml:space="preserve">Carga horária semanal teórica </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04 horas/aula</w:t>
            </w:r>
          </w:p>
        </w:tc>
        <w:tc>
          <w:tcPr>
            <w:tcW w:w="2664" w:type="dxa"/>
            <w:tcBorders>
              <w:top w:val="single" w:color="000000" w:sz="4" w:space="0"/>
              <w:left w:val="single" w:color="000000" w:sz="4" w:space="0"/>
              <w:bottom w:val="single" w:color="000000" w:sz="4" w:space="0"/>
              <w:right w:val="single" w:color="000000" w:sz="18"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Carga horária semanal prática</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00 horas/aula</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Ementa: Leitura e debate de autores clássicos da História Africana </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Conteúdo programático: </w:t>
            </w:r>
          </w:p>
          <w:p>
            <w:pPr>
              <w:numPr>
                <w:ilvl w:val="0"/>
                <w:numId w:val="77"/>
              </w:numPr>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Diop</w:t>
            </w:r>
          </w:p>
          <w:p>
            <w:pPr>
              <w:numPr>
                <w:ilvl w:val="0"/>
                <w:numId w:val="77"/>
              </w:numPr>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Ki-Zerbo</w:t>
            </w:r>
          </w:p>
          <w:p>
            <w:pPr>
              <w:numPr>
                <w:ilvl w:val="0"/>
                <w:numId w:val="77"/>
              </w:numPr>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Hampâté Ba</w:t>
            </w:r>
          </w:p>
          <w:p>
            <w:pPr>
              <w:numPr>
                <w:ilvl w:val="0"/>
                <w:numId w:val="77"/>
              </w:numPr>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 xml:space="preserve"> Leopold Senghor</w:t>
            </w:r>
          </w:p>
          <w:p>
            <w:pPr>
              <w:numPr>
                <w:ilvl w:val="0"/>
                <w:numId w:val="77"/>
              </w:numPr>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Camara Laye</w:t>
            </w:r>
          </w:p>
          <w:p>
            <w:pPr>
              <w:numPr>
                <w:ilvl w:val="0"/>
                <w:numId w:val="77"/>
              </w:numPr>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 xml:space="preserve"> Boulanga</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Bibliografia básica: </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APPIAH, Kwame Anthony. Na casa de meu pai. Rio de Janeiro, Contraponto, 1997.</w:t>
            </w:r>
          </w:p>
          <w:p>
            <w:pPr>
              <w:spacing w:line="360" w:lineRule="auto"/>
              <w:ind w:left="0" w:hanging="2"/>
              <w:rPr>
                <w:rFonts w:ascii="Times New Roman" w:hAnsi="Times New Roman" w:cs="Times New Roman"/>
              </w:rPr>
            </w:pPr>
            <w:r>
              <w:rPr>
                <w:rFonts w:ascii="Times New Roman" w:hAnsi="Times New Roman" w:eastAsia="Times New Roman" w:cs="Times New Roman"/>
              </w:rPr>
              <w:t>M'BOKOLO, Elikia. África negra: história e civilizações: tomo I (até ao século XVIII)</w:t>
            </w:r>
          </w:p>
          <w:p>
            <w:pPr>
              <w:spacing w:line="360" w:lineRule="auto"/>
              <w:ind w:left="0" w:hanging="2"/>
              <w:rPr>
                <w:rFonts w:ascii="Times New Roman" w:hAnsi="Times New Roman" w:cs="Times New Roman"/>
              </w:rPr>
            </w:pPr>
            <w:r>
              <w:rPr>
                <w:rFonts w:ascii="Times New Roman" w:hAnsi="Times New Roman" w:eastAsia="Times New Roman" w:cs="Times New Roman"/>
              </w:rPr>
              <w:t>M'BOKOLO, Elikia. África negra: história e civilizações: tomo II (do século XIX aos nossos dias). 2. ed. Lisboa: Edições Colibri; [2011]. 626 p. (Tempos e espaços africanos).</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KI-ZERBO, Joseph; NIANE, Djibril Tamsir; OGOT, Bethewell Allan; FASI, Mohammed el; HRBEK, I; AJAYI, J. F. Ade; BOAHEN, Albert Adu; MOKHTAR, Gamal; KI-ZERBO, J; MAZRUI, Ali A; WONDJI, C. História geral da África. 2.ed. Brasília: Unesco, 2010. 8v. </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Bibliografia complementar:</w:t>
            </w:r>
          </w:p>
          <w:p>
            <w:pPr>
              <w:spacing w:line="360" w:lineRule="auto"/>
              <w:ind w:left="0" w:hanging="2"/>
              <w:rPr>
                <w:rFonts w:ascii="Times New Roman" w:hAnsi="Times New Roman" w:eastAsia="Times New Roman" w:cs="Times New Roman"/>
              </w:rPr>
            </w:pPr>
            <w:r>
              <w:rPr>
                <w:rFonts w:ascii="Times New Roman" w:hAnsi="Times New Roman" w:eastAsia="Times New Roman" w:cs="Times New Roman"/>
              </w:rPr>
              <w:t xml:space="preserve">BA, Amadou Hamâté. A tradição viva. </w:t>
            </w:r>
            <w:r>
              <w:fldChar w:fldCharType="begin"/>
            </w:r>
            <w:r>
              <w:instrText xml:space="preserve"> HYPERLINK "http://forumeja.org.br/br/sites/forumeja.org.br/files/A%20tradi%C3%A7%C3%A3o%20%20viva%20%20Amadou%20Hampat%C3%A9%20B%C3%25%20A2%20(texto%20basico).pdf" \h </w:instrText>
            </w:r>
            <w:r>
              <w:fldChar w:fldCharType="separate"/>
            </w:r>
            <w:r>
              <w:rPr>
                <w:rFonts w:ascii="Times New Roman" w:hAnsi="Times New Roman" w:eastAsia="Times New Roman" w:cs="Times New Roman"/>
                <w:color w:val="0000FF"/>
                <w:u w:val="single"/>
              </w:rPr>
              <w:t>http://forumeja.org.br/br/sites/forumeja.org.br/files/A%20tradi%C3%A7%C3%A3o%20 viva%20%20Amadou%20Hampat%C3%A9%20B%C3% A2%20(texto%20basico).pdf</w:t>
            </w:r>
            <w:r>
              <w:rPr>
                <w:rFonts w:ascii="Times New Roman" w:hAnsi="Times New Roman" w:eastAsia="Times New Roman" w:cs="Times New Roman"/>
                <w:color w:val="0000FF"/>
                <w:u w:val="single"/>
              </w:rPr>
              <w:fldChar w:fldCharType="end"/>
            </w:r>
          </w:p>
          <w:p>
            <w:pPr>
              <w:spacing w:line="360" w:lineRule="auto"/>
              <w:ind w:left="0" w:hanging="2"/>
              <w:rPr>
                <w:rFonts w:ascii="Times New Roman" w:hAnsi="Times New Roman" w:eastAsia="Times New Roman" w:cs="Times New Roman"/>
              </w:rPr>
            </w:pPr>
            <w:r>
              <w:rPr>
                <w:rFonts w:ascii="Times New Roman" w:hAnsi="Times New Roman" w:eastAsia="Times New Roman" w:cs="Times New Roman"/>
              </w:rPr>
              <w:t xml:space="preserve">DIOP, C. A. A unidade cultural da África negra. </w:t>
            </w:r>
            <w:r>
              <w:fldChar w:fldCharType="begin"/>
            </w:r>
            <w:r>
              <w:instrText xml:space="preserve"> HYPERLINK "https://estahorareall.files.wordpress.com/2017/08/a-unidade-cultural-da-c3a1frica-negra-cheikh-anta-diop.pdf" \h </w:instrText>
            </w:r>
            <w:r>
              <w:fldChar w:fldCharType="separate"/>
            </w:r>
            <w:r>
              <w:rPr>
                <w:rFonts w:ascii="Times New Roman" w:hAnsi="Times New Roman" w:eastAsia="Times New Roman" w:cs="Times New Roman"/>
                <w:color w:val="0000FF"/>
                <w:u w:val="single"/>
              </w:rPr>
              <w:t>https://estahorareall.files.wordpress.com/2017/08/a-unidade-cultural-da-c3a1frica-negra-cheikh-anta-diop.pdf</w:t>
            </w:r>
            <w:r>
              <w:rPr>
                <w:rFonts w:ascii="Times New Roman" w:hAnsi="Times New Roman" w:eastAsia="Times New Roman" w:cs="Times New Roman"/>
                <w:color w:val="0000FF"/>
                <w:u w:val="single"/>
              </w:rPr>
              <w:fldChar w:fldCharType="end"/>
            </w:r>
          </w:p>
          <w:p>
            <w:pPr>
              <w:spacing w:line="360" w:lineRule="auto"/>
              <w:ind w:left="0" w:hanging="2"/>
              <w:rPr>
                <w:rFonts w:ascii="Times New Roman" w:hAnsi="Times New Roman" w:eastAsia="Times New Roman" w:cs="Times New Roman"/>
              </w:rPr>
            </w:pPr>
            <w:r>
              <w:rPr>
                <w:rFonts w:ascii="Times New Roman" w:hAnsi="Times New Roman" w:eastAsia="Times New Roman" w:cs="Times New Roman"/>
              </w:rPr>
              <w:t xml:space="preserve">JAMBA, A. J. O despertar filosófico em África de Alphonse Elungu Pene Elungu: Uma referência permanente para o conhecimento do pensamento filosófico africano. Mulemba.  </w:t>
            </w:r>
            <w:r>
              <w:fldChar w:fldCharType="begin"/>
            </w:r>
            <w:r>
              <w:instrText xml:space="preserve"> HYPERLINK "https://journals.openedition.org/mulemba/pdf/307" \h </w:instrText>
            </w:r>
            <w:r>
              <w:fldChar w:fldCharType="separate"/>
            </w:r>
            <w:r>
              <w:rPr>
                <w:rFonts w:ascii="Times New Roman" w:hAnsi="Times New Roman" w:eastAsia="Times New Roman" w:cs="Times New Roman"/>
                <w:i/>
                <w:color w:val="0000FF"/>
                <w:u w:val="single"/>
              </w:rPr>
              <w:t>https://journals.openedition.org/mulemba/pdf/307</w:t>
            </w:r>
            <w:r>
              <w:rPr>
                <w:rFonts w:ascii="Times New Roman" w:hAnsi="Times New Roman" w:eastAsia="Times New Roman" w:cs="Times New Roman"/>
                <w:i/>
                <w:color w:val="0000FF"/>
                <w:u w:val="single"/>
              </w:rPr>
              <w:fldChar w:fldCharType="end"/>
            </w:r>
          </w:p>
          <w:p>
            <w:pPr>
              <w:spacing w:line="360" w:lineRule="auto"/>
              <w:ind w:left="0" w:hanging="2"/>
              <w:rPr>
                <w:rFonts w:ascii="Times New Roman" w:hAnsi="Times New Roman" w:eastAsia="Times New Roman" w:cs="Times New Roman"/>
                <w:i/>
              </w:rPr>
            </w:pPr>
            <w:r>
              <w:rPr>
                <w:rFonts w:ascii="Times New Roman" w:hAnsi="Times New Roman" w:eastAsia="Times New Roman" w:cs="Times New Roman"/>
              </w:rPr>
              <w:t xml:space="preserve">KI-ZERBO. História da África Negra. Europa America, 1972. </w:t>
            </w:r>
            <w:r>
              <w:fldChar w:fldCharType="begin"/>
            </w:r>
            <w:r>
              <w:instrText xml:space="preserve"> HYPERLINK "https://www.skoob.com.br/livro/pdf/historia-da-africa-negra-vol-ii/livro:33009/edicao:36004" \h </w:instrText>
            </w:r>
            <w:r>
              <w:fldChar w:fldCharType="separate"/>
            </w:r>
            <w:r>
              <w:rPr>
                <w:rFonts w:ascii="Times New Roman" w:hAnsi="Times New Roman" w:eastAsia="Times New Roman" w:cs="Times New Roman"/>
                <w:color w:val="0000FF"/>
                <w:u w:val="single"/>
              </w:rPr>
              <w:t>https://www.skoob.com.br/livro/pdf/historia-da-africa-negra-vol-ii/livro:33009/edicao:36004#</w:t>
            </w:r>
            <w:r>
              <w:rPr>
                <w:rFonts w:ascii="Times New Roman" w:hAnsi="Times New Roman" w:eastAsia="Times New Roman" w:cs="Times New Roman"/>
                <w:color w:val="0000FF"/>
                <w:u w:val="single"/>
              </w:rPr>
              <w:fldChar w:fldCharType="end"/>
            </w:r>
          </w:p>
          <w:p>
            <w:pPr>
              <w:spacing w:line="360" w:lineRule="auto"/>
              <w:ind w:left="0" w:hanging="2"/>
              <w:rPr>
                <w:rFonts w:ascii="Times New Roman" w:hAnsi="Times New Roman" w:cs="Times New Roman"/>
              </w:rPr>
            </w:pPr>
            <w:r>
              <w:rPr>
                <w:rFonts w:ascii="Times New Roman" w:hAnsi="Times New Roman" w:eastAsia="Times New Roman" w:cs="Times New Roman"/>
                <w:i/>
              </w:rPr>
              <w:t>SENGHOR, L. Discurso proferido na sessão de 23 de setembro de 1964, publicado no DCN de 24 de setembro de 1964, p. 559-560.</w:t>
            </w:r>
            <w:r>
              <w:rPr>
                <w:rFonts w:ascii="Times New Roman" w:hAnsi="Times New Roman" w:eastAsia="Times New Roman" w:cs="Times New Roman"/>
                <w:i/>
                <w:u w:val="single"/>
              </w:rPr>
              <w:t xml:space="preserve"> </w:t>
            </w:r>
            <w:r>
              <w:fldChar w:fldCharType="begin"/>
            </w:r>
            <w:r>
              <w:instrText xml:space="preserve"> HYPERLINK "https://www2.camara.leg.br/atividade-legislativa/plenario/discursos/escrevendohistoria/visitantes/serie-estrangeira/decada-1960-69/pdf/Leopold%20Senghor_230964.pdf" </w:instrText>
            </w:r>
            <w:r>
              <w:fldChar w:fldCharType="separate"/>
            </w:r>
            <w:r>
              <w:rPr>
                <w:rStyle w:val="16"/>
                <w:rFonts w:ascii="Times New Roman" w:hAnsi="Times New Roman" w:eastAsia="Times New Roman" w:cs="Times New Roman"/>
                <w:i/>
              </w:rPr>
              <w:t>https://www2.camara.leg.br/atividade-legislativa/plenario/discursos/escrevendohistoria/visitantes/serie-estrangeira/decada-1960-69/pdf/Leopold%20Senghor_230964.pdf</w:t>
            </w:r>
            <w:r>
              <w:rPr>
                <w:rStyle w:val="16"/>
                <w:rFonts w:ascii="Times New Roman" w:hAnsi="Times New Roman" w:eastAsia="Times New Roman" w:cs="Times New Roman"/>
                <w:i/>
              </w:rPr>
              <w:fldChar w:fldCharType="end"/>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581"/>
        <w:tblW w:w="8879" w:type="dxa"/>
        <w:tblInd w:w="65" w:type="dxa"/>
        <w:tblLayout w:type="fixed"/>
        <w:tblCellMar>
          <w:top w:w="0" w:type="dxa"/>
          <w:left w:w="108" w:type="dxa"/>
          <w:bottom w:w="0" w:type="dxa"/>
          <w:right w:w="108" w:type="dxa"/>
        </w:tblCellMar>
      </w:tblPr>
      <w:tblGrid>
        <w:gridCol w:w="2749"/>
        <w:gridCol w:w="3121"/>
        <w:gridCol w:w="3009"/>
      </w:tblGrid>
      <w:tr>
        <w:tblPrEx>
          <w:tblCellMar>
            <w:top w:w="0" w:type="dxa"/>
            <w:left w:w="108" w:type="dxa"/>
            <w:bottom w:w="0" w:type="dxa"/>
            <w:right w:w="108" w:type="dxa"/>
          </w:tblCellMar>
        </w:tblPrEx>
        <w:tc>
          <w:tcPr>
            <w:tcW w:w="5870" w:type="dxa"/>
            <w:gridSpan w:val="2"/>
            <w:tcBorders>
              <w:top w:val="single" w:color="000000" w:sz="18"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do Componente Curricular em português:</w:t>
            </w:r>
          </w:p>
          <w:p>
            <w:pPr>
              <w:spacing w:line="360" w:lineRule="auto"/>
              <w:ind w:left="0" w:hanging="2"/>
              <w:rPr>
                <w:rFonts w:ascii="Times New Roman" w:hAnsi="Times New Roman" w:cs="Times New Roman"/>
              </w:rPr>
            </w:pPr>
            <w:r>
              <w:rPr>
                <w:rFonts w:ascii="Times New Roman" w:hAnsi="Times New Roman" w:eastAsia="Times New Roman" w:cs="Times New Roman"/>
              </w:rPr>
              <w:t>Leitura dirigida XXX</w:t>
            </w:r>
          </w:p>
          <w:p>
            <w:pPr>
              <w:spacing w:line="360" w:lineRule="auto"/>
              <w:ind w:left="0" w:hanging="2"/>
              <w:rPr>
                <w:rFonts w:ascii="Times New Roman" w:hAnsi="Times New Roman" w:eastAsia="Times New Roman" w:cs="Times New Roman"/>
              </w:rPr>
            </w:pPr>
          </w:p>
          <w:p>
            <w:pPr>
              <w:spacing w:line="360" w:lineRule="auto"/>
              <w:ind w:left="0" w:hanging="2"/>
              <w:rPr>
                <w:rFonts w:ascii="Times New Roman" w:hAnsi="Times New Roman" w:cs="Times New Roman"/>
              </w:rPr>
            </w:pPr>
            <w:r>
              <w:rPr>
                <w:rFonts w:ascii="Times New Roman" w:hAnsi="Times New Roman" w:eastAsia="Times New Roman" w:cs="Times New Roman"/>
              </w:rPr>
              <w:t>Nome do Componente Curricular em inglês:</w:t>
            </w:r>
          </w:p>
          <w:p>
            <w:pPr>
              <w:spacing w:line="360" w:lineRule="auto"/>
              <w:ind w:left="0" w:hanging="2"/>
              <w:rPr>
                <w:rFonts w:ascii="Times New Roman" w:hAnsi="Times New Roman" w:cs="Times New Roman"/>
              </w:rPr>
            </w:pPr>
            <w:r>
              <w:rPr>
                <w:rFonts w:ascii="Times New Roman" w:hAnsi="Times New Roman" w:eastAsia="Times New Roman" w:cs="Times New Roman"/>
              </w:rPr>
              <w:t>Targeted Readings XXX</w:t>
            </w:r>
          </w:p>
        </w:tc>
        <w:tc>
          <w:tcPr>
            <w:tcW w:w="3009" w:type="dxa"/>
            <w:tcBorders>
              <w:top w:val="single" w:color="000000" w:sz="18"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Código: H</w:t>
            </w:r>
            <w:r>
              <w:rPr>
                <w:rFonts w:ascii="Times New Roman" w:hAnsi="Times New Roman" w:cs="Times New Roman"/>
              </w:rPr>
              <w:t>IS</w:t>
            </w:r>
            <w:r>
              <w:rPr>
                <w:rFonts w:ascii="Times New Roman" w:hAnsi="Times New Roman" w:eastAsia="Times New Roman" w:cs="Times New Roman"/>
              </w:rPr>
              <w:t>911</w:t>
            </w:r>
          </w:p>
        </w:tc>
      </w:tr>
      <w:tr>
        <w:tblPrEx>
          <w:tblCellMar>
            <w:top w:w="0" w:type="dxa"/>
            <w:left w:w="108" w:type="dxa"/>
            <w:bottom w:w="0" w:type="dxa"/>
            <w:right w:w="108" w:type="dxa"/>
          </w:tblCellMar>
        </w:tblPrEx>
        <w:trPr>
          <w:trHeight w:val="641" w:hRule="atLeast"/>
        </w:trPr>
        <w:tc>
          <w:tcPr>
            <w:tcW w:w="5870" w:type="dxa"/>
            <w:gridSpan w:val="2"/>
            <w:tcBorders>
              <w:top w:val="single" w:color="000000" w:sz="4"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e sigla do departamento:</w:t>
            </w:r>
          </w:p>
          <w:p>
            <w:pPr>
              <w:spacing w:line="360" w:lineRule="auto"/>
              <w:ind w:left="0" w:hanging="2"/>
              <w:rPr>
                <w:rFonts w:ascii="Times New Roman" w:hAnsi="Times New Roman" w:cs="Times New Roman"/>
              </w:rPr>
            </w:pPr>
            <w:r>
              <w:rPr>
                <w:rFonts w:ascii="Times New Roman" w:hAnsi="Times New Roman" w:eastAsia="Times New Roman" w:cs="Times New Roman"/>
              </w:rPr>
              <w:t>Departamento de História - DEHIS</w:t>
            </w:r>
          </w:p>
        </w:tc>
        <w:tc>
          <w:tcPr>
            <w:tcW w:w="3009" w:type="dxa"/>
            <w:tcBorders>
              <w:top w:val="single" w:color="000000" w:sz="4"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Unidade acadêmica:</w:t>
            </w:r>
          </w:p>
          <w:p>
            <w:pPr>
              <w:spacing w:line="360" w:lineRule="auto"/>
              <w:ind w:left="0" w:hanging="2"/>
              <w:rPr>
                <w:rFonts w:ascii="Times New Roman" w:hAnsi="Times New Roman" w:cs="Times New Roman"/>
              </w:rPr>
            </w:pPr>
            <w:r>
              <w:rPr>
                <w:rFonts w:ascii="Times New Roman" w:hAnsi="Times New Roman" w:eastAsia="Times New Roman" w:cs="Times New Roman"/>
              </w:rPr>
              <w:t>ICHS</w:t>
            </w:r>
          </w:p>
        </w:tc>
      </w:tr>
      <w:tr>
        <w:tblPrEx>
          <w:tblCellMar>
            <w:top w:w="0" w:type="dxa"/>
            <w:left w:w="108" w:type="dxa"/>
            <w:bottom w:w="0" w:type="dxa"/>
            <w:right w:w="108" w:type="dxa"/>
          </w:tblCellMar>
        </w:tblPrEx>
        <w:trPr>
          <w:trHeight w:val="641" w:hRule="atLeast"/>
        </w:trPr>
        <w:tc>
          <w:tcPr>
            <w:tcW w:w="2749" w:type="dxa"/>
            <w:tcBorders>
              <w:top w:val="single" w:color="000000" w:sz="4" w:space="0"/>
              <w:left w:val="single" w:color="000000" w:sz="18" w:space="0"/>
              <w:bottom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Carga horária semestral</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45 horas</w:t>
            </w:r>
          </w:p>
        </w:tc>
        <w:tc>
          <w:tcPr>
            <w:tcW w:w="3121" w:type="dxa"/>
            <w:tcBorders>
              <w:top w:val="single" w:color="000000" w:sz="4" w:space="0"/>
              <w:left w:val="single" w:color="000000" w:sz="4" w:space="0"/>
              <w:bottom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 xml:space="preserve">Carga horária semanal teórica </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02 horas/aula</w:t>
            </w:r>
          </w:p>
        </w:tc>
        <w:tc>
          <w:tcPr>
            <w:tcW w:w="3009" w:type="dxa"/>
            <w:tcBorders>
              <w:top w:val="single" w:color="000000" w:sz="4" w:space="0"/>
              <w:left w:val="single" w:color="000000" w:sz="4" w:space="0"/>
              <w:bottom w:val="single" w:color="000000" w:sz="4" w:space="0"/>
              <w:right w:val="single" w:color="000000" w:sz="18"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Carga horária semanal prática</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01 horas/aula</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Ementa: Leitura e debate de autores sobre História Africana.</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Conteúdo programático: </w:t>
            </w:r>
          </w:p>
          <w:p>
            <w:pPr>
              <w:numPr>
                <w:ilvl w:val="0"/>
                <w:numId w:val="78"/>
              </w:numPr>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Conceito de África</w:t>
            </w:r>
          </w:p>
          <w:p>
            <w:pPr>
              <w:numPr>
                <w:ilvl w:val="0"/>
                <w:numId w:val="78"/>
              </w:numPr>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Panafricanismo</w:t>
            </w:r>
          </w:p>
          <w:p>
            <w:pPr>
              <w:numPr>
                <w:ilvl w:val="0"/>
                <w:numId w:val="78"/>
              </w:numPr>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 xml:space="preserve"> Auto-inscrição africana</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Bibliografia básica: </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APPIAH, Kwame Anthony. Na casa de meu pai. Rio de Janeiro, Contraponto, 1997.</w:t>
            </w:r>
          </w:p>
          <w:p>
            <w:pPr>
              <w:spacing w:line="360" w:lineRule="auto"/>
              <w:ind w:left="0" w:hanging="2"/>
              <w:rPr>
                <w:rFonts w:ascii="Times New Roman" w:hAnsi="Times New Roman" w:cs="Times New Roman"/>
              </w:rPr>
            </w:pPr>
            <w:r>
              <w:rPr>
                <w:rFonts w:ascii="Times New Roman" w:hAnsi="Times New Roman" w:eastAsia="Times New Roman" w:cs="Times New Roman"/>
              </w:rPr>
              <w:t>M'BOKOLO, Elikia. África negra: história e civilizações: tomo I (até ao século XVIII)</w:t>
            </w:r>
          </w:p>
          <w:p>
            <w:pPr>
              <w:spacing w:line="360" w:lineRule="auto"/>
              <w:ind w:left="0" w:hanging="2"/>
              <w:rPr>
                <w:rFonts w:ascii="Times New Roman" w:hAnsi="Times New Roman" w:cs="Times New Roman"/>
              </w:rPr>
            </w:pPr>
            <w:r>
              <w:rPr>
                <w:rFonts w:ascii="Times New Roman" w:hAnsi="Times New Roman" w:eastAsia="Times New Roman" w:cs="Times New Roman"/>
              </w:rPr>
              <w:t>M'BOKOLO, Elikia. África negra: história e civilizações: tomo II (do século XIX aos nossos dias). 2. ed. Lisboa: Edições Colibri; [2011]. 626 p. (Tempos e espaços africanos).</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KI-ZERBO, Joseph; NIANE, Djibril Tamsir; OGOT, Bethewell Allan; FASI, Mohammed el; HRBEK, I; AJAYI, J. F. Ade; BOAHEN, Albert Adu; MOKHTAR, Gamal; KI-ZERBO, J; MAZRUI, Ali A; WONDJI, C. História geral da África. 2.ed. Brasília: Unesco, 2010. 8v. </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Bibliografia complementar:</w:t>
            </w:r>
          </w:p>
          <w:p>
            <w:pPr>
              <w:spacing w:line="360" w:lineRule="auto"/>
              <w:ind w:left="0" w:hanging="2"/>
              <w:rPr>
                <w:rFonts w:ascii="Times New Roman" w:hAnsi="Times New Roman" w:eastAsia="Times New Roman" w:cs="Times New Roman"/>
                <w:i/>
              </w:rPr>
            </w:pPr>
            <w:r>
              <w:rPr>
                <w:rFonts w:ascii="Times New Roman" w:hAnsi="Times New Roman" w:eastAsia="Times New Roman" w:cs="Times New Roman"/>
              </w:rPr>
              <w:t xml:space="preserve">MBEMBE, A.  A crítica da Razão Negra. </w:t>
            </w:r>
            <w:r>
              <w:fldChar w:fldCharType="begin"/>
            </w:r>
            <w:r>
              <w:instrText xml:space="preserve"> HYPERLINK "https://joaocamillopenna.files.wordpress.com/2018/03/mbembe-critica-da-razacc83o-negra.pdf" \h </w:instrText>
            </w:r>
            <w:r>
              <w:fldChar w:fldCharType="separate"/>
            </w:r>
            <w:r>
              <w:rPr>
                <w:rFonts w:ascii="Times New Roman" w:hAnsi="Times New Roman" w:eastAsia="Times New Roman" w:cs="Times New Roman"/>
                <w:i/>
                <w:color w:val="0000FF"/>
                <w:u w:val="single"/>
              </w:rPr>
              <w:t>https://joaocamillopenna.files.wordpress.com/2018/03/mbembe-critica-da-razacc83o-negra.pdf</w:t>
            </w:r>
            <w:r>
              <w:rPr>
                <w:rFonts w:ascii="Times New Roman" w:hAnsi="Times New Roman" w:eastAsia="Times New Roman" w:cs="Times New Roman"/>
                <w:i/>
                <w:color w:val="0000FF"/>
                <w:u w:val="single"/>
              </w:rPr>
              <w:fldChar w:fldCharType="end"/>
            </w:r>
          </w:p>
          <w:p>
            <w:pPr>
              <w:spacing w:line="360" w:lineRule="auto"/>
              <w:ind w:left="0" w:hanging="2"/>
              <w:rPr>
                <w:rFonts w:ascii="Times New Roman" w:hAnsi="Times New Roman" w:eastAsia="Times New Roman" w:cs="Times New Roman"/>
                <w:i/>
              </w:rPr>
            </w:pPr>
            <w:r>
              <w:rPr>
                <w:rFonts w:ascii="Times New Roman" w:hAnsi="Times New Roman" w:eastAsia="Times New Roman" w:cs="Times New Roman"/>
                <w:i/>
              </w:rPr>
              <w:t>_________ As formas africanas de auto-inscriçã</w:t>
            </w:r>
            <w:r>
              <w:rPr>
                <w:rFonts w:ascii="Times New Roman" w:hAnsi="Times New Roman" w:eastAsia="Times New Roman" w:cs="Times New Roman"/>
                <w:i/>
                <w:u w:val="single"/>
              </w:rPr>
              <w:t xml:space="preserve">o. </w:t>
            </w:r>
            <w:r>
              <w:fldChar w:fldCharType="begin"/>
            </w:r>
            <w:r>
              <w:instrText xml:space="preserve"> HYPERLINK "http://www.scielo.br/scielo.php?pid=S0101-546X2001000100007&amp;script=sci_abstract&amp;tlng=pt" \h </w:instrText>
            </w:r>
            <w:r>
              <w:fldChar w:fldCharType="separate"/>
            </w:r>
            <w:r>
              <w:rPr>
                <w:rFonts w:ascii="Times New Roman" w:hAnsi="Times New Roman" w:eastAsia="Times New Roman" w:cs="Times New Roman"/>
                <w:i/>
                <w:color w:val="0000FF"/>
                <w:u w:val="single"/>
              </w:rPr>
              <w:t>http://www.scielo.br/scielo.php?pid=S0101-546X2001000100007&amp;script=sci_abstract&amp;tlng=pt</w:t>
            </w:r>
            <w:r>
              <w:rPr>
                <w:rFonts w:ascii="Times New Roman" w:hAnsi="Times New Roman" w:eastAsia="Times New Roman" w:cs="Times New Roman"/>
                <w:i/>
                <w:color w:val="0000FF"/>
                <w:u w:val="single"/>
              </w:rPr>
              <w:fldChar w:fldCharType="end"/>
            </w:r>
          </w:p>
          <w:p>
            <w:pPr>
              <w:spacing w:line="360" w:lineRule="auto"/>
              <w:ind w:left="0" w:hanging="2"/>
              <w:rPr>
                <w:rFonts w:ascii="Times New Roman" w:hAnsi="Times New Roman" w:eastAsia="Times New Roman" w:cs="Times New Roman"/>
              </w:rPr>
            </w:pPr>
            <w:r>
              <w:rPr>
                <w:rFonts w:ascii="Times New Roman" w:hAnsi="Times New Roman" w:eastAsia="Times New Roman" w:cs="Times New Roman"/>
                <w:i/>
              </w:rPr>
              <w:t xml:space="preserve">MUDIMBE, Y. A invenção da áfrica gnose, filosofia e a ordem do conhecimento. </w:t>
            </w:r>
            <w:r>
              <w:fldChar w:fldCharType="begin"/>
            </w:r>
            <w:r>
              <w:instrText xml:space="preserve"> HYPERLINK "http://lehaf.paginas.ufsc.br/files/2016/03/V.Y.MUDIMBE.pdf" \h </w:instrText>
            </w:r>
            <w:r>
              <w:fldChar w:fldCharType="separate"/>
            </w:r>
            <w:r>
              <w:rPr>
                <w:rFonts w:ascii="Times New Roman" w:hAnsi="Times New Roman" w:eastAsia="Times New Roman" w:cs="Times New Roman"/>
                <w:i/>
                <w:color w:val="0000FF"/>
                <w:u w:val="single"/>
              </w:rPr>
              <w:t>http://lehaf.paginas.ufsc.br/files/2016/03/V.Y.MUDIMBE.pdf</w:t>
            </w:r>
            <w:r>
              <w:rPr>
                <w:rFonts w:ascii="Times New Roman" w:hAnsi="Times New Roman" w:eastAsia="Times New Roman" w:cs="Times New Roman"/>
                <w:i/>
                <w:color w:val="0000FF"/>
                <w:u w:val="single"/>
              </w:rPr>
              <w:fldChar w:fldCharType="end"/>
            </w:r>
          </w:p>
          <w:p>
            <w:pPr>
              <w:spacing w:line="360" w:lineRule="auto"/>
              <w:ind w:left="0" w:hanging="2"/>
              <w:rPr>
                <w:rFonts w:ascii="Times New Roman" w:hAnsi="Times New Roman" w:cs="Times New Roman"/>
              </w:rPr>
            </w:pPr>
            <w:r>
              <w:rPr>
                <w:rFonts w:ascii="Times New Roman" w:hAnsi="Times New Roman" w:eastAsia="Times New Roman" w:cs="Times New Roman"/>
              </w:rPr>
              <w:t>BATSÎKAMA, Patrício. Introdução à história das artes em África. [1. ed.]. Camama: Mayamba c2014.</w:t>
            </w:r>
          </w:p>
          <w:p>
            <w:pPr>
              <w:spacing w:line="360" w:lineRule="auto"/>
              <w:ind w:left="0" w:hanging="2"/>
              <w:rPr>
                <w:rFonts w:ascii="Times New Roman" w:hAnsi="Times New Roman" w:cs="Times New Roman"/>
              </w:rPr>
            </w:pPr>
            <w:r>
              <w:rPr>
                <w:rFonts w:ascii="Times New Roman" w:hAnsi="Times New Roman" w:eastAsia="Times New Roman" w:cs="Times New Roman"/>
              </w:rPr>
              <w:t>BATSÎKAMA, Patrício. Lûmbu: a democracia no antigo Kôngo. Luanda: Mediapress [2014]. </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582"/>
        <w:tblW w:w="8879" w:type="dxa"/>
        <w:tblInd w:w="65" w:type="dxa"/>
        <w:tblLayout w:type="fixed"/>
        <w:tblCellMar>
          <w:top w:w="0" w:type="dxa"/>
          <w:left w:w="108" w:type="dxa"/>
          <w:bottom w:w="0" w:type="dxa"/>
          <w:right w:w="108" w:type="dxa"/>
        </w:tblCellMar>
      </w:tblPr>
      <w:tblGrid>
        <w:gridCol w:w="2728"/>
        <w:gridCol w:w="3119"/>
        <w:gridCol w:w="3032"/>
      </w:tblGrid>
      <w:tr>
        <w:tblPrEx>
          <w:tblCellMar>
            <w:top w:w="0" w:type="dxa"/>
            <w:left w:w="108" w:type="dxa"/>
            <w:bottom w:w="0" w:type="dxa"/>
            <w:right w:w="108" w:type="dxa"/>
          </w:tblCellMar>
        </w:tblPrEx>
        <w:tc>
          <w:tcPr>
            <w:tcW w:w="5847" w:type="dxa"/>
            <w:gridSpan w:val="2"/>
            <w:tcBorders>
              <w:top w:val="single" w:color="000000" w:sz="18"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do Componente Curricular em português:</w:t>
            </w:r>
          </w:p>
          <w:p>
            <w:pPr>
              <w:spacing w:line="360" w:lineRule="auto"/>
              <w:ind w:left="0" w:hanging="2"/>
              <w:rPr>
                <w:rFonts w:ascii="Times New Roman" w:hAnsi="Times New Roman" w:cs="Times New Roman"/>
              </w:rPr>
            </w:pPr>
            <w:r>
              <w:rPr>
                <w:rFonts w:ascii="Times New Roman" w:hAnsi="Times New Roman" w:eastAsia="Times New Roman" w:cs="Times New Roman"/>
              </w:rPr>
              <w:t>Leitura dirigida XXXI</w:t>
            </w:r>
          </w:p>
          <w:p>
            <w:pPr>
              <w:spacing w:line="360" w:lineRule="auto"/>
              <w:ind w:left="0" w:hanging="2"/>
              <w:rPr>
                <w:rFonts w:ascii="Times New Roman" w:hAnsi="Times New Roman" w:eastAsia="Times New Roman" w:cs="Times New Roman"/>
              </w:rPr>
            </w:pPr>
          </w:p>
          <w:p>
            <w:pPr>
              <w:spacing w:line="360" w:lineRule="auto"/>
              <w:ind w:left="0" w:hanging="2"/>
              <w:rPr>
                <w:rFonts w:ascii="Times New Roman" w:hAnsi="Times New Roman" w:cs="Times New Roman"/>
              </w:rPr>
            </w:pPr>
            <w:r>
              <w:rPr>
                <w:rFonts w:ascii="Times New Roman" w:hAnsi="Times New Roman" w:eastAsia="Times New Roman" w:cs="Times New Roman"/>
              </w:rPr>
              <w:t>Nome do Componente Curricular em inglês:</w:t>
            </w:r>
          </w:p>
          <w:p>
            <w:pPr>
              <w:spacing w:line="360" w:lineRule="auto"/>
              <w:ind w:left="0" w:hanging="2"/>
              <w:rPr>
                <w:rFonts w:ascii="Times New Roman" w:hAnsi="Times New Roman" w:cs="Times New Roman"/>
              </w:rPr>
            </w:pPr>
            <w:r>
              <w:rPr>
                <w:rFonts w:ascii="Times New Roman" w:hAnsi="Times New Roman" w:eastAsia="Times New Roman" w:cs="Times New Roman"/>
              </w:rPr>
              <w:t>Targeted Readings XXXI</w:t>
            </w:r>
          </w:p>
        </w:tc>
        <w:tc>
          <w:tcPr>
            <w:tcW w:w="3032" w:type="dxa"/>
            <w:tcBorders>
              <w:top w:val="single" w:color="000000" w:sz="18"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 xml:space="preserve">Código: </w:t>
            </w:r>
            <w:r>
              <w:rPr>
                <w:rFonts w:ascii="Times New Roman" w:hAnsi="Times New Roman" w:cs="Times New Roman"/>
              </w:rPr>
              <w:t>HIS9</w:t>
            </w:r>
            <w:r>
              <w:rPr>
                <w:rFonts w:ascii="Times New Roman" w:hAnsi="Times New Roman" w:eastAsia="Times New Roman" w:cs="Times New Roman"/>
              </w:rPr>
              <w:t>12</w:t>
            </w:r>
          </w:p>
        </w:tc>
      </w:tr>
      <w:tr>
        <w:tblPrEx>
          <w:tblCellMar>
            <w:top w:w="0" w:type="dxa"/>
            <w:left w:w="108" w:type="dxa"/>
            <w:bottom w:w="0" w:type="dxa"/>
            <w:right w:w="108" w:type="dxa"/>
          </w:tblCellMar>
        </w:tblPrEx>
        <w:trPr>
          <w:trHeight w:val="641" w:hRule="atLeast"/>
        </w:trPr>
        <w:tc>
          <w:tcPr>
            <w:tcW w:w="5847" w:type="dxa"/>
            <w:gridSpan w:val="2"/>
            <w:tcBorders>
              <w:top w:val="single" w:color="000000" w:sz="4"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e sigla do departamento:</w:t>
            </w:r>
          </w:p>
          <w:p>
            <w:pPr>
              <w:spacing w:line="360" w:lineRule="auto"/>
              <w:ind w:left="0" w:hanging="2"/>
              <w:rPr>
                <w:rFonts w:ascii="Times New Roman" w:hAnsi="Times New Roman" w:cs="Times New Roman"/>
              </w:rPr>
            </w:pPr>
            <w:r>
              <w:rPr>
                <w:rFonts w:ascii="Times New Roman" w:hAnsi="Times New Roman" w:eastAsia="Times New Roman" w:cs="Times New Roman"/>
              </w:rPr>
              <w:t>Departamento de História - DEHIS</w:t>
            </w:r>
          </w:p>
        </w:tc>
        <w:tc>
          <w:tcPr>
            <w:tcW w:w="3032" w:type="dxa"/>
            <w:tcBorders>
              <w:top w:val="single" w:color="000000" w:sz="4"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Unidade acadêmica:</w:t>
            </w:r>
          </w:p>
          <w:p>
            <w:pPr>
              <w:spacing w:line="360" w:lineRule="auto"/>
              <w:ind w:left="0" w:hanging="2"/>
              <w:rPr>
                <w:rFonts w:ascii="Times New Roman" w:hAnsi="Times New Roman" w:cs="Times New Roman"/>
              </w:rPr>
            </w:pPr>
            <w:r>
              <w:rPr>
                <w:rFonts w:ascii="Times New Roman" w:hAnsi="Times New Roman" w:eastAsia="Times New Roman" w:cs="Times New Roman"/>
              </w:rPr>
              <w:t>ICHS</w:t>
            </w:r>
          </w:p>
        </w:tc>
      </w:tr>
      <w:tr>
        <w:tblPrEx>
          <w:tblCellMar>
            <w:top w:w="0" w:type="dxa"/>
            <w:left w:w="108" w:type="dxa"/>
            <w:bottom w:w="0" w:type="dxa"/>
            <w:right w:w="108" w:type="dxa"/>
          </w:tblCellMar>
        </w:tblPrEx>
        <w:trPr>
          <w:trHeight w:val="641" w:hRule="atLeast"/>
        </w:trPr>
        <w:tc>
          <w:tcPr>
            <w:tcW w:w="2728" w:type="dxa"/>
            <w:tcBorders>
              <w:top w:val="single" w:color="000000" w:sz="4" w:space="0"/>
              <w:left w:val="single" w:color="000000" w:sz="18" w:space="0"/>
              <w:bottom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Carga horária semestral</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45 horas</w:t>
            </w:r>
          </w:p>
        </w:tc>
        <w:tc>
          <w:tcPr>
            <w:tcW w:w="3119" w:type="dxa"/>
            <w:tcBorders>
              <w:top w:val="single" w:color="000000" w:sz="4" w:space="0"/>
              <w:left w:val="single" w:color="000000" w:sz="4" w:space="0"/>
              <w:bottom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 xml:space="preserve">Carga horária semanal teórica </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02 horas/aula</w:t>
            </w:r>
          </w:p>
        </w:tc>
        <w:tc>
          <w:tcPr>
            <w:tcW w:w="3032" w:type="dxa"/>
            <w:tcBorders>
              <w:top w:val="single" w:color="000000" w:sz="4" w:space="0"/>
              <w:left w:val="single" w:color="000000" w:sz="4" w:space="0"/>
              <w:bottom w:val="single" w:color="000000" w:sz="4" w:space="0"/>
              <w:right w:val="single" w:color="000000" w:sz="18"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Carga horária semanal prática</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01 horas/aula</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Ementa: Leitura e debate de autores sobre História Africana.</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Conteúdo programático: </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 Nacionalismos </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Bibliografia básica: </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APPIAH, Kwame Anthony. Na casa de meu pai. Rio de Janeiro, Contraponto, 1997.</w:t>
            </w:r>
          </w:p>
          <w:p>
            <w:pPr>
              <w:spacing w:line="360" w:lineRule="auto"/>
              <w:ind w:left="0" w:hanging="2"/>
              <w:rPr>
                <w:rFonts w:ascii="Times New Roman" w:hAnsi="Times New Roman" w:cs="Times New Roman"/>
              </w:rPr>
            </w:pPr>
            <w:r>
              <w:rPr>
                <w:rFonts w:ascii="Times New Roman" w:hAnsi="Times New Roman" w:eastAsia="Times New Roman" w:cs="Times New Roman"/>
              </w:rPr>
              <w:t>M'BOKOLO, Elikia. África negra: história e civilizações: tomo I (até ao século XVIII)</w:t>
            </w:r>
          </w:p>
          <w:p>
            <w:pPr>
              <w:spacing w:line="360" w:lineRule="auto"/>
              <w:ind w:left="0" w:hanging="2"/>
              <w:rPr>
                <w:rFonts w:ascii="Times New Roman" w:hAnsi="Times New Roman" w:cs="Times New Roman"/>
              </w:rPr>
            </w:pPr>
            <w:r>
              <w:rPr>
                <w:rFonts w:ascii="Times New Roman" w:hAnsi="Times New Roman" w:eastAsia="Times New Roman" w:cs="Times New Roman"/>
              </w:rPr>
              <w:t>M'BOKOLO, Elikia. África negra: história e civilizações: tomo II (do século XIX aos nossos dias). 2. ed. Lisboa: Edições Colibri; [2011]. 626 p. (Tempos e espaços africanos).</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KI-ZERBO, Joseph; NIANE, Djibril Tamsir; OGOT, Bethewell Allan; FASI, Mohammed el; HRBEK, I; AJAYI, J. F. Ade; BOAHEN, Albert Adu; MOKHTAR, Gamal; KI-ZERBO, J; MAZRUI, Ali A; WONDJI, C. História geral da África. 2.ed. Brasília: Unesco, 2010. 8v. </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Bibliografia complementar:</w:t>
            </w:r>
          </w:p>
          <w:p>
            <w:pPr>
              <w:spacing w:line="360" w:lineRule="auto"/>
              <w:ind w:left="0" w:hanging="2"/>
              <w:rPr>
                <w:rFonts w:ascii="Times New Roman" w:hAnsi="Times New Roman" w:eastAsia="Times New Roman" w:cs="Times New Roman"/>
              </w:rPr>
            </w:pPr>
            <w:r>
              <w:rPr>
                <w:rFonts w:ascii="Times New Roman" w:hAnsi="Times New Roman" w:eastAsia="Times New Roman" w:cs="Times New Roman"/>
              </w:rPr>
              <w:t xml:space="preserve">MBEMBE, A.  A crítica da Razão Negra. </w:t>
            </w:r>
            <w:r>
              <w:fldChar w:fldCharType="begin"/>
            </w:r>
            <w:r>
              <w:instrText xml:space="preserve"> HYPERLINK "https://joaocamillopenna.files.wordpress.com/2018/03/mbembe-critica-da-razacc83o-negra.pdf" \h </w:instrText>
            </w:r>
            <w:r>
              <w:fldChar w:fldCharType="separate"/>
            </w:r>
            <w:r>
              <w:rPr>
                <w:rFonts w:ascii="Times New Roman" w:hAnsi="Times New Roman" w:eastAsia="Times New Roman" w:cs="Times New Roman"/>
                <w:i/>
                <w:color w:val="0000FF"/>
                <w:u w:val="single"/>
              </w:rPr>
              <w:t>https://joaocamillopenna.files.wordpress.com/2018/03/mbembe-critica-da-razacc83o-negra.pdf</w:t>
            </w:r>
            <w:r>
              <w:rPr>
                <w:rFonts w:ascii="Times New Roman" w:hAnsi="Times New Roman" w:eastAsia="Times New Roman" w:cs="Times New Roman"/>
                <w:i/>
                <w:color w:val="0000FF"/>
                <w:u w:val="single"/>
              </w:rPr>
              <w:fldChar w:fldCharType="end"/>
            </w:r>
          </w:p>
          <w:p>
            <w:pPr>
              <w:spacing w:line="360" w:lineRule="auto"/>
              <w:ind w:left="0" w:hanging="2"/>
              <w:rPr>
                <w:rFonts w:ascii="Times New Roman" w:hAnsi="Times New Roman" w:eastAsia="Times New Roman" w:cs="Times New Roman"/>
              </w:rPr>
            </w:pPr>
            <w:r>
              <w:rPr>
                <w:rFonts w:ascii="Times New Roman" w:hAnsi="Times New Roman" w:eastAsia="Times New Roman" w:cs="Times New Roman"/>
              </w:rPr>
              <w:t>_________ As formas africanas de auto-inscriçã</w:t>
            </w:r>
            <w:r>
              <w:rPr>
                <w:rFonts w:ascii="Times New Roman" w:hAnsi="Times New Roman" w:eastAsia="Times New Roman" w:cs="Times New Roman"/>
                <w:u w:val="single"/>
              </w:rPr>
              <w:t xml:space="preserve">o. </w:t>
            </w:r>
            <w:r>
              <w:fldChar w:fldCharType="begin"/>
            </w:r>
            <w:r>
              <w:instrText xml:space="preserve"> HYPERLINK "http://www.scielo.br/scielo.php?pid=S0101-546X2001000100007&amp;script=sci_abstract&amp;tlng=pt" \h </w:instrText>
            </w:r>
            <w:r>
              <w:fldChar w:fldCharType="separate"/>
            </w:r>
            <w:r>
              <w:rPr>
                <w:rFonts w:ascii="Times New Roman" w:hAnsi="Times New Roman" w:eastAsia="Times New Roman" w:cs="Times New Roman"/>
                <w:i/>
                <w:color w:val="0000FF"/>
                <w:u w:val="single"/>
              </w:rPr>
              <w:t>http://www.scielo.br/scielo.php?pid=S0101-546X2001000100007&amp;script=sci_abstract&amp;tlng=pt</w:t>
            </w:r>
            <w:r>
              <w:rPr>
                <w:rFonts w:ascii="Times New Roman" w:hAnsi="Times New Roman" w:eastAsia="Times New Roman" w:cs="Times New Roman"/>
                <w:i/>
                <w:color w:val="0000FF"/>
                <w:u w:val="single"/>
              </w:rPr>
              <w:fldChar w:fldCharType="end"/>
            </w:r>
          </w:p>
          <w:p>
            <w:pPr>
              <w:spacing w:line="360" w:lineRule="auto"/>
              <w:ind w:left="0" w:hanging="2"/>
              <w:rPr>
                <w:rFonts w:ascii="Times New Roman" w:hAnsi="Times New Roman" w:eastAsia="Times New Roman" w:cs="Times New Roman"/>
              </w:rPr>
            </w:pPr>
            <w:r>
              <w:rPr>
                <w:rFonts w:ascii="Times New Roman" w:hAnsi="Times New Roman" w:eastAsia="Times New Roman" w:cs="Times New Roman"/>
              </w:rPr>
              <w:t xml:space="preserve">MUDIMBE, Y. A invenção da áfrica gnose, filosofia e a ordem do conhecimento. </w:t>
            </w:r>
            <w:r>
              <w:fldChar w:fldCharType="begin"/>
            </w:r>
            <w:r>
              <w:instrText xml:space="preserve"> HYPERLINK "http://lehaf.paginas.ufsc.br/files/2016/03/V.Y.MUDIMBE.pdf" \h </w:instrText>
            </w:r>
            <w:r>
              <w:fldChar w:fldCharType="separate"/>
            </w:r>
            <w:r>
              <w:rPr>
                <w:rFonts w:ascii="Times New Roman" w:hAnsi="Times New Roman" w:eastAsia="Times New Roman" w:cs="Times New Roman"/>
                <w:i/>
                <w:color w:val="0000FF"/>
                <w:u w:val="single"/>
              </w:rPr>
              <w:t>http://lehaf.paginas.ufsc.br/files/2016/03/V.Y.MUDIMBE.pdf</w:t>
            </w:r>
            <w:r>
              <w:rPr>
                <w:rFonts w:ascii="Times New Roman" w:hAnsi="Times New Roman" w:eastAsia="Times New Roman" w:cs="Times New Roman"/>
                <w:i/>
                <w:color w:val="0000FF"/>
                <w:u w:val="single"/>
              </w:rPr>
              <w:fldChar w:fldCharType="end"/>
            </w:r>
          </w:p>
          <w:p>
            <w:pPr>
              <w:spacing w:line="360" w:lineRule="auto"/>
              <w:ind w:left="0" w:hanging="2"/>
              <w:rPr>
                <w:rFonts w:ascii="Times New Roman" w:hAnsi="Times New Roman" w:cs="Times New Roman"/>
              </w:rPr>
            </w:pPr>
            <w:r>
              <w:rPr>
                <w:rFonts w:ascii="Times New Roman" w:hAnsi="Times New Roman" w:eastAsia="Times New Roman" w:cs="Times New Roman"/>
              </w:rPr>
              <w:t>BATSÎKAMA, Patrício.Introdução à história das artes em África. [1. ed.]. Camama: Mayamba c2014.</w:t>
            </w:r>
          </w:p>
          <w:p>
            <w:pPr>
              <w:spacing w:line="360" w:lineRule="auto"/>
              <w:ind w:left="0" w:hanging="2"/>
              <w:rPr>
                <w:rFonts w:ascii="Times New Roman" w:hAnsi="Times New Roman" w:cs="Times New Roman"/>
              </w:rPr>
            </w:pPr>
            <w:r>
              <w:rPr>
                <w:rFonts w:ascii="Times New Roman" w:hAnsi="Times New Roman" w:eastAsia="Times New Roman" w:cs="Times New Roman"/>
              </w:rPr>
              <w:t>BATSÎKAMA, Patrício. Lûmbu: a democracia no antigo Kôngo . Luanda: Mediapress [2014]. </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583"/>
        <w:tblW w:w="8879" w:type="dxa"/>
        <w:tblInd w:w="65" w:type="dxa"/>
        <w:tblLayout w:type="fixed"/>
        <w:tblCellMar>
          <w:top w:w="0" w:type="dxa"/>
          <w:left w:w="108" w:type="dxa"/>
          <w:bottom w:w="0" w:type="dxa"/>
          <w:right w:w="108" w:type="dxa"/>
        </w:tblCellMar>
      </w:tblPr>
      <w:tblGrid>
        <w:gridCol w:w="2728"/>
        <w:gridCol w:w="3119"/>
        <w:gridCol w:w="284"/>
        <w:gridCol w:w="2748"/>
      </w:tblGrid>
      <w:tr>
        <w:tblPrEx>
          <w:tblCellMar>
            <w:top w:w="0" w:type="dxa"/>
            <w:left w:w="108" w:type="dxa"/>
            <w:bottom w:w="0" w:type="dxa"/>
            <w:right w:w="108" w:type="dxa"/>
          </w:tblCellMar>
        </w:tblPrEx>
        <w:tc>
          <w:tcPr>
            <w:tcW w:w="6131" w:type="dxa"/>
            <w:gridSpan w:val="3"/>
            <w:tcBorders>
              <w:top w:val="single" w:color="000000" w:sz="18"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do Componente Curricular em português:</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Leitura dirigida XXXII </w:t>
            </w:r>
          </w:p>
          <w:p>
            <w:pPr>
              <w:spacing w:line="360" w:lineRule="auto"/>
              <w:ind w:left="0" w:hanging="2"/>
              <w:rPr>
                <w:rFonts w:ascii="Times New Roman" w:hAnsi="Times New Roman" w:eastAsia="Times New Roman" w:cs="Times New Roman"/>
              </w:rPr>
            </w:pPr>
          </w:p>
          <w:p>
            <w:pPr>
              <w:spacing w:line="360" w:lineRule="auto"/>
              <w:ind w:left="0" w:hanging="2"/>
              <w:rPr>
                <w:rFonts w:ascii="Times New Roman" w:hAnsi="Times New Roman" w:cs="Times New Roman"/>
              </w:rPr>
            </w:pPr>
            <w:r>
              <w:rPr>
                <w:rFonts w:ascii="Times New Roman" w:hAnsi="Times New Roman" w:eastAsia="Times New Roman" w:cs="Times New Roman"/>
              </w:rPr>
              <w:t>Nome do Componente Curricular em inglês:</w:t>
            </w:r>
          </w:p>
          <w:p>
            <w:pPr>
              <w:spacing w:line="360" w:lineRule="auto"/>
              <w:ind w:left="0" w:hanging="2"/>
              <w:rPr>
                <w:rFonts w:ascii="Times New Roman" w:hAnsi="Times New Roman" w:cs="Times New Roman"/>
              </w:rPr>
            </w:pPr>
            <w:r>
              <w:rPr>
                <w:rFonts w:ascii="Times New Roman" w:hAnsi="Times New Roman" w:eastAsia="Times New Roman" w:cs="Times New Roman"/>
              </w:rPr>
              <w:t>Targeted Readings XXXII</w:t>
            </w:r>
          </w:p>
        </w:tc>
        <w:tc>
          <w:tcPr>
            <w:tcW w:w="2748" w:type="dxa"/>
            <w:tcBorders>
              <w:top w:val="single" w:color="000000" w:sz="18"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Código: HIS913</w:t>
            </w:r>
          </w:p>
        </w:tc>
      </w:tr>
      <w:tr>
        <w:tblPrEx>
          <w:tblCellMar>
            <w:top w:w="0" w:type="dxa"/>
            <w:left w:w="108" w:type="dxa"/>
            <w:bottom w:w="0" w:type="dxa"/>
            <w:right w:w="108" w:type="dxa"/>
          </w:tblCellMar>
        </w:tblPrEx>
        <w:trPr>
          <w:trHeight w:val="641" w:hRule="atLeast"/>
        </w:trPr>
        <w:tc>
          <w:tcPr>
            <w:tcW w:w="6131" w:type="dxa"/>
            <w:gridSpan w:val="3"/>
            <w:tcBorders>
              <w:top w:val="single" w:color="000000" w:sz="4"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e sigla do departamento:</w:t>
            </w:r>
          </w:p>
          <w:p>
            <w:pPr>
              <w:spacing w:line="360" w:lineRule="auto"/>
              <w:ind w:left="0" w:hanging="2"/>
              <w:rPr>
                <w:rFonts w:ascii="Times New Roman" w:hAnsi="Times New Roman" w:cs="Times New Roman"/>
              </w:rPr>
            </w:pPr>
            <w:r>
              <w:rPr>
                <w:rFonts w:ascii="Times New Roman" w:hAnsi="Times New Roman" w:eastAsia="Times New Roman" w:cs="Times New Roman"/>
              </w:rPr>
              <w:t>Departamento de História - DEHIS</w:t>
            </w:r>
          </w:p>
        </w:tc>
        <w:tc>
          <w:tcPr>
            <w:tcW w:w="2748" w:type="dxa"/>
            <w:tcBorders>
              <w:top w:val="single" w:color="000000" w:sz="4"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Unidade acadêmica:</w:t>
            </w:r>
          </w:p>
          <w:p>
            <w:pPr>
              <w:spacing w:line="360" w:lineRule="auto"/>
              <w:ind w:left="0" w:hanging="2"/>
              <w:rPr>
                <w:rFonts w:ascii="Times New Roman" w:hAnsi="Times New Roman" w:cs="Times New Roman"/>
              </w:rPr>
            </w:pPr>
            <w:r>
              <w:rPr>
                <w:rFonts w:ascii="Times New Roman" w:hAnsi="Times New Roman" w:eastAsia="Times New Roman" w:cs="Times New Roman"/>
              </w:rPr>
              <w:t>ICHS</w:t>
            </w:r>
          </w:p>
        </w:tc>
      </w:tr>
      <w:tr>
        <w:tblPrEx>
          <w:tblCellMar>
            <w:top w:w="0" w:type="dxa"/>
            <w:left w:w="108" w:type="dxa"/>
            <w:bottom w:w="0" w:type="dxa"/>
            <w:right w:w="108" w:type="dxa"/>
          </w:tblCellMar>
        </w:tblPrEx>
        <w:trPr>
          <w:trHeight w:val="641" w:hRule="atLeast"/>
        </w:trPr>
        <w:tc>
          <w:tcPr>
            <w:tcW w:w="2728" w:type="dxa"/>
            <w:tcBorders>
              <w:top w:val="single" w:color="000000" w:sz="4" w:space="0"/>
              <w:left w:val="single" w:color="000000" w:sz="18" w:space="0"/>
              <w:bottom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Carga horária semestral</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45 horas</w:t>
            </w:r>
          </w:p>
        </w:tc>
        <w:tc>
          <w:tcPr>
            <w:tcW w:w="3119" w:type="dxa"/>
            <w:tcBorders>
              <w:top w:val="single" w:color="000000" w:sz="4" w:space="0"/>
              <w:left w:val="single" w:color="000000" w:sz="4" w:space="0"/>
              <w:bottom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 xml:space="preserve">Carga horária semanal teórica </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02 horas/aula</w:t>
            </w:r>
          </w:p>
        </w:tc>
        <w:tc>
          <w:tcPr>
            <w:tcW w:w="3032" w:type="dxa"/>
            <w:gridSpan w:val="2"/>
            <w:tcBorders>
              <w:top w:val="single" w:color="000000" w:sz="4" w:space="0"/>
              <w:left w:val="single" w:color="000000" w:sz="4" w:space="0"/>
              <w:bottom w:val="single" w:color="000000" w:sz="4" w:space="0"/>
              <w:right w:val="single" w:color="000000" w:sz="18"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Carga horária semanal prática</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01 horas/aula</w:t>
            </w:r>
          </w:p>
        </w:tc>
      </w:tr>
      <w:tr>
        <w:tblPrEx>
          <w:tblCellMar>
            <w:top w:w="0" w:type="dxa"/>
            <w:left w:w="108" w:type="dxa"/>
            <w:bottom w:w="0" w:type="dxa"/>
            <w:right w:w="108" w:type="dxa"/>
          </w:tblCellMar>
        </w:tblPrEx>
        <w:tc>
          <w:tcPr>
            <w:tcW w:w="8879" w:type="dxa"/>
            <w:gridSpan w:val="4"/>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Ementa: Leitura e debate de autores sobre História Africana.</w:t>
            </w:r>
          </w:p>
        </w:tc>
      </w:tr>
      <w:tr>
        <w:tblPrEx>
          <w:tblCellMar>
            <w:top w:w="0" w:type="dxa"/>
            <w:left w:w="108" w:type="dxa"/>
            <w:bottom w:w="0" w:type="dxa"/>
            <w:right w:w="108" w:type="dxa"/>
          </w:tblCellMar>
        </w:tblPrEx>
        <w:tc>
          <w:tcPr>
            <w:tcW w:w="8879" w:type="dxa"/>
            <w:gridSpan w:val="4"/>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Conteúdo programático: </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 África do Sul</w:t>
            </w:r>
          </w:p>
        </w:tc>
      </w:tr>
      <w:tr>
        <w:tblPrEx>
          <w:tblCellMar>
            <w:top w:w="0" w:type="dxa"/>
            <w:left w:w="108" w:type="dxa"/>
            <w:bottom w:w="0" w:type="dxa"/>
            <w:right w:w="108" w:type="dxa"/>
          </w:tblCellMar>
        </w:tblPrEx>
        <w:tc>
          <w:tcPr>
            <w:tcW w:w="8879" w:type="dxa"/>
            <w:gridSpan w:val="4"/>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Bibliografia básica: </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ANDERSON, Benedict R. O'G. Comunidades imaginadas: reflexões sobre a origem e a difusão do nacionalismo. São Paulo: Companhia das Letras 2008. </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CHATTERJEE, Partha. Colonialismo, modernidade e política. Salvador (BA): EDUFBA 2004. </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HASTINGS, Adrian. The construction of nationhood: ethnicity, religion and nationalism. New York: Cambridge University Press c1997</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THOMPSON, Leonard Monteath. A history of South Africa. New Haven: London: Yale University Press c2000</w:t>
            </w:r>
          </w:p>
        </w:tc>
      </w:tr>
      <w:tr>
        <w:tblPrEx>
          <w:tblCellMar>
            <w:top w:w="0" w:type="dxa"/>
            <w:left w:w="108" w:type="dxa"/>
            <w:bottom w:w="0" w:type="dxa"/>
            <w:right w:w="108" w:type="dxa"/>
          </w:tblCellMar>
        </w:tblPrEx>
        <w:tc>
          <w:tcPr>
            <w:tcW w:w="8879" w:type="dxa"/>
            <w:gridSpan w:val="4"/>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Bibliografia complementar:</w:t>
            </w:r>
          </w:p>
          <w:p>
            <w:pPr>
              <w:spacing w:line="360" w:lineRule="auto"/>
              <w:ind w:left="0" w:hanging="2"/>
              <w:rPr>
                <w:rFonts w:ascii="Times New Roman" w:hAnsi="Times New Roman" w:cs="Times New Roman"/>
              </w:rPr>
            </w:pPr>
            <w:r>
              <w:rPr>
                <w:rFonts w:ascii="Times New Roman" w:hAnsi="Times New Roman" w:eastAsia="Times New Roman" w:cs="Times New Roman"/>
              </w:rPr>
              <w:t>BALOGUN, Ola. Introdução a cultura africana. Lisboa: Edições 70 1980.</w:t>
            </w:r>
          </w:p>
          <w:p>
            <w:pPr>
              <w:spacing w:line="360" w:lineRule="auto"/>
              <w:ind w:left="0" w:hanging="2"/>
              <w:rPr>
                <w:rFonts w:ascii="Times New Roman" w:hAnsi="Times New Roman" w:cs="Times New Roman"/>
              </w:rPr>
            </w:pPr>
            <w:r>
              <w:rPr>
                <w:rFonts w:ascii="Times New Roman" w:hAnsi="Times New Roman" w:eastAsia="Times New Roman" w:cs="Times New Roman"/>
              </w:rPr>
              <w:t>CONFERÊNCIA MUNDIAL DE COMBATE AO RACISMO, DISCRIMINAÇÃO RACIAL, XENOFOBIA E INTOLERÂNCIA CORRELATA, 3.. 2001. Durban, África do Sul.; GOMES, Verônica Maria da Silva. Declaração de Durban e plano de ação. Brasília: Fundação Cultural Palmares [2001].</w:t>
            </w:r>
          </w:p>
          <w:p>
            <w:pPr>
              <w:spacing w:line="360" w:lineRule="auto"/>
              <w:ind w:left="0" w:hanging="2"/>
              <w:rPr>
                <w:rFonts w:ascii="Times New Roman" w:hAnsi="Times New Roman" w:cs="Times New Roman"/>
              </w:rPr>
            </w:pPr>
            <w:r>
              <w:rPr>
                <w:rFonts w:ascii="Times New Roman" w:hAnsi="Times New Roman" w:eastAsia="Times New Roman" w:cs="Times New Roman"/>
              </w:rPr>
              <w:t>KI-ZERBO, Joseph; NIANE, Djibril Tamsir; OGOT, Bethewell Allan; FASI, Mohammed el; HRBEK, I; AJAYI, J. F. Ade; BOAHEN, Albert Adu; MOKHTAR, Gamal; KI-ZERBO, J; MAZRUI, Ali A; WONDJI, C. História geral da África. 2.ed. Brasília: Unesco, 2010. 8v.</w:t>
            </w:r>
          </w:p>
          <w:p>
            <w:pPr>
              <w:spacing w:line="360" w:lineRule="auto"/>
              <w:ind w:left="0" w:hanging="2"/>
              <w:rPr>
                <w:rFonts w:ascii="Times New Roman" w:hAnsi="Times New Roman" w:cs="Times New Roman"/>
              </w:rPr>
            </w:pPr>
            <w:r>
              <w:rPr>
                <w:rFonts w:ascii="Times New Roman" w:hAnsi="Times New Roman" w:eastAsia="Times New Roman" w:cs="Times New Roman"/>
              </w:rPr>
              <w:t>M'BOKOLO, Elikia. África negra: história e civilizações: tomo II (do século XIX aos nossos dias). 2. ed. Lisboa: Edições Colibri; [2011]. 626 p. (Tempos e espaços africanos).</w:t>
            </w:r>
          </w:p>
          <w:p>
            <w:pPr>
              <w:spacing w:line="360" w:lineRule="auto"/>
              <w:ind w:left="0" w:hanging="2"/>
              <w:rPr>
                <w:rFonts w:ascii="Times New Roman" w:hAnsi="Times New Roman" w:cs="Times New Roman"/>
              </w:rPr>
            </w:pPr>
            <w:r>
              <w:rPr>
                <w:rFonts w:ascii="Times New Roman" w:hAnsi="Times New Roman" w:eastAsia="Times New Roman" w:cs="Times New Roman"/>
              </w:rPr>
              <w:t>OLIVER, Roland Anthony; AGUIAR, Renato. A experiência africana: da pré-história aos dias atuais. Rio de Janeiro: Jorge Zahar c1994.</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584"/>
        <w:tblW w:w="8737" w:type="dxa"/>
        <w:tblInd w:w="65" w:type="dxa"/>
        <w:tblLayout w:type="fixed"/>
        <w:tblCellMar>
          <w:top w:w="0" w:type="dxa"/>
          <w:left w:w="108" w:type="dxa"/>
          <w:bottom w:w="0" w:type="dxa"/>
          <w:right w:w="108" w:type="dxa"/>
        </w:tblCellMar>
      </w:tblPr>
      <w:tblGrid>
        <w:gridCol w:w="2728"/>
        <w:gridCol w:w="3119"/>
        <w:gridCol w:w="2890"/>
      </w:tblGrid>
      <w:tr>
        <w:tblPrEx>
          <w:tblCellMar>
            <w:top w:w="0" w:type="dxa"/>
            <w:left w:w="108" w:type="dxa"/>
            <w:bottom w:w="0" w:type="dxa"/>
            <w:right w:w="108" w:type="dxa"/>
          </w:tblCellMar>
        </w:tblPrEx>
        <w:tc>
          <w:tcPr>
            <w:tcW w:w="5847" w:type="dxa"/>
            <w:gridSpan w:val="2"/>
            <w:tcBorders>
              <w:top w:val="single" w:color="000000" w:sz="18"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do Componente Curricular em português:</w:t>
            </w:r>
          </w:p>
          <w:p>
            <w:pPr>
              <w:spacing w:line="360" w:lineRule="auto"/>
              <w:ind w:left="0" w:hanging="2"/>
              <w:rPr>
                <w:rFonts w:ascii="Times New Roman" w:hAnsi="Times New Roman" w:cs="Times New Roman"/>
              </w:rPr>
            </w:pPr>
            <w:r>
              <w:rPr>
                <w:rFonts w:ascii="Times New Roman" w:hAnsi="Times New Roman" w:eastAsia="Times New Roman" w:cs="Times New Roman"/>
              </w:rPr>
              <w:t>Leitura dirigida XXXIII</w:t>
            </w:r>
          </w:p>
          <w:p>
            <w:pPr>
              <w:spacing w:line="360" w:lineRule="auto"/>
              <w:ind w:left="0" w:hanging="2"/>
              <w:rPr>
                <w:rFonts w:ascii="Times New Roman" w:hAnsi="Times New Roman" w:eastAsia="Times New Roman" w:cs="Times New Roman"/>
              </w:rPr>
            </w:pPr>
          </w:p>
          <w:p>
            <w:pPr>
              <w:spacing w:line="360" w:lineRule="auto"/>
              <w:ind w:left="0" w:hanging="2"/>
              <w:rPr>
                <w:rFonts w:ascii="Times New Roman" w:hAnsi="Times New Roman" w:cs="Times New Roman"/>
              </w:rPr>
            </w:pPr>
            <w:r>
              <w:rPr>
                <w:rFonts w:ascii="Times New Roman" w:hAnsi="Times New Roman" w:eastAsia="Times New Roman" w:cs="Times New Roman"/>
              </w:rPr>
              <w:t>Nome do Componente Curricular em inglês:</w:t>
            </w:r>
          </w:p>
          <w:p>
            <w:pPr>
              <w:spacing w:line="360" w:lineRule="auto"/>
              <w:ind w:left="0" w:hanging="2"/>
              <w:rPr>
                <w:rFonts w:ascii="Times New Roman" w:hAnsi="Times New Roman" w:cs="Times New Roman"/>
              </w:rPr>
            </w:pPr>
            <w:r>
              <w:rPr>
                <w:rFonts w:ascii="Times New Roman" w:hAnsi="Times New Roman" w:eastAsia="Times New Roman" w:cs="Times New Roman"/>
              </w:rPr>
              <w:t>Targeted Readings XXXIII</w:t>
            </w:r>
          </w:p>
        </w:tc>
        <w:tc>
          <w:tcPr>
            <w:tcW w:w="2890" w:type="dxa"/>
            <w:tcBorders>
              <w:top w:val="single" w:color="000000" w:sz="18"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Código: HIS914</w:t>
            </w:r>
          </w:p>
        </w:tc>
      </w:tr>
      <w:tr>
        <w:tblPrEx>
          <w:tblCellMar>
            <w:top w:w="0" w:type="dxa"/>
            <w:left w:w="108" w:type="dxa"/>
            <w:bottom w:w="0" w:type="dxa"/>
            <w:right w:w="108" w:type="dxa"/>
          </w:tblCellMar>
        </w:tblPrEx>
        <w:trPr>
          <w:trHeight w:val="641" w:hRule="atLeast"/>
        </w:trPr>
        <w:tc>
          <w:tcPr>
            <w:tcW w:w="5847" w:type="dxa"/>
            <w:gridSpan w:val="2"/>
            <w:tcBorders>
              <w:top w:val="single" w:color="000000" w:sz="4"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e sigla do departamento:</w:t>
            </w:r>
          </w:p>
          <w:p>
            <w:pPr>
              <w:spacing w:line="360" w:lineRule="auto"/>
              <w:ind w:left="0" w:hanging="2"/>
              <w:rPr>
                <w:rFonts w:ascii="Times New Roman" w:hAnsi="Times New Roman" w:cs="Times New Roman"/>
              </w:rPr>
            </w:pPr>
            <w:r>
              <w:rPr>
                <w:rFonts w:ascii="Times New Roman" w:hAnsi="Times New Roman" w:eastAsia="Times New Roman" w:cs="Times New Roman"/>
              </w:rPr>
              <w:t>Departamento de História - DEHIS</w:t>
            </w:r>
          </w:p>
        </w:tc>
        <w:tc>
          <w:tcPr>
            <w:tcW w:w="2890" w:type="dxa"/>
            <w:tcBorders>
              <w:top w:val="single" w:color="000000" w:sz="4"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Unidade acadêmica:</w:t>
            </w:r>
          </w:p>
          <w:p>
            <w:pPr>
              <w:spacing w:line="360" w:lineRule="auto"/>
              <w:ind w:left="0" w:hanging="2"/>
              <w:rPr>
                <w:rFonts w:ascii="Times New Roman" w:hAnsi="Times New Roman" w:cs="Times New Roman"/>
              </w:rPr>
            </w:pPr>
            <w:r>
              <w:rPr>
                <w:rFonts w:ascii="Times New Roman" w:hAnsi="Times New Roman" w:eastAsia="Times New Roman" w:cs="Times New Roman"/>
              </w:rPr>
              <w:t>ICHS</w:t>
            </w:r>
          </w:p>
        </w:tc>
      </w:tr>
      <w:tr>
        <w:tblPrEx>
          <w:tblCellMar>
            <w:top w:w="0" w:type="dxa"/>
            <w:left w:w="108" w:type="dxa"/>
            <w:bottom w:w="0" w:type="dxa"/>
            <w:right w:w="108" w:type="dxa"/>
          </w:tblCellMar>
        </w:tblPrEx>
        <w:trPr>
          <w:trHeight w:val="641" w:hRule="atLeast"/>
        </w:trPr>
        <w:tc>
          <w:tcPr>
            <w:tcW w:w="2728" w:type="dxa"/>
            <w:tcBorders>
              <w:top w:val="single" w:color="000000" w:sz="4" w:space="0"/>
              <w:left w:val="single" w:color="000000" w:sz="18" w:space="0"/>
              <w:bottom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Carga horária semestral</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45 horas</w:t>
            </w:r>
          </w:p>
        </w:tc>
        <w:tc>
          <w:tcPr>
            <w:tcW w:w="3119" w:type="dxa"/>
            <w:tcBorders>
              <w:top w:val="single" w:color="000000" w:sz="4" w:space="0"/>
              <w:left w:val="single" w:color="000000" w:sz="4" w:space="0"/>
              <w:bottom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 xml:space="preserve">Carga horária semanal teórica </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02 horas/aula</w:t>
            </w:r>
          </w:p>
        </w:tc>
        <w:tc>
          <w:tcPr>
            <w:tcW w:w="2890" w:type="dxa"/>
            <w:tcBorders>
              <w:top w:val="single" w:color="000000" w:sz="4" w:space="0"/>
              <w:left w:val="single" w:color="000000" w:sz="4" w:space="0"/>
              <w:bottom w:val="single" w:color="000000" w:sz="4" w:space="0"/>
              <w:right w:val="single" w:color="000000" w:sz="18"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Carga horária semanal prática</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01 horas/aula</w:t>
            </w:r>
          </w:p>
        </w:tc>
      </w:tr>
      <w:tr>
        <w:tblPrEx>
          <w:tblCellMar>
            <w:top w:w="0" w:type="dxa"/>
            <w:left w:w="108" w:type="dxa"/>
            <w:bottom w:w="0" w:type="dxa"/>
            <w:right w:w="108" w:type="dxa"/>
          </w:tblCellMar>
        </w:tblPrEx>
        <w:tc>
          <w:tcPr>
            <w:tcW w:w="8737"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Ementa: Leitura e debate de autores políticos do século XIX e XX</w:t>
            </w:r>
          </w:p>
          <w:p>
            <w:pPr>
              <w:spacing w:line="360" w:lineRule="auto"/>
              <w:ind w:left="0" w:hanging="2"/>
              <w:jc w:val="both"/>
              <w:rPr>
                <w:rFonts w:ascii="Times New Roman" w:hAnsi="Times New Roman" w:eastAsia="Times New Roman" w:cs="Times New Roman"/>
              </w:rPr>
            </w:pPr>
          </w:p>
        </w:tc>
      </w:tr>
      <w:tr>
        <w:tblPrEx>
          <w:tblCellMar>
            <w:top w:w="0" w:type="dxa"/>
            <w:left w:w="108" w:type="dxa"/>
            <w:bottom w:w="0" w:type="dxa"/>
            <w:right w:w="108" w:type="dxa"/>
          </w:tblCellMar>
        </w:tblPrEx>
        <w:tc>
          <w:tcPr>
            <w:tcW w:w="8737"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Conteúdo programático: </w:t>
            </w:r>
          </w:p>
          <w:p>
            <w:pPr>
              <w:numPr>
                <w:ilvl w:val="0"/>
                <w:numId w:val="79"/>
              </w:numPr>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Liberalismo</w:t>
            </w:r>
          </w:p>
          <w:p>
            <w:pPr>
              <w:numPr>
                <w:ilvl w:val="0"/>
                <w:numId w:val="79"/>
              </w:numPr>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Conservadorismo</w:t>
            </w:r>
          </w:p>
          <w:p>
            <w:pPr>
              <w:numPr>
                <w:ilvl w:val="0"/>
                <w:numId w:val="79"/>
              </w:numPr>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Tradição</w:t>
            </w:r>
          </w:p>
          <w:p>
            <w:pPr>
              <w:numPr>
                <w:ilvl w:val="0"/>
                <w:numId w:val="79"/>
              </w:numPr>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Anarquismo</w:t>
            </w:r>
          </w:p>
          <w:p>
            <w:pPr>
              <w:numPr>
                <w:ilvl w:val="0"/>
                <w:numId w:val="79"/>
              </w:numPr>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 xml:space="preserve"> Socialismo</w:t>
            </w:r>
          </w:p>
        </w:tc>
      </w:tr>
      <w:tr>
        <w:tblPrEx>
          <w:tblCellMar>
            <w:top w:w="0" w:type="dxa"/>
            <w:left w:w="108" w:type="dxa"/>
            <w:bottom w:w="0" w:type="dxa"/>
            <w:right w:w="108" w:type="dxa"/>
          </w:tblCellMar>
        </w:tblPrEx>
        <w:tc>
          <w:tcPr>
            <w:tcW w:w="8737"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Bibliografia básica: </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CHATTERJEE, Partha. Colonialismo, modernidade e política. Salvador (BA): EDUFBA 2004. </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HASTINGS, Adrian. The construction of nationhood: ethnicity, religion and nationalism . New York: Cambridge University Press c1997</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HOBSBAWM, E. J. A era do capital, 1848-1875 . 15.ed., rev. São Paulo: Paz e Terra 2011.</w:t>
            </w:r>
          </w:p>
        </w:tc>
      </w:tr>
      <w:tr>
        <w:tblPrEx>
          <w:tblCellMar>
            <w:top w:w="0" w:type="dxa"/>
            <w:left w:w="108" w:type="dxa"/>
            <w:bottom w:w="0" w:type="dxa"/>
            <w:right w:w="108" w:type="dxa"/>
          </w:tblCellMar>
        </w:tblPrEx>
        <w:tc>
          <w:tcPr>
            <w:tcW w:w="8737"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Bibliografia complementar:</w:t>
            </w:r>
          </w:p>
          <w:p>
            <w:pPr>
              <w:spacing w:line="360" w:lineRule="auto"/>
              <w:ind w:left="0" w:hanging="2"/>
              <w:rPr>
                <w:rFonts w:ascii="Times New Roman" w:hAnsi="Times New Roman" w:cs="Times New Roman"/>
              </w:rPr>
            </w:pPr>
            <w:r>
              <w:rPr>
                <w:rFonts w:ascii="Times New Roman" w:hAnsi="Times New Roman" w:eastAsia="Times New Roman" w:cs="Times New Roman"/>
              </w:rPr>
              <w:t>HALL, Stuart; SILVA, Tomaz Tadeu da; LOURO, Guacira Lopes. A identidade cultural na pós-modernidade. 11. ed. Rio de Janeiro (RJ): DP &amp; A, 2006.</w:t>
            </w:r>
          </w:p>
          <w:p>
            <w:pPr>
              <w:spacing w:line="360" w:lineRule="auto"/>
              <w:ind w:left="0" w:hanging="2"/>
              <w:rPr>
                <w:rFonts w:ascii="Times New Roman" w:hAnsi="Times New Roman" w:cs="Times New Roman"/>
              </w:rPr>
            </w:pPr>
            <w:r>
              <w:rPr>
                <w:rFonts w:ascii="Times New Roman" w:hAnsi="Times New Roman" w:eastAsia="Times New Roman" w:cs="Times New Roman"/>
              </w:rPr>
              <w:t>HOBSBAWM, E. J; RANGER, T. O; CAVALCANTI, Celina Cardim. A invenção das tradiçoes. 7. reimpr. 2012. ed. São Paulo: Paz e Terra 2012</w:t>
            </w:r>
          </w:p>
          <w:p>
            <w:pPr>
              <w:spacing w:line="360" w:lineRule="auto"/>
              <w:ind w:left="0" w:hanging="2"/>
              <w:rPr>
                <w:rFonts w:ascii="Times New Roman" w:hAnsi="Times New Roman" w:cs="Times New Roman"/>
              </w:rPr>
            </w:pPr>
            <w:r>
              <w:rPr>
                <w:rFonts w:ascii="Times New Roman" w:hAnsi="Times New Roman" w:eastAsia="Times New Roman" w:cs="Times New Roman"/>
              </w:rPr>
              <w:t>HOBSBAWM, E. J. Bandidos. 2. ed. Rio de Janeiro: Forense Universitária 1976</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NOZICK, Robert. Anarquia, estado e utopia. Rio de Janeiro: Jorge Zahar c1991. </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RODÓ, José Enrique. Ariel. Campinas, SP: Ed. da UNICAMP, [1991]. </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585"/>
        <w:tblW w:w="8737" w:type="dxa"/>
        <w:tblInd w:w="65" w:type="dxa"/>
        <w:tblLayout w:type="fixed"/>
        <w:tblCellMar>
          <w:top w:w="0" w:type="dxa"/>
          <w:left w:w="108" w:type="dxa"/>
          <w:bottom w:w="0" w:type="dxa"/>
          <w:right w:w="108" w:type="dxa"/>
        </w:tblCellMar>
      </w:tblPr>
      <w:tblGrid>
        <w:gridCol w:w="2703"/>
        <w:gridCol w:w="3118"/>
        <w:gridCol w:w="2916"/>
      </w:tblGrid>
      <w:tr>
        <w:tblPrEx>
          <w:tblCellMar>
            <w:top w:w="0" w:type="dxa"/>
            <w:left w:w="108" w:type="dxa"/>
            <w:bottom w:w="0" w:type="dxa"/>
            <w:right w:w="108" w:type="dxa"/>
          </w:tblCellMar>
        </w:tblPrEx>
        <w:tc>
          <w:tcPr>
            <w:tcW w:w="5821" w:type="dxa"/>
            <w:gridSpan w:val="2"/>
            <w:tcBorders>
              <w:top w:val="single" w:color="000000" w:sz="18"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do Componente Curricular em português:</w:t>
            </w:r>
          </w:p>
          <w:p>
            <w:pPr>
              <w:spacing w:line="360" w:lineRule="auto"/>
              <w:ind w:left="0" w:hanging="2"/>
              <w:rPr>
                <w:rFonts w:ascii="Times New Roman" w:hAnsi="Times New Roman" w:cs="Times New Roman"/>
              </w:rPr>
            </w:pPr>
            <w:r>
              <w:rPr>
                <w:rFonts w:ascii="Times New Roman" w:hAnsi="Times New Roman" w:eastAsia="Times New Roman" w:cs="Times New Roman"/>
              </w:rPr>
              <w:t>Seminário em História Contemporânea I</w:t>
            </w:r>
          </w:p>
          <w:p>
            <w:pPr>
              <w:spacing w:line="360" w:lineRule="auto"/>
              <w:ind w:left="0" w:hanging="2"/>
              <w:rPr>
                <w:rFonts w:ascii="Times New Roman" w:hAnsi="Times New Roman" w:eastAsia="Times New Roman" w:cs="Times New Roman"/>
              </w:rPr>
            </w:pPr>
          </w:p>
          <w:p>
            <w:pPr>
              <w:spacing w:line="360" w:lineRule="auto"/>
              <w:ind w:left="0" w:hanging="2"/>
              <w:rPr>
                <w:rFonts w:ascii="Times New Roman" w:hAnsi="Times New Roman" w:cs="Times New Roman"/>
              </w:rPr>
            </w:pPr>
            <w:r>
              <w:rPr>
                <w:rFonts w:ascii="Times New Roman" w:hAnsi="Times New Roman" w:eastAsia="Times New Roman" w:cs="Times New Roman"/>
              </w:rPr>
              <w:t>Nome do Componente Curricular em inglês:</w:t>
            </w:r>
          </w:p>
          <w:p>
            <w:pPr>
              <w:spacing w:line="360" w:lineRule="auto"/>
              <w:ind w:left="0" w:hanging="2"/>
              <w:rPr>
                <w:rFonts w:ascii="Times New Roman" w:hAnsi="Times New Roman" w:cs="Times New Roman"/>
              </w:rPr>
            </w:pPr>
            <w:r>
              <w:rPr>
                <w:rFonts w:ascii="Times New Roman" w:hAnsi="Times New Roman" w:eastAsia="Times New Roman" w:cs="Times New Roman"/>
              </w:rPr>
              <w:t>Seminary in Contemporary History I</w:t>
            </w:r>
          </w:p>
        </w:tc>
        <w:tc>
          <w:tcPr>
            <w:tcW w:w="2916" w:type="dxa"/>
            <w:tcBorders>
              <w:top w:val="single" w:color="000000" w:sz="18"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Código: HIS915</w:t>
            </w:r>
          </w:p>
        </w:tc>
      </w:tr>
      <w:tr>
        <w:tblPrEx>
          <w:tblCellMar>
            <w:top w:w="0" w:type="dxa"/>
            <w:left w:w="108" w:type="dxa"/>
            <w:bottom w:w="0" w:type="dxa"/>
            <w:right w:w="108" w:type="dxa"/>
          </w:tblCellMar>
        </w:tblPrEx>
        <w:trPr>
          <w:trHeight w:val="915" w:hRule="atLeast"/>
        </w:trPr>
        <w:tc>
          <w:tcPr>
            <w:tcW w:w="5821" w:type="dxa"/>
            <w:gridSpan w:val="2"/>
            <w:tcBorders>
              <w:top w:val="single" w:color="000000" w:sz="4"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e sigla do departamento:</w:t>
            </w:r>
          </w:p>
          <w:p>
            <w:pPr>
              <w:spacing w:line="360" w:lineRule="auto"/>
              <w:ind w:left="0" w:hanging="2"/>
              <w:rPr>
                <w:rFonts w:ascii="Times New Roman" w:hAnsi="Times New Roman" w:cs="Times New Roman"/>
              </w:rPr>
            </w:pPr>
            <w:r>
              <w:rPr>
                <w:rFonts w:ascii="Times New Roman" w:hAnsi="Times New Roman" w:eastAsia="Times New Roman" w:cs="Times New Roman"/>
              </w:rPr>
              <w:t>Departamento de História - DEHIS</w:t>
            </w:r>
          </w:p>
        </w:tc>
        <w:tc>
          <w:tcPr>
            <w:tcW w:w="2916" w:type="dxa"/>
            <w:tcBorders>
              <w:top w:val="single" w:color="000000" w:sz="4"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Unidade acadêmica:</w:t>
            </w:r>
          </w:p>
          <w:p>
            <w:pPr>
              <w:spacing w:line="360" w:lineRule="auto"/>
              <w:ind w:left="0" w:hanging="2"/>
              <w:rPr>
                <w:rFonts w:ascii="Times New Roman" w:hAnsi="Times New Roman" w:cs="Times New Roman"/>
              </w:rPr>
            </w:pPr>
            <w:r>
              <w:rPr>
                <w:rFonts w:ascii="Times New Roman" w:hAnsi="Times New Roman" w:eastAsia="Times New Roman" w:cs="Times New Roman"/>
              </w:rPr>
              <w:t>ICHS</w:t>
            </w:r>
          </w:p>
        </w:tc>
      </w:tr>
      <w:tr>
        <w:tblPrEx>
          <w:tblCellMar>
            <w:top w:w="0" w:type="dxa"/>
            <w:left w:w="108" w:type="dxa"/>
            <w:bottom w:w="0" w:type="dxa"/>
            <w:right w:w="108" w:type="dxa"/>
          </w:tblCellMar>
        </w:tblPrEx>
        <w:trPr>
          <w:trHeight w:val="641" w:hRule="atLeast"/>
        </w:trPr>
        <w:tc>
          <w:tcPr>
            <w:tcW w:w="2703" w:type="dxa"/>
            <w:tcBorders>
              <w:top w:val="single" w:color="000000" w:sz="4" w:space="0"/>
              <w:left w:val="single" w:color="000000" w:sz="18" w:space="0"/>
              <w:bottom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Carga horária semestral</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60 horas</w:t>
            </w:r>
          </w:p>
        </w:tc>
        <w:tc>
          <w:tcPr>
            <w:tcW w:w="3118" w:type="dxa"/>
            <w:tcBorders>
              <w:top w:val="single" w:color="000000" w:sz="4" w:space="0"/>
              <w:left w:val="single" w:color="000000" w:sz="4" w:space="0"/>
              <w:bottom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 xml:space="preserve">Carga horária semanal teórica </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04 horas/aula</w:t>
            </w:r>
          </w:p>
        </w:tc>
        <w:tc>
          <w:tcPr>
            <w:tcW w:w="2916" w:type="dxa"/>
            <w:tcBorders>
              <w:top w:val="single" w:color="000000" w:sz="4" w:space="0"/>
              <w:left w:val="single" w:color="000000" w:sz="4" w:space="0"/>
              <w:bottom w:val="single" w:color="000000" w:sz="4" w:space="0"/>
              <w:right w:val="single" w:color="000000" w:sz="18"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Carga horária semanal prática</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00 horas/aula</w:t>
            </w:r>
          </w:p>
        </w:tc>
      </w:tr>
      <w:tr>
        <w:tblPrEx>
          <w:tblCellMar>
            <w:top w:w="0" w:type="dxa"/>
            <w:left w:w="108" w:type="dxa"/>
            <w:bottom w:w="0" w:type="dxa"/>
            <w:right w:w="108" w:type="dxa"/>
          </w:tblCellMar>
        </w:tblPrEx>
        <w:tc>
          <w:tcPr>
            <w:tcW w:w="8737"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Ementa: Análise do imperialismo a partir dos acontecimentos ocorridos nos dois últimos séculos sob uma perspectiva que privilegia a abordagem política e a interdisciplinaridade. </w:t>
            </w:r>
          </w:p>
        </w:tc>
      </w:tr>
      <w:tr>
        <w:tblPrEx>
          <w:tblCellMar>
            <w:top w:w="0" w:type="dxa"/>
            <w:left w:w="108" w:type="dxa"/>
            <w:bottom w:w="0" w:type="dxa"/>
            <w:right w:w="108" w:type="dxa"/>
          </w:tblCellMar>
        </w:tblPrEx>
        <w:tc>
          <w:tcPr>
            <w:tcW w:w="8737"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Conteúdo programático: </w:t>
            </w:r>
          </w:p>
          <w:p>
            <w:pPr>
              <w:numPr>
                <w:ilvl w:val="0"/>
                <w:numId w:val="80"/>
              </w:numPr>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 xml:space="preserve"> Colonialismo</w:t>
            </w:r>
          </w:p>
          <w:p>
            <w:pPr>
              <w:numPr>
                <w:ilvl w:val="0"/>
                <w:numId w:val="80"/>
              </w:numPr>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 xml:space="preserve"> Neocolonialismo</w:t>
            </w:r>
          </w:p>
          <w:p>
            <w:pPr>
              <w:numPr>
                <w:ilvl w:val="0"/>
                <w:numId w:val="80"/>
              </w:numPr>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 xml:space="preserve"> Imperialismo</w:t>
            </w:r>
          </w:p>
        </w:tc>
      </w:tr>
      <w:tr>
        <w:tblPrEx>
          <w:tblCellMar>
            <w:top w:w="0" w:type="dxa"/>
            <w:left w:w="108" w:type="dxa"/>
            <w:bottom w:w="0" w:type="dxa"/>
            <w:right w:w="108" w:type="dxa"/>
          </w:tblCellMar>
        </w:tblPrEx>
        <w:tc>
          <w:tcPr>
            <w:tcW w:w="8737"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Bibliografia básica: </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ANDERSON, Benedict R. O'G. Comunidades imaginadas: reflexões sobre a origem e a difusão do nacionalismo. [Lisboa]: Edições 70 [2005]</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CHATTERJEE, Partha. Colonialismo, modernidade e política. Salvador (BA): EDUFBA 2004. </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SAID, Edward W. Cultura e imperialismo. São Paulo: Companhia de Bolso [2011].</w:t>
            </w:r>
          </w:p>
        </w:tc>
      </w:tr>
      <w:tr>
        <w:tblPrEx>
          <w:tblCellMar>
            <w:top w:w="0" w:type="dxa"/>
            <w:left w:w="108" w:type="dxa"/>
            <w:bottom w:w="0" w:type="dxa"/>
            <w:right w:w="108" w:type="dxa"/>
          </w:tblCellMar>
        </w:tblPrEx>
        <w:tc>
          <w:tcPr>
            <w:tcW w:w="8737"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Bibliografia complementar:</w:t>
            </w:r>
          </w:p>
          <w:p>
            <w:pPr>
              <w:spacing w:line="360" w:lineRule="auto"/>
              <w:ind w:left="0" w:hanging="2"/>
              <w:rPr>
                <w:rFonts w:ascii="Times New Roman" w:hAnsi="Times New Roman" w:cs="Times New Roman"/>
              </w:rPr>
            </w:pPr>
            <w:r>
              <w:rPr>
                <w:rFonts w:ascii="Times New Roman" w:hAnsi="Times New Roman" w:eastAsia="Times New Roman" w:cs="Times New Roman"/>
              </w:rPr>
              <w:t>HALL, Stuart; SILVA, Tomaz Tadeu da; LOURO, Guacira Lopes. A identidade cultural na pós-modernidade. 11. ed. Rio de Janeiro (RJ): DP &amp; A, 2006.</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HARVEY, David. O novo imperialismo. 5. ed. São Paulo: Loyola 2011. </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HOBSBAWM, E. J. A era do capital, 1848-1875. 15.ed., rev. São Paulo: Paz e Terra 2011.</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________.HOBSBAWM, E. J. A era dos impérios: 1875-1914. 13. ed. Rio de Janeiro: Paz e Terra 2009. </w:t>
            </w:r>
          </w:p>
          <w:p>
            <w:pPr>
              <w:spacing w:line="360" w:lineRule="auto"/>
              <w:ind w:left="0" w:hanging="2"/>
              <w:rPr>
                <w:rFonts w:ascii="Times New Roman" w:hAnsi="Times New Roman" w:cs="Times New Roman"/>
              </w:rPr>
            </w:pPr>
            <w:r>
              <w:rPr>
                <w:rFonts w:ascii="Times New Roman" w:hAnsi="Times New Roman" w:eastAsia="Times New Roman" w:cs="Times New Roman"/>
              </w:rPr>
              <w:t>N'KRUMAH, Kwame; PEDREIRA, Maurício C. Neocolonialismo: último estágio do imperialismo. Rio de Janeiro: Civilização Brasileira 1967.</w:t>
            </w:r>
          </w:p>
        </w:tc>
      </w:tr>
    </w:tbl>
    <w:p>
      <w:pPr>
        <w:spacing w:line="360" w:lineRule="auto"/>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586"/>
        <w:tblW w:w="8737" w:type="dxa"/>
        <w:tblInd w:w="65" w:type="dxa"/>
        <w:tblLayout w:type="fixed"/>
        <w:tblCellMar>
          <w:top w:w="0" w:type="dxa"/>
          <w:left w:w="108" w:type="dxa"/>
          <w:bottom w:w="0" w:type="dxa"/>
          <w:right w:w="108" w:type="dxa"/>
        </w:tblCellMar>
      </w:tblPr>
      <w:tblGrid>
        <w:gridCol w:w="2703"/>
        <w:gridCol w:w="3118"/>
        <w:gridCol w:w="2916"/>
      </w:tblGrid>
      <w:tr>
        <w:tblPrEx>
          <w:tblCellMar>
            <w:top w:w="0" w:type="dxa"/>
            <w:left w:w="108" w:type="dxa"/>
            <w:bottom w:w="0" w:type="dxa"/>
            <w:right w:w="108" w:type="dxa"/>
          </w:tblCellMar>
        </w:tblPrEx>
        <w:tc>
          <w:tcPr>
            <w:tcW w:w="5821" w:type="dxa"/>
            <w:gridSpan w:val="2"/>
            <w:tcBorders>
              <w:top w:val="single" w:color="000000" w:sz="18"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do Componente Curricular em português:</w:t>
            </w:r>
          </w:p>
          <w:p>
            <w:pPr>
              <w:spacing w:line="360" w:lineRule="auto"/>
              <w:ind w:left="0" w:hanging="2"/>
              <w:rPr>
                <w:rFonts w:ascii="Times New Roman" w:hAnsi="Times New Roman" w:cs="Times New Roman"/>
              </w:rPr>
            </w:pPr>
            <w:r>
              <w:rPr>
                <w:rFonts w:ascii="Times New Roman" w:hAnsi="Times New Roman" w:eastAsia="Times New Roman" w:cs="Times New Roman"/>
              </w:rPr>
              <w:t>Seminário em História Contemporânea II</w:t>
            </w:r>
          </w:p>
          <w:p>
            <w:pPr>
              <w:spacing w:line="360" w:lineRule="auto"/>
              <w:ind w:left="0" w:hanging="2"/>
              <w:rPr>
                <w:rFonts w:ascii="Times New Roman" w:hAnsi="Times New Roman" w:eastAsia="Times New Roman" w:cs="Times New Roman"/>
              </w:rPr>
            </w:pPr>
          </w:p>
          <w:p>
            <w:pPr>
              <w:spacing w:line="360" w:lineRule="auto"/>
              <w:ind w:left="0" w:hanging="2"/>
              <w:rPr>
                <w:rFonts w:ascii="Times New Roman" w:hAnsi="Times New Roman" w:cs="Times New Roman"/>
              </w:rPr>
            </w:pPr>
            <w:r>
              <w:rPr>
                <w:rFonts w:ascii="Times New Roman" w:hAnsi="Times New Roman" w:eastAsia="Times New Roman" w:cs="Times New Roman"/>
              </w:rPr>
              <w:t>Nome do Componente Curricular em inglês:</w:t>
            </w:r>
          </w:p>
          <w:p>
            <w:pPr>
              <w:spacing w:line="360" w:lineRule="auto"/>
              <w:ind w:left="0" w:hanging="2"/>
              <w:rPr>
                <w:rFonts w:ascii="Times New Roman" w:hAnsi="Times New Roman" w:cs="Times New Roman"/>
              </w:rPr>
            </w:pPr>
            <w:r>
              <w:rPr>
                <w:rFonts w:ascii="Times New Roman" w:hAnsi="Times New Roman" w:eastAsia="Times New Roman" w:cs="Times New Roman"/>
              </w:rPr>
              <w:t>Seminary in Contemporary History II</w:t>
            </w:r>
          </w:p>
        </w:tc>
        <w:tc>
          <w:tcPr>
            <w:tcW w:w="2916" w:type="dxa"/>
            <w:tcBorders>
              <w:top w:val="single" w:color="000000" w:sz="18"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Código: HIS916</w:t>
            </w:r>
          </w:p>
        </w:tc>
      </w:tr>
      <w:tr>
        <w:tblPrEx>
          <w:tblCellMar>
            <w:top w:w="0" w:type="dxa"/>
            <w:left w:w="108" w:type="dxa"/>
            <w:bottom w:w="0" w:type="dxa"/>
            <w:right w:w="108" w:type="dxa"/>
          </w:tblCellMar>
        </w:tblPrEx>
        <w:trPr>
          <w:trHeight w:val="641" w:hRule="atLeast"/>
        </w:trPr>
        <w:tc>
          <w:tcPr>
            <w:tcW w:w="5821" w:type="dxa"/>
            <w:gridSpan w:val="2"/>
            <w:tcBorders>
              <w:top w:val="single" w:color="000000" w:sz="4"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e sigla do departamento:</w:t>
            </w:r>
          </w:p>
          <w:p>
            <w:pPr>
              <w:spacing w:line="360" w:lineRule="auto"/>
              <w:ind w:left="0" w:hanging="2"/>
              <w:rPr>
                <w:rFonts w:ascii="Times New Roman" w:hAnsi="Times New Roman" w:cs="Times New Roman"/>
              </w:rPr>
            </w:pPr>
            <w:r>
              <w:rPr>
                <w:rFonts w:ascii="Times New Roman" w:hAnsi="Times New Roman" w:eastAsia="Times New Roman" w:cs="Times New Roman"/>
              </w:rPr>
              <w:t>Departamento de História - DEHIS</w:t>
            </w:r>
          </w:p>
        </w:tc>
        <w:tc>
          <w:tcPr>
            <w:tcW w:w="2916" w:type="dxa"/>
            <w:tcBorders>
              <w:top w:val="single" w:color="000000" w:sz="4"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Unidade acadêmica:</w:t>
            </w:r>
          </w:p>
          <w:p>
            <w:pPr>
              <w:spacing w:line="360" w:lineRule="auto"/>
              <w:ind w:left="0" w:hanging="2"/>
              <w:rPr>
                <w:rFonts w:ascii="Times New Roman" w:hAnsi="Times New Roman" w:cs="Times New Roman"/>
              </w:rPr>
            </w:pPr>
            <w:r>
              <w:rPr>
                <w:rFonts w:ascii="Times New Roman" w:hAnsi="Times New Roman" w:eastAsia="Times New Roman" w:cs="Times New Roman"/>
              </w:rPr>
              <w:t>ICHS</w:t>
            </w:r>
          </w:p>
        </w:tc>
      </w:tr>
      <w:tr>
        <w:tblPrEx>
          <w:tblCellMar>
            <w:top w:w="0" w:type="dxa"/>
            <w:left w:w="108" w:type="dxa"/>
            <w:bottom w:w="0" w:type="dxa"/>
            <w:right w:w="108" w:type="dxa"/>
          </w:tblCellMar>
        </w:tblPrEx>
        <w:trPr>
          <w:trHeight w:val="641" w:hRule="atLeast"/>
        </w:trPr>
        <w:tc>
          <w:tcPr>
            <w:tcW w:w="2703" w:type="dxa"/>
            <w:tcBorders>
              <w:top w:val="single" w:color="000000" w:sz="4" w:space="0"/>
              <w:left w:val="single" w:color="000000" w:sz="18" w:space="0"/>
              <w:bottom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Carga horária semestral</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60 horas</w:t>
            </w:r>
          </w:p>
        </w:tc>
        <w:tc>
          <w:tcPr>
            <w:tcW w:w="3118" w:type="dxa"/>
            <w:tcBorders>
              <w:top w:val="single" w:color="000000" w:sz="4" w:space="0"/>
              <w:left w:val="single" w:color="000000" w:sz="4" w:space="0"/>
              <w:bottom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 xml:space="preserve">Carga horária semanal teórica </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04 horas/aula</w:t>
            </w:r>
          </w:p>
        </w:tc>
        <w:tc>
          <w:tcPr>
            <w:tcW w:w="2916" w:type="dxa"/>
            <w:tcBorders>
              <w:top w:val="single" w:color="000000" w:sz="4" w:space="0"/>
              <w:left w:val="single" w:color="000000" w:sz="4" w:space="0"/>
              <w:bottom w:val="single" w:color="000000" w:sz="4" w:space="0"/>
              <w:right w:val="single" w:color="000000" w:sz="18"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Carga horária semanal prática</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00 horas/aula</w:t>
            </w:r>
          </w:p>
        </w:tc>
      </w:tr>
      <w:tr>
        <w:tblPrEx>
          <w:tblCellMar>
            <w:top w:w="0" w:type="dxa"/>
            <w:left w:w="108" w:type="dxa"/>
            <w:bottom w:w="0" w:type="dxa"/>
            <w:right w:w="108" w:type="dxa"/>
          </w:tblCellMar>
        </w:tblPrEx>
        <w:tc>
          <w:tcPr>
            <w:tcW w:w="8737"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Ementa: Análise temática da cultura material produzida nos dois últimos séculos sob uma perspectiva que privilegia o suporte literário.</w:t>
            </w:r>
          </w:p>
        </w:tc>
      </w:tr>
      <w:tr>
        <w:tblPrEx>
          <w:tblCellMar>
            <w:top w:w="0" w:type="dxa"/>
            <w:left w:w="108" w:type="dxa"/>
            <w:bottom w:w="0" w:type="dxa"/>
            <w:right w:w="108" w:type="dxa"/>
          </w:tblCellMar>
        </w:tblPrEx>
        <w:tc>
          <w:tcPr>
            <w:tcW w:w="8737"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Conteúdo programático: </w:t>
            </w:r>
          </w:p>
          <w:p>
            <w:pPr>
              <w:numPr>
                <w:ilvl w:val="0"/>
                <w:numId w:val="81"/>
              </w:numPr>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Meta- História</w:t>
            </w:r>
          </w:p>
          <w:p>
            <w:pPr>
              <w:numPr>
                <w:ilvl w:val="0"/>
                <w:numId w:val="81"/>
              </w:numPr>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 xml:space="preserve"> Meta-ficção</w:t>
            </w:r>
          </w:p>
          <w:p>
            <w:pPr>
              <w:numPr>
                <w:ilvl w:val="0"/>
                <w:numId w:val="81"/>
              </w:numPr>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Interpretação e discurso</w:t>
            </w:r>
          </w:p>
          <w:p>
            <w:pPr>
              <w:numPr>
                <w:ilvl w:val="0"/>
                <w:numId w:val="81"/>
              </w:numPr>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 xml:space="preserve"> Literatura e leitura</w:t>
            </w:r>
          </w:p>
        </w:tc>
      </w:tr>
      <w:tr>
        <w:tblPrEx>
          <w:tblCellMar>
            <w:top w:w="0" w:type="dxa"/>
            <w:left w:w="108" w:type="dxa"/>
            <w:bottom w:w="0" w:type="dxa"/>
            <w:right w:w="108" w:type="dxa"/>
          </w:tblCellMar>
        </w:tblPrEx>
        <w:tc>
          <w:tcPr>
            <w:tcW w:w="8737"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Bibliografia básica: </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BHABHA, Homi K. O local da cultura. Belo Horizonte (MG): Ed. UFMG, 1998</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WHITE, Hayden V. Meta-história: a imaginação histórica do século XIX. 2. ed. São Paulo: Universidade de São Paulo 1995.</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SAID, Edward W. Cultura e imperialismo. São Paulo: Companhia de Bolso [2011].</w:t>
            </w:r>
          </w:p>
        </w:tc>
      </w:tr>
      <w:tr>
        <w:tblPrEx>
          <w:tblCellMar>
            <w:top w:w="0" w:type="dxa"/>
            <w:left w:w="108" w:type="dxa"/>
            <w:bottom w:w="0" w:type="dxa"/>
            <w:right w:w="108" w:type="dxa"/>
          </w:tblCellMar>
        </w:tblPrEx>
        <w:tc>
          <w:tcPr>
            <w:tcW w:w="8737"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Bibliografia complementar:</w:t>
            </w:r>
          </w:p>
          <w:p>
            <w:pPr>
              <w:spacing w:line="360" w:lineRule="auto"/>
              <w:ind w:left="0" w:hanging="2"/>
              <w:rPr>
                <w:rFonts w:ascii="Times New Roman" w:hAnsi="Times New Roman" w:cs="Times New Roman"/>
              </w:rPr>
            </w:pPr>
            <w:r>
              <w:rPr>
                <w:rFonts w:ascii="Times New Roman" w:hAnsi="Times New Roman" w:eastAsia="Times New Roman" w:cs="Times New Roman"/>
              </w:rPr>
              <w:t>BARTHES, Roland. Aula: aula inaugural da cadeira de semiologia literária do Colégio de França, pronunciada dia 7 de janeiro de 1977</w:t>
            </w:r>
          </w:p>
          <w:p>
            <w:pPr>
              <w:spacing w:line="360" w:lineRule="auto"/>
              <w:ind w:left="0" w:hanging="2"/>
              <w:rPr>
                <w:rFonts w:ascii="Times New Roman" w:hAnsi="Times New Roman" w:cs="Times New Roman"/>
              </w:rPr>
            </w:pPr>
            <w:r>
              <w:rPr>
                <w:rFonts w:ascii="Times New Roman" w:hAnsi="Times New Roman" w:eastAsia="Times New Roman" w:cs="Times New Roman"/>
              </w:rPr>
              <w:t>FOUCAULT, Michel; NEVES, Luiz Felipe Baeta. A arqueologia do saber. 5. ed. Rio de Janeiro: Forense Universitária 1997.</w:t>
            </w:r>
          </w:p>
          <w:p>
            <w:pPr>
              <w:spacing w:line="360" w:lineRule="auto"/>
              <w:ind w:left="0" w:hanging="2"/>
              <w:rPr>
                <w:rFonts w:ascii="Times New Roman" w:hAnsi="Times New Roman" w:cs="Times New Roman"/>
              </w:rPr>
            </w:pPr>
            <w:r>
              <w:rPr>
                <w:rFonts w:ascii="Times New Roman" w:hAnsi="Times New Roman" w:eastAsia="Times New Roman" w:cs="Times New Roman"/>
              </w:rPr>
              <w:t>GUATTARI, Félix. Caosmose: um novo paradigma estético. 2. ed. São Paulo: Ed.34 2012.</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PERRONE-MOISÉS, Leyla. Flores da escrivaninha: ensaios. São Paulo: Companhia das Letras, 1990. </w:t>
            </w:r>
          </w:p>
          <w:p>
            <w:pPr>
              <w:spacing w:line="360" w:lineRule="auto"/>
              <w:ind w:left="0" w:hanging="2"/>
              <w:rPr>
                <w:rFonts w:ascii="Times New Roman" w:hAnsi="Times New Roman" w:cs="Times New Roman"/>
              </w:rPr>
            </w:pPr>
            <w:r>
              <w:rPr>
                <w:rFonts w:ascii="Times New Roman" w:hAnsi="Times New Roman" w:eastAsia="Times New Roman" w:cs="Times New Roman"/>
              </w:rPr>
              <w:t>SOMMER, Doris. Ficções de fundação: os romances nacionais da América Latina. Belo Horizonte (MG): UFMG 2004.</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587"/>
        <w:tblW w:w="8845" w:type="dxa"/>
        <w:tblInd w:w="0" w:type="dxa"/>
        <w:tblLayout w:type="fixed"/>
        <w:tblCellMar>
          <w:top w:w="0" w:type="dxa"/>
          <w:left w:w="108" w:type="dxa"/>
          <w:bottom w:w="0" w:type="dxa"/>
          <w:right w:w="108" w:type="dxa"/>
        </w:tblCellMar>
      </w:tblPr>
      <w:tblGrid>
        <w:gridCol w:w="250"/>
        <w:gridCol w:w="2867"/>
        <w:gridCol w:w="3242"/>
        <w:gridCol w:w="2486"/>
      </w:tblGrid>
      <w:tr>
        <w:tblPrEx>
          <w:tblCellMar>
            <w:top w:w="0" w:type="dxa"/>
            <w:left w:w="108" w:type="dxa"/>
            <w:bottom w:w="0" w:type="dxa"/>
            <w:right w:w="108" w:type="dxa"/>
          </w:tblCellMar>
        </w:tblPrEx>
        <w:trPr>
          <w:trHeight w:val="1707" w:hRule="atLeast"/>
        </w:trPr>
        <w:tc>
          <w:tcPr>
            <w:tcW w:w="250" w:type="dxa"/>
          </w:tcPr>
          <w:p>
            <w:pPr>
              <w:spacing w:line="360" w:lineRule="auto"/>
              <w:ind w:left="0" w:hanging="2"/>
              <w:rPr>
                <w:rFonts w:ascii="Times New Roman" w:hAnsi="Times New Roman" w:eastAsia="Times New Roman" w:cs="Times New Roman"/>
              </w:rPr>
            </w:pPr>
          </w:p>
        </w:tc>
        <w:tc>
          <w:tcPr>
            <w:tcW w:w="6109" w:type="dxa"/>
            <w:gridSpan w:val="2"/>
            <w:tcBorders>
              <w:top w:val="single" w:color="000000" w:sz="18"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do Componente Curricular em português: Leitura Dirigida em História Antiga e Medieval I</w:t>
            </w:r>
          </w:p>
          <w:p>
            <w:pPr>
              <w:spacing w:line="360" w:lineRule="auto"/>
              <w:ind w:left="0" w:hanging="2"/>
              <w:rPr>
                <w:rFonts w:ascii="Times New Roman" w:hAnsi="Times New Roman" w:eastAsia="Times New Roman" w:cs="Times New Roman"/>
              </w:rPr>
            </w:pPr>
          </w:p>
          <w:p>
            <w:pPr>
              <w:spacing w:line="360" w:lineRule="auto"/>
              <w:ind w:left="0" w:hanging="2"/>
              <w:rPr>
                <w:rFonts w:ascii="Times New Roman" w:hAnsi="Times New Roman" w:cs="Times New Roman"/>
              </w:rPr>
            </w:pPr>
            <w:r>
              <w:rPr>
                <w:rFonts w:ascii="Times New Roman" w:hAnsi="Times New Roman" w:eastAsia="Times New Roman" w:cs="Times New Roman"/>
              </w:rPr>
              <w:t>Nome do Componente Curricular em inglês: Directed Reading in Ancient and Medieval History I</w:t>
            </w:r>
          </w:p>
        </w:tc>
        <w:tc>
          <w:tcPr>
            <w:tcW w:w="2486" w:type="dxa"/>
            <w:tcBorders>
              <w:top w:val="single" w:color="000000" w:sz="18"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Código: HIS917</w:t>
            </w:r>
          </w:p>
        </w:tc>
      </w:tr>
      <w:tr>
        <w:tblPrEx>
          <w:tblCellMar>
            <w:top w:w="0" w:type="dxa"/>
            <w:left w:w="108" w:type="dxa"/>
            <w:bottom w:w="0" w:type="dxa"/>
            <w:right w:w="108" w:type="dxa"/>
          </w:tblCellMar>
        </w:tblPrEx>
        <w:trPr>
          <w:trHeight w:val="641" w:hRule="atLeast"/>
        </w:trPr>
        <w:tc>
          <w:tcPr>
            <w:tcW w:w="250" w:type="dxa"/>
          </w:tcPr>
          <w:p>
            <w:pPr>
              <w:spacing w:line="360" w:lineRule="auto"/>
              <w:ind w:left="0" w:hanging="2"/>
              <w:rPr>
                <w:rFonts w:ascii="Times New Roman" w:hAnsi="Times New Roman" w:eastAsia="Times New Roman" w:cs="Times New Roman"/>
              </w:rPr>
            </w:pPr>
          </w:p>
        </w:tc>
        <w:tc>
          <w:tcPr>
            <w:tcW w:w="6109" w:type="dxa"/>
            <w:gridSpan w:val="2"/>
            <w:tcBorders>
              <w:top w:val="single" w:color="000000" w:sz="4"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e sigla do departamento: Departamento de História (DEHIS)</w:t>
            </w:r>
          </w:p>
        </w:tc>
        <w:tc>
          <w:tcPr>
            <w:tcW w:w="2486" w:type="dxa"/>
            <w:tcBorders>
              <w:top w:val="single" w:color="000000" w:sz="4"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Unidade acadêmica: ICHS</w:t>
            </w:r>
          </w:p>
        </w:tc>
      </w:tr>
      <w:tr>
        <w:tblPrEx>
          <w:tblCellMar>
            <w:top w:w="0" w:type="dxa"/>
            <w:left w:w="108" w:type="dxa"/>
            <w:bottom w:w="0" w:type="dxa"/>
            <w:right w:w="108" w:type="dxa"/>
          </w:tblCellMar>
        </w:tblPrEx>
        <w:trPr>
          <w:trHeight w:val="641" w:hRule="atLeast"/>
        </w:trPr>
        <w:tc>
          <w:tcPr>
            <w:tcW w:w="250" w:type="dxa"/>
          </w:tcPr>
          <w:p>
            <w:pPr>
              <w:spacing w:line="360" w:lineRule="auto"/>
              <w:ind w:left="0" w:hanging="2"/>
              <w:jc w:val="center"/>
              <w:rPr>
                <w:rFonts w:ascii="Times New Roman" w:hAnsi="Times New Roman" w:eastAsia="Times New Roman" w:cs="Times New Roman"/>
                <w:color w:val="000000"/>
              </w:rPr>
            </w:pPr>
          </w:p>
        </w:tc>
        <w:tc>
          <w:tcPr>
            <w:tcW w:w="2867" w:type="dxa"/>
            <w:tcBorders>
              <w:top w:val="single" w:color="000000" w:sz="4" w:space="0"/>
              <w:left w:val="single" w:color="000000" w:sz="18" w:space="0"/>
              <w:bottom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color w:val="000000"/>
              </w:rPr>
              <w:t>Carga horária semestral</w:t>
            </w:r>
          </w:p>
          <w:p>
            <w:pPr>
              <w:spacing w:line="360" w:lineRule="auto"/>
              <w:ind w:left="0" w:hanging="2"/>
              <w:jc w:val="center"/>
              <w:rPr>
                <w:rFonts w:ascii="Times New Roman" w:hAnsi="Times New Roman" w:cs="Times New Roman"/>
              </w:rPr>
            </w:pPr>
            <w:r>
              <w:rPr>
                <w:rFonts w:ascii="Times New Roman" w:hAnsi="Times New Roman" w:eastAsia="Times New Roman" w:cs="Times New Roman"/>
                <w:color w:val="000000"/>
              </w:rPr>
              <w:t>30 horas</w:t>
            </w:r>
          </w:p>
        </w:tc>
        <w:tc>
          <w:tcPr>
            <w:tcW w:w="3242" w:type="dxa"/>
            <w:tcBorders>
              <w:top w:val="single" w:color="000000" w:sz="4" w:space="0"/>
              <w:left w:val="single" w:color="000000" w:sz="4" w:space="0"/>
              <w:bottom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color w:val="000000"/>
              </w:rPr>
              <w:t xml:space="preserve">Carga horária semanal teórica </w:t>
            </w:r>
          </w:p>
          <w:p>
            <w:pPr>
              <w:spacing w:line="360" w:lineRule="auto"/>
              <w:ind w:left="0" w:hanging="2"/>
              <w:jc w:val="center"/>
              <w:rPr>
                <w:rFonts w:ascii="Times New Roman" w:hAnsi="Times New Roman" w:cs="Times New Roman"/>
              </w:rPr>
            </w:pPr>
            <w:r>
              <w:rPr>
                <w:rFonts w:ascii="Times New Roman" w:hAnsi="Times New Roman" w:eastAsia="Times New Roman" w:cs="Times New Roman"/>
                <w:color w:val="000000"/>
              </w:rPr>
              <w:t>02 horas/aula</w:t>
            </w:r>
          </w:p>
        </w:tc>
        <w:tc>
          <w:tcPr>
            <w:tcW w:w="2486" w:type="dxa"/>
            <w:tcBorders>
              <w:top w:val="single" w:color="000000" w:sz="4" w:space="0"/>
              <w:left w:val="single" w:color="000000" w:sz="4" w:space="0"/>
              <w:bottom w:val="single" w:color="000000" w:sz="4" w:space="0"/>
              <w:right w:val="single" w:color="000000" w:sz="18"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color w:val="000000"/>
              </w:rPr>
              <w:t>Carga horária semanal prática</w:t>
            </w:r>
          </w:p>
          <w:p>
            <w:pPr>
              <w:spacing w:line="360" w:lineRule="auto"/>
              <w:ind w:left="0" w:hanging="2"/>
              <w:jc w:val="center"/>
              <w:rPr>
                <w:rFonts w:ascii="Times New Roman" w:hAnsi="Times New Roman" w:cs="Times New Roman"/>
              </w:rPr>
            </w:pPr>
            <w:r>
              <w:rPr>
                <w:rFonts w:ascii="Times New Roman" w:hAnsi="Times New Roman" w:eastAsia="Times New Roman" w:cs="Times New Roman"/>
                <w:color w:val="000000"/>
              </w:rPr>
              <w:t>00 horas/aula</w:t>
            </w:r>
          </w:p>
        </w:tc>
      </w:tr>
      <w:tr>
        <w:tblPrEx>
          <w:tblCellMar>
            <w:top w:w="0" w:type="dxa"/>
            <w:left w:w="108" w:type="dxa"/>
            <w:bottom w:w="0" w:type="dxa"/>
            <w:right w:w="108" w:type="dxa"/>
          </w:tblCellMar>
        </w:tblPrEx>
        <w:trPr>
          <w:trHeight w:val="1248" w:hRule="atLeast"/>
        </w:trPr>
        <w:tc>
          <w:tcPr>
            <w:tcW w:w="250" w:type="dxa"/>
          </w:tcPr>
          <w:p>
            <w:pPr>
              <w:spacing w:line="360" w:lineRule="auto"/>
              <w:ind w:left="0" w:hanging="2"/>
              <w:jc w:val="both"/>
              <w:rPr>
                <w:rFonts w:ascii="Times New Roman" w:hAnsi="Times New Roman" w:eastAsia="Times New Roman" w:cs="Times New Roman"/>
                <w:color w:val="000000"/>
              </w:rPr>
            </w:pPr>
          </w:p>
        </w:tc>
        <w:tc>
          <w:tcPr>
            <w:tcW w:w="8595"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Ementa: </w:t>
            </w:r>
            <w:r>
              <w:rPr>
                <w:rFonts w:ascii="Times New Roman" w:hAnsi="Times New Roman" w:eastAsia="Times New Roman" w:cs="Times New Roman"/>
                <w:color w:val="000000"/>
              </w:rPr>
              <w:t>Temas de pesquisa em Histórias Conectadas na Idade Média. A construção do problema. Hipóteses de Trabalhos e respostas provisórias ao problema. Revisão bibliográfica. Organização da proposta de pesquisa e redação do projeto.</w:t>
            </w:r>
          </w:p>
        </w:tc>
      </w:tr>
      <w:tr>
        <w:tblPrEx>
          <w:tblCellMar>
            <w:top w:w="0" w:type="dxa"/>
            <w:left w:w="108" w:type="dxa"/>
            <w:bottom w:w="0" w:type="dxa"/>
            <w:right w:w="108" w:type="dxa"/>
          </w:tblCellMar>
        </w:tblPrEx>
        <w:tc>
          <w:tcPr>
            <w:tcW w:w="250" w:type="dxa"/>
          </w:tcPr>
          <w:p>
            <w:pPr>
              <w:spacing w:line="360" w:lineRule="auto"/>
              <w:ind w:left="0" w:hanging="2"/>
              <w:jc w:val="both"/>
              <w:rPr>
                <w:rFonts w:ascii="Times New Roman" w:hAnsi="Times New Roman" w:eastAsia="Times New Roman" w:cs="Times New Roman"/>
              </w:rPr>
            </w:pPr>
          </w:p>
        </w:tc>
        <w:tc>
          <w:tcPr>
            <w:tcW w:w="8595"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Conteúdo programático: </w:t>
            </w:r>
          </w:p>
          <w:p>
            <w:pPr>
              <w:numPr>
                <w:ilvl w:val="0"/>
                <w:numId w:val="82"/>
              </w:numPr>
              <w:tabs>
                <w:tab w:val="left" w:pos="0"/>
              </w:tabs>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O Projeto de Pesquisa em Histórias Conectadas na Idade Média.</w:t>
            </w:r>
          </w:p>
          <w:p>
            <w:pPr>
              <w:numPr>
                <w:ilvl w:val="0"/>
                <w:numId w:val="82"/>
              </w:numPr>
              <w:tabs>
                <w:tab w:val="left" w:pos="0"/>
              </w:tabs>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O método das Histórias conectadas entre novas periodizações e o comparatismo</w:t>
            </w:r>
          </w:p>
          <w:p>
            <w:pPr>
              <w:numPr>
                <w:ilvl w:val="0"/>
                <w:numId w:val="82"/>
              </w:numPr>
              <w:tabs>
                <w:tab w:val="left" w:pos="0"/>
              </w:tabs>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Identificação dos temas de pesquisa.</w:t>
            </w:r>
          </w:p>
          <w:p>
            <w:pPr>
              <w:numPr>
                <w:ilvl w:val="0"/>
                <w:numId w:val="82"/>
              </w:numPr>
              <w:tabs>
                <w:tab w:val="left" w:pos="0"/>
              </w:tabs>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A pesquisa como um problema.</w:t>
            </w:r>
          </w:p>
          <w:p>
            <w:pPr>
              <w:numPr>
                <w:ilvl w:val="0"/>
                <w:numId w:val="82"/>
              </w:numPr>
              <w:tabs>
                <w:tab w:val="left" w:pos="0"/>
              </w:tabs>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Elaboração do projeto.</w:t>
            </w:r>
          </w:p>
        </w:tc>
      </w:tr>
      <w:tr>
        <w:tblPrEx>
          <w:tblCellMar>
            <w:top w:w="0" w:type="dxa"/>
            <w:left w:w="108" w:type="dxa"/>
            <w:bottom w:w="0" w:type="dxa"/>
            <w:right w:w="108" w:type="dxa"/>
          </w:tblCellMar>
        </w:tblPrEx>
        <w:tc>
          <w:tcPr>
            <w:tcW w:w="250" w:type="dxa"/>
          </w:tcPr>
          <w:p>
            <w:pPr>
              <w:spacing w:line="360" w:lineRule="auto"/>
              <w:ind w:left="0" w:hanging="2"/>
              <w:jc w:val="both"/>
              <w:rPr>
                <w:rFonts w:ascii="Times New Roman" w:hAnsi="Times New Roman" w:eastAsia="Times New Roman" w:cs="Times New Roman"/>
              </w:rPr>
            </w:pPr>
          </w:p>
        </w:tc>
        <w:tc>
          <w:tcPr>
            <w:tcW w:w="8595"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Bibliografia básica:</w:t>
            </w:r>
          </w:p>
          <w:p>
            <w:pPr>
              <w:spacing w:line="360" w:lineRule="auto"/>
              <w:ind w:left="0" w:hanging="2"/>
              <w:rPr>
                <w:rFonts w:ascii="Times New Roman" w:hAnsi="Times New Roman" w:cs="Times New Roman"/>
              </w:rPr>
            </w:pPr>
            <w:r>
              <w:rPr>
                <w:rFonts w:ascii="Times New Roman" w:hAnsi="Times New Roman" w:eastAsia="Times New Roman" w:cs="Times New Roman"/>
              </w:rPr>
              <w:t>BARROS, José D'Assunção. </w:t>
            </w:r>
            <w:r>
              <w:rPr>
                <w:rFonts w:ascii="Times New Roman" w:hAnsi="Times New Roman" w:eastAsia="Times New Roman" w:cs="Times New Roman"/>
                <w:b/>
              </w:rPr>
              <w:t>O projeto de pesquisa em História: </w:t>
            </w:r>
            <w:r>
              <w:rPr>
                <w:rFonts w:ascii="Times New Roman" w:hAnsi="Times New Roman" w:eastAsia="Times New Roman" w:cs="Times New Roman"/>
              </w:rPr>
              <w:t>da escolha do tema ao quadro teórico. Petrópolis: Vozes, 2005.</w:t>
            </w:r>
          </w:p>
          <w:p>
            <w:pPr>
              <w:spacing w:line="360" w:lineRule="auto"/>
              <w:ind w:left="0" w:hanging="2"/>
              <w:rPr>
                <w:rFonts w:ascii="Times New Roman" w:hAnsi="Times New Roman" w:cs="Times New Roman"/>
              </w:rPr>
            </w:pPr>
            <w:r>
              <w:rPr>
                <w:rFonts w:ascii="Times New Roman" w:hAnsi="Times New Roman" w:eastAsia="Times New Roman" w:cs="Times New Roman"/>
              </w:rPr>
              <w:t>LE GOFF, Jacques; SCHMITT, Jean-Claude. </w:t>
            </w:r>
            <w:r>
              <w:rPr>
                <w:rFonts w:ascii="Times New Roman" w:hAnsi="Times New Roman" w:eastAsia="Times New Roman" w:cs="Times New Roman"/>
                <w:b/>
              </w:rPr>
              <w:t>Dicionário Temático do ocidente medieval. </w:t>
            </w:r>
            <w:r>
              <w:rPr>
                <w:rFonts w:ascii="Times New Roman" w:hAnsi="Times New Roman" w:eastAsia="Times New Roman" w:cs="Times New Roman"/>
              </w:rPr>
              <w:t>2 vols. Bauru,SP: São Paulo: EDUSC, Imprensa Oficial do Estado, 2006. </w:t>
            </w:r>
          </w:p>
          <w:p>
            <w:pPr>
              <w:spacing w:line="360" w:lineRule="auto"/>
              <w:ind w:left="0" w:hanging="2"/>
              <w:rPr>
                <w:rFonts w:ascii="Times New Roman" w:hAnsi="Times New Roman" w:cs="Times New Roman"/>
              </w:rPr>
            </w:pPr>
            <w:r>
              <w:rPr>
                <w:rFonts w:ascii="Times New Roman" w:hAnsi="Times New Roman" w:eastAsia="Times New Roman" w:cs="Times New Roman"/>
              </w:rPr>
              <w:t>MCKITTERICK, Rosamond; REUTER, Timothy; LUSCOMBRE, David; RILEY-SMITH, Jonathan; ABULAFIA, David; JONES, Michael; ALLMAND, Christopher. </w:t>
            </w:r>
            <w:r>
              <w:rPr>
                <w:rFonts w:ascii="Times New Roman" w:hAnsi="Times New Roman" w:eastAsia="Times New Roman" w:cs="Times New Roman"/>
                <w:b/>
              </w:rPr>
              <w:t>The new Cambridge Medieval History. </w:t>
            </w:r>
            <w:r>
              <w:rPr>
                <w:rFonts w:ascii="Times New Roman" w:hAnsi="Times New Roman" w:eastAsia="Times New Roman" w:cs="Times New Roman"/>
              </w:rPr>
              <w:t>Cambridge: Cambridge University Press, 1995-2005.</w:t>
            </w:r>
          </w:p>
        </w:tc>
      </w:tr>
      <w:tr>
        <w:tblPrEx>
          <w:tblCellMar>
            <w:top w:w="0" w:type="dxa"/>
            <w:left w:w="108" w:type="dxa"/>
            <w:bottom w:w="0" w:type="dxa"/>
            <w:right w:w="108" w:type="dxa"/>
          </w:tblCellMar>
        </w:tblPrEx>
        <w:tc>
          <w:tcPr>
            <w:tcW w:w="250" w:type="dxa"/>
          </w:tcPr>
          <w:p>
            <w:pPr>
              <w:spacing w:line="360" w:lineRule="auto"/>
              <w:ind w:left="0" w:hanging="2"/>
              <w:jc w:val="both"/>
              <w:rPr>
                <w:rFonts w:ascii="Times New Roman" w:hAnsi="Times New Roman" w:eastAsia="Times New Roman" w:cs="Times New Roman"/>
              </w:rPr>
            </w:pPr>
          </w:p>
        </w:tc>
        <w:tc>
          <w:tcPr>
            <w:tcW w:w="8595"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Bibliografia complementar:</w:t>
            </w:r>
          </w:p>
          <w:p>
            <w:pPr>
              <w:spacing w:line="360" w:lineRule="auto"/>
              <w:ind w:left="0" w:hanging="2"/>
              <w:rPr>
                <w:rFonts w:ascii="Times New Roman" w:hAnsi="Times New Roman" w:cs="Times New Roman"/>
              </w:rPr>
            </w:pPr>
            <w:r>
              <w:rPr>
                <w:rFonts w:ascii="Times New Roman" w:hAnsi="Times New Roman" w:eastAsia="Times New Roman" w:cs="Times New Roman"/>
              </w:rPr>
              <w:t>DUBY, Georges. </w:t>
            </w:r>
            <w:r>
              <w:rPr>
                <w:rFonts w:ascii="Times New Roman" w:hAnsi="Times New Roman" w:eastAsia="Times New Roman" w:cs="Times New Roman"/>
                <w:b/>
              </w:rPr>
              <w:t>Damas do Século XII</w:t>
            </w:r>
            <w:r>
              <w:rPr>
                <w:rFonts w:ascii="Times New Roman" w:hAnsi="Times New Roman" w:eastAsia="Times New Roman" w:cs="Times New Roman"/>
              </w:rPr>
              <w:t>: a lembrança das ancestrais. São Paulo: Companhia das Letras [1997].</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EL FASI, Mohammed (ed.). </w:t>
            </w:r>
            <w:r>
              <w:rPr>
                <w:rFonts w:ascii="Times New Roman" w:hAnsi="Times New Roman" w:eastAsia="Times New Roman" w:cs="Times New Roman"/>
                <w:b/>
              </w:rPr>
              <w:t>História Geral da África</w:t>
            </w:r>
            <w:r>
              <w:rPr>
                <w:rFonts w:ascii="Times New Roman" w:hAnsi="Times New Roman" w:eastAsia="Times New Roman" w:cs="Times New Roman"/>
              </w:rPr>
              <w:t>. v. 3: África do Século VII ao XI. Brasília: UNESCO, 2010.</w:t>
            </w:r>
          </w:p>
          <w:p>
            <w:pPr>
              <w:spacing w:line="360" w:lineRule="auto"/>
              <w:ind w:left="0" w:hanging="2"/>
              <w:rPr>
                <w:rFonts w:ascii="Times New Roman" w:hAnsi="Times New Roman" w:cs="Times New Roman"/>
              </w:rPr>
            </w:pPr>
            <w:r>
              <w:rPr>
                <w:rFonts w:ascii="Times New Roman" w:hAnsi="Times New Roman" w:eastAsia="Times New Roman" w:cs="Times New Roman"/>
              </w:rPr>
              <w:t>GIORDANI, Mario Curtis. </w:t>
            </w:r>
            <w:r>
              <w:rPr>
                <w:rFonts w:ascii="Times New Roman" w:hAnsi="Times New Roman" w:eastAsia="Times New Roman" w:cs="Times New Roman"/>
                <w:b/>
              </w:rPr>
              <w:t>História do Mundo Árabe Medieval</w:t>
            </w:r>
            <w:r>
              <w:rPr>
                <w:rFonts w:ascii="Times New Roman" w:hAnsi="Times New Roman" w:eastAsia="Times New Roman" w:cs="Times New Roman"/>
              </w:rPr>
              <w:t>. Petropolis, RJ: Vozes 1976.</w:t>
            </w:r>
          </w:p>
          <w:p>
            <w:pPr>
              <w:spacing w:line="360" w:lineRule="auto"/>
              <w:ind w:left="0" w:hanging="2"/>
              <w:rPr>
                <w:rFonts w:ascii="Times New Roman" w:hAnsi="Times New Roman" w:cs="Times New Roman"/>
              </w:rPr>
            </w:pPr>
            <w:r>
              <w:rPr>
                <w:rFonts w:ascii="Times New Roman" w:hAnsi="Times New Roman" w:eastAsia="Times New Roman" w:cs="Times New Roman"/>
              </w:rPr>
              <w:t>GUERREAU, Alain. </w:t>
            </w:r>
            <w:r>
              <w:rPr>
                <w:rFonts w:ascii="Times New Roman" w:hAnsi="Times New Roman" w:eastAsia="Times New Roman" w:cs="Times New Roman"/>
                <w:b/>
              </w:rPr>
              <w:t>O Feudalismo</w:t>
            </w:r>
            <w:r>
              <w:rPr>
                <w:rFonts w:ascii="Times New Roman" w:hAnsi="Times New Roman" w:eastAsia="Times New Roman" w:cs="Times New Roman"/>
              </w:rPr>
              <w:t>: um horizonte teórico. Lisboa: Edições 70 c1980.</w:t>
            </w:r>
          </w:p>
          <w:p>
            <w:pPr>
              <w:shd w:val="clear" w:color="auto" w:fill="FFFFFF"/>
              <w:spacing w:line="360" w:lineRule="auto"/>
              <w:ind w:left="0" w:hanging="2"/>
              <w:rPr>
                <w:rFonts w:ascii="Times New Roman" w:hAnsi="Times New Roman" w:cs="Times New Roman"/>
              </w:rPr>
            </w:pPr>
            <w:r>
              <w:rPr>
                <w:rFonts w:ascii="Times New Roman" w:hAnsi="Times New Roman" w:eastAsia="Times New Roman" w:cs="Times New Roman"/>
                <w:highlight w:val="white"/>
              </w:rPr>
              <w:t>JACOBY, David. </w:t>
            </w:r>
            <w:r>
              <w:rPr>
                <w:rFonts w:ascii="Times New Roman" w:hAnsi="Times New Roman" w:eastAsia="Times New Roman" w:cs="Times New Roman"/>
                <w:b/>
                <w:highlight w:val="white"/>
              </w:rPr>
              <w:t>Byzantium, Latin Romania and the Mediterranean. </w:t>
            </w:r>
            <w:r>
              <w:rPr>
                <w:rFonts w:ascii="Times New Roman" w:hAnsi="Times New Roman" w:eastAsia="Times New Roman" w:cs="Times New Roman"/>
                <w:highlight w:val="white"/>
              </w:rPr>
              <w:t>Aldershot: Burlington: Ashgate, c2001. </w:t>
            </w:r>
          </w:p>
        </w:tc>
      </w:tr>
    </w:tbl>
    <w:p>
      <w:pPr>
        <w:ind w:left="0" w:hanging="2"/>
        <w:rPr>
          <w:rFonts w:ascii="Times New Roman" w:hAnsi="Times New Roman" w:cs="Times New Roman"/>
        </w:rPr>
      </w:pPr>
      <w:r>
        <w:rPr>
          <w:rFonts w:ascii="Times New Roman" w:hAnsi="Times New Roman" w:eastAsia="Times New Roman" w:cs="Times New Roman"/>
        </w:rPr>
        <w:br w:type="textWrapping"/>
      </w:r>
    </w:p>
    <w:p>
      <w:pPr>
        <w:ind w:left="0" w:hanging="2"/>
        <w:rPr>
          <w:rFonts w:ascii="Times New Roman" w:hAnsi="Times New Roman" w:cs="Times New Roman"/>
        </w:rPr>
      </w:pPr>
    </w:p>
    <w:p>
      <w:pPr>
        <w:ind w:left="0" w:hanging="2"/>
        <w:rPr>
          <w:rFonts w:ascii="Times New Roman" w:hAnsi="Times New Roman" w:cs="Times New Roman"/>
        </w:rPr>
      </w:pPr>
    </w:p>
    <w:p>
      <w:pPr>
        <w:ind w:left="0" w:hanging="2"/>
        <w:rPr>
          <w:rFonts w:ascii="Times New Roman" w:hAnsi="Times New Roman" w:cs="Times New Roman"/>
        </w:rPr>
      </w:pPr>
    </w:p>
    <w:p>
      <w:pPr>
        <w:ind w:left="0" w:hanging="2"/>
        <w:rPr>
          <w:rFonts w:ascii="Times New Roman" w:hAnsi="Times New Roman" w:cs="Times New Roman"/>
        </w:rPr>
      </w:pPr>
    </w:p>
    <w:p>
      <w:pPr>
        <w:ind w:left="0" w:hanging="2"/>
        <w:rPr>
          <w:rFonts w:ascii="Times New Roman" w:hAnsi="Times New Roman" w:cs="Times New Roman"/>
        </w:rPr>
      </w:pPr>
    </w:p>
    <w:tbl>
      <w:tblPr>
        <w:tblStyle w:val="588"/>
        <w:tblW w:w="9021" w:type="dxa"/>
        <w:tblInd w:w="0" w:type="dxa"/>
        <w:tblLayout w:type="fixed"/>
        <w:tblCellMar>
          <w:top w:w="0" w:type="dxa"/>
          <w:left w:w="108" w:type="dxa"/>
          <w:bottom w:w="0" w:type="dxa"/>
          <w:right w:w="108" w:type="dxa"/>
        </w:tblCellMar>
      </w:tblPr>
      <w:tblGrid>
        <w:gridCol w:w="3052"/>
        <w:gridCol w:w="3114"/>
        <w:gridCol w:w="2855"/>
      </w:tblGrid>
      <w:tr>
        <w:tblPrEx>
          <w:tblCellMar>
            <w:top w:w="0" w:type="dxa"/>
            <w:left w:w="108" w:type="dxa"/>
            <w:bottom w:w="0" w:type="dxa"/>
            <w:right w:w="108" w:type="dxa"/>
          </w:tblCellMar>
        </w:tblPrEx>
        <w:tc>
          <w:tcPr>
            <w:tcW w:w="6166" w:type="dxa"/>
            <w:gridSpan w:val="2"/>
            <w:tcBorders>
              <w:top w:val="single" w:color="000000" w:sz="18"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do Componente Curricular em português: Leitura Dirigida em História Antiga e Medieval II</w:t>
            </w:r>
          </w:p>
          <w:p>
            <w:pPr>
              <w:spacing w:line="360" w:lineRule="auto"/>
              <w:ind w:left="0" w:hanging="2"/>
              <w:rPr>
                <w:rFonts w:ascii="Times New Roman" w:hAnsi="Times New Roman" w:cs="Times New Roman"/>
              </w:rPr>
            </w:pPr>
            <w:r>
              <w:rPr>
                <w:rFonts w:ascii="Times New Roman" w:hAnsi="Times New Roman" w:eastAsia="Times New Roman" w:cs="Times New Roman"/>
              </w:rPr>
              <w:t>Nome do Componente Curricular em inglês: Directed Reading in Ancient and Medieval History II</w:t>
            </w:r>
          </w:p>
        </w:tc>
        <w:tc>
          <w:tcPr>
            <w:tcW w:w="2855" w:type="dxa"/>
            <w:tcBorders>
              <w:top w:val="single" w:color="000000" w:sz="18"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Código: HIS918</w:t>
            </w:r>
          </w:p>
        </w:tc>
      </w:tr>
      <w:tr>
        <w:tblPrEx>
          <w:tblCellMar>
            <w:top w:w="0" w:type="dxa"/>
            <w:left w:w="108" w:type="dxa"/>
            <w:bottom w:w="0" w:type="dxa"/>
            <w:right w:w="108" w:type="dxa"/>
          </w:tblCellMar>
        </w:tblPrEx>
        <w:trPr>
          <w:trHeight w:val="641" w:hRule="atLeast"/>
        </w:trPr>
        <w:tc>
          <w:tcPr>
            <w:tcW w:w="6166" w:type="dxa"/>
            <w:gridSpan w:val="2"/>
            <w:tcBorders>
              <w:top w:val="single" w:color="000000" w:sz="4"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e sigla do departamento: Departamento de História (DEHIS)</w:t>
            </w:r>
          </w:p>
        </w:tc>
        <w:tc>
          <w:tcPr>
            <w:tcW w:w="2855" w:type="dxa"/>
            <w:tcBorders>
              <w:top w:val="single" w:color="000000" w:sz="4"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Unidade acadêmica: ICHS</w:t>
            </w:r>
          </w:p>
        </w:tc>
      </w:tr>
      <w:tr>
        <w:tblPrEx>
          <w:tblCellMar>
            <w:top w:w="0" w:type="dxa"/>
            <w:left w:w="108" w:type="dxa"/>
            <w:bottom w:w="0" w:type="dxa"/>
            <w:right w:w="108" w:type="dxa"/>
          </w:tblCellMar>
        </w:tblPrEx>
        <w:trPr>
          <w:trHeight w:val="641" w:hRule="atLeast"/>
        </w:trPr>
        <w:tc>
          <w:tcPr>
            <w:tcW w:w="3052" w:type="dxa"/>
            <w:tcBorders>
              <w:top w:val="single" w:color="000000" w:sz="4" w:space="0"/>
              <w:left w:val="single" w:color="000000" w:sz="18" w:space="0"/>
              <w:bottom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Carga horária semestral</w:t>
            </w:r>
          </w:p>
          <w:p>
            <w:pPr>
              <w:spacing w:line="360" w:lineRule="auto"/>
              <w:ind w:left="0" w:hanging="2"/>
              <w:jc w:val="center"/>
              <w:rPr>
                <w:rFonts w:ascii="Times New Roman" w:hAnsi="Times New Roman" w:cs="Times New Roman"/>
              </w:rPr>
            </w:pPr>
            <w:r>
              <w:rPr>
                <w:rFonts w:ascii="Times New Roman" w:hAnsi="Times New Roman" w:eastAsia="Times New Roman" w:cs="Times New Roman"/>
                <w:color w:val="000000"/>
              </w:rPr>
              <w:t>30 horas</w:t>
            </w:r>
          </w:p>
        </w:tc>
        <w:tc>
          <w:tcPr>
            <w:tcW w:w="3114" w:type="dxa"/>
            <w:tcBorders>
              <w:top w:val="single" w:color="000000" w:sz="4" w:space="0"/>
              <w:left w:val="single" w:color="000000" w:sz="4" w:space="0"/>
              <w:bottom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color w:val="000000"/>
              </w:rPr>
              <w:t xml:space="preserve">Carga horária semanal teórica </w:t>
            </w:r>
          </w:p>
          <w:p>
            <w:pPr>
              <w:spacing w:line="360" w:lineRule="auto"/>
              <w:ind w:left="0" w:hanging="2"/>
              <w:jc w:val="center"/>
              <w:rPr>
                <w:rFonts w:ascii="Times New Roman" w:hAnsi="Times New Roman" w:cs="Times New Roman"/>
              </w:rPr>
            </w:pPr>
            <w:r>
              <w:rPr>
                <w:rFonts w:ascii="Times New Roman" w:hAnsi="Times New Roman" w:eastAsia="Times New Roman" w:cs="Times New Roman"/>
                <w:color w:val="000000"/>
              </w:rPr>
              <w:t>02 horas/aula</w:t>
            </w:r>
          </w:p>
        </w:tc>
        <w:tc>
          <w:tcPr>
            <w:tcW w:w="2855" w:type="dxa"/>
            <w:tcBorders>
              <w:top w:val="single" w:color="000000" w:sz="4" w:space="0"/>
              <w:left w:val="single" w:color="000000" w:sz="4" w:space="0"/>
              <w:bottom w:val="single" w:color="000000" w:sz="4" w:space="0"/>
              <w:right w:val="single" w:color="000000" w:sz="18"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color w:val="000000"/>
              </w:rPr>
              <w:t>Carga horária semanal prática</w:t>
            </w:r>
          </w:p>
          <w:p>
            <w:pPr>
              <w:spacing w:line="360" w:lineRule="auto"/>
              <w:ind w:left="0" w:hanging="2"/>
              <w:jc w:val="center"/>
              <w:rPr>
                <w:rFonts w:ascii="Times New Roman" w:hAnsi="Times New Roman" w:cs="Times New Roman"/>
              </w:rPr>
            </w:pPr>
            <w:r>
              <w:rPr>
                <w:rFonts w:ascii="Times New Roman" w:hAnsi="Times New Roman" w:eastAsia="Times New Roman" w:cs="Times New Roman"/>
                <w:color w:val="000000"/>
              </w:rPr>
              <w:t>00 horas/aula</w:t>
            </w:r>
          </w:p>
        </w:tc>
      </w:tr>
      <w:tr>
        <w:tblPrEx>
          <w:tblCellMar>
            <w:top w:w="0" w:type="dxa"/>
            <w:left w:w="108" w:type="dxa"/>
            <w:bottom w:w="0" w:type="dxa"/>
            <w:right w:w="108" w:type="dxa"/>
          </w:tblCellMar>
        </w:tblPrEx>
        <w:tc>
          <w:tcPr>
            <w:tcW w:w="9021"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Ementa: Nacionalismos do Século XIX e seu impacto sobre como pensar a Idade Média no mundo contemporâneo. O conceito de Idade Média para além das fronteiras nacionais europeias. Ampliação de Horizontes e crítica à periodização dita medieval. </w:t>
            </w:r>
          </w:p>
        </w:tc>
      </w:tr>
      <w:tr>
        <w:tblPrEx>
          <w:tblCellMar>
            <w:top w:w="0" w:type="dxa"/>
            <w:left w:w="108" w:type="dxa"/>
            <w:bottom w:w="0" w:type="dxa"/>
            <w:right w:w="108" w:type="dxa"/>
          </w:tblCellMar>
        </w:tblPrEx>
        <w:tc>
          <w:tcPr>
            <w:tcW w:w="9021"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Conteúdo programático: </w:t>
            </w:r>
          </w:p>
          <w:p>
            <w:pPr>
              <w:numPr>
                <w:ilvl w:val="0"/>
                <w:numId w:val="83"/>
              </w:numPr>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 xml:space="preserve"> </w:t>
            </w:r>
            <w:r>
              <w:rPr>
                <w:rFonts w:ascii="Times New Roman" w:hAnsi="Times New Roman" w:eastAsia="Times New Roman" w:cs="Times New Roman"/>
                <w:color w:val="000000"/>
              </w:rPr>
              <w:t>O conceito de Nacionalismo e suas implicações para pensar a Idade Média.</w:t>
            </w:r>
          </w:p>
          <w:p>
            <w:pPr>
              <w:numPr>
                <w:ilvl w:val="0"/>
                <w:numId w:val="83"/>
              </w:numP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Pensar uma Idade Média sem o peso das fronteiras nacionais europeias?</w:t>
            </w:r>
          </w:p>
          <w:p>
            <w:pPr>
              <w:numPr>
                <w:ilvl w:val="0"/>
                <w:numId w:val="83"/>
              </w:numP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Repensando o lugar da Idade Média no mundo contemporâneo globalizado.</w:t>
            </w:r>
          </w:p>
        </w:tc>
      </w:tr>
      <w:tr>
        <w:tblPrEx>
          <w:tblCellMar>
            <w:top w:w="0" w:type="dxa"/>
            <w:left w:w="108" w:type="dxa"/>
            <w:bottom w:w="0" w:type="dxa"/>
            <w:right w:w="108" w:type="dxa"/>
          </w:tblCellMar>
        </w:tblPrEx>
        <w:tc>
          <w:tcPr>
            <w:tcW w:w="9021"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Bibliografia básica: </w:t>
            </w:r>
          </w:p>
          <w:p>
            <w:pPr>
              <w:spacing w:line="360" w:lineRule="auto"/>
              <w:ind w:left="0" w:hanging="2"/>
              <w:rPr>
                <w:rFonts w:ascii="Times New Roman" w:hAnsi="Times New Roman" w:cs="Times New Roman"/>
              </w:rPr>
            </w:pPr>
            <w:r>
              <w:rPr>
                <w:rFonts w:ascii="Times New Roman" w:hAnsi="Times New Roman" w:eastAsia="Times New Roman" w:cs="Times New Roman"/>
              </w:rPr>
              <w:t>ANDERSON, Benedict R. O'G. </w:t>
            </w:r>
            <w:r>
              <w:rPr>
                <w:rFonts w:ascii="Times New Roman" w:hAnsi="Times New Roman" w:eastAsia="Times New Roman" w:cs="Times New Roman"/>
                <w:b/>
              </w:rPr>
              <w:t>Comunidades Imaginadas: </w:t>
            </w:r>
            <w:r>
              <w:rPr>
                <w:rFonts w:ascii="Times New Roman" w:hAnsi="Times New Roman" w:eastAsia="Times New Roman" w:cs="Times New Roman"/>
              </w:rPr>
              <w:t>reflexões sobre a origem e a difusão do nacionalismo. São Paulo: Companhia das Letras 2008.</w:t>
            </w:r>
          </w:p>
          <w:p>
            <w:pP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rPr>
              <w:t xml:space="preserve">GEARY, Patrick. </w:t>
            </w:r>
            <w:r>
              <w:rPr>
                <w:rFonts w:ascii="Times New Roman" w:hAnsi="Times New Roman" w:eastAsia="Times New Roman" w:cs="Times New Roman"/>
                <w:u w:val="single"/>
              </w:rPr>
              <w:t>A Europa das Nações ou a Nação Europa: Mitos de Origem Passados e Presentes</w:t>
            </w:r>
            <w:r>
              <w:rPr>
                <w:rFonts w:ascii="Times New Roman" w:hAnsi="Times New Roman" w:eastAsia="Times New Roman" w:cs="Times New Roman"/>
              </w:rPr>
              <w:t xml:space="preserve">. In: </w:t>
            </w:r>
            <w:r>
              <w:rPr>
                <w:rFonts w:ascii="Times New Roman" w:hAnsi="Times New Roman" w:eastAsia="Times New Roman" w:cs="Times New Roman"/>
                <w:b/>
              </w:rPr>
              <w:t>Revista Lusófona de Estudos Culturais</w:t>
            </w:r>
            <w:r>
              <w:rPr>
                <w:rFonts w:ascii="Times New Roman" w:hAnsi="Times New Roman" w:eastAsia="Times New Roman" w:cs="Times New Roman"/>
              </w:rPr>
              <w:t>. Vol. 1, n</w:t>
            </w:r>
            <w:r>
              <w:rPr>
                <w:rFonts w:ascii="Times New Roman" w:hAnsi="Times New Roman" w:eastAsia="Times New Roman" w:cs="Times New Roman"/>
                <w:vertAlign w:val="superscript"/>
              </w:rPr>
              <w:t>o</w:t>
            </w:r>
            <w:r>
              <w:rPr>
                <w:rFonts w:ascii="Times New Roman" w:hAnsi="Times New Roman" w:eastAsia="Times New Roman" w:cs="Times New Roman"/>
              </w:rPr>
              <w:t xml:space="preserve">.1, 2013, p. 21-35. Disponível em: </w:t>
            </w:r>
            <w:r>
              <w:fldChar w:fldCharType="begin"/>
            </w:r>
            <w:r>
              <w:instrText xml:space="preserve"> HYPERLINK "http://www.rlec.pt/index.php/rlec/article/view/5/5" \h </w:instrText>
            </w:r>
            <w:r>
              <w:fldChar w:fldCharType="separate"/>
            </w:r>
            <w:r>
              <w:rPr>
                <w:rFonts w:ascii="Times New Roman" w:hAnsi="Times New Roman" w:eastAsia="Times New Roman" w:cs="Times New Roman"/>
                <w:color w:val="0000FF"/>
                <w:u w:val="single"/>
              </w:rPr>
              <w:t>http://www.rlec.pt/index.php/rlec/article/view/5/5</w:t>
            </w:r>
            <w:r>
              <w:rPr>
                <w:rFonts w:ascii="Times New Roman" w:hAnsi="Times New Roman" w:eastAsia="Times New Roman" w:cs="Times New Roman"/>
                <w:color w:val="0000FF"/>
                <w:u w:val="single"/>
              </w:rPr>
              <w:fldChar w:fldCharType="end"/>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HOBSBAWM, E. J; RANGER, T. O. </w:t>
            </w:r>
            <w:r>
              <w:rPr>
                <w:rFonts w:ascii="Times New Roman" w:hAnsi="Times New Roman" w:eastAsia="Times New Roman" w:cs="Times New Roman"/>
                <w:b/>
                <w:color w:val="000000"/>
              </w:rPr>
              <w:t>A invenção das Tradições</w:t>
            </w:r>
            <w:r>
              <w:rPr>
                <w:rFonts w:ascii="Times New Roman" w:hAnsi="Times New Roman" w:eastAsia="Times New Roman" w:cs="Times New Roman"/>
                <w:color w:val="000000"/>
              </w:rPr>
              <w:t>.</w:t>
            </w:r>
            <w:r>
              <w:rPr>
                <w:rFonts w:ascii="Times New Roman" w:hAnsi="Times New Roman" w:eastAsia="Times New Roman" w:cs="Times New Roman"/>
                <w:b/>
                <w:color w:val="000000"/>
              </w:rPr>
              <w:t> </w:t>
            </w:r>
            <w:r>
              <w:rPr>
                <w:rFonts w:ascii="Times New Roman" w:hAnsi="Times New Roman" w:eastAsia="Times New Roman" w:cs="Times New Roman"/>
                <w:color w:val="000000"/>
              </w:rPr>
              <w:t>7</w:t>
            </w:r>
            <w:r>
              <w:rPr>
                <w:rFonts w:ascii="Times New Roman" w:hAnsi="Times New Roman" w:eastAsia="Times New Roman" w:cs="Times New Roman"/>
                <w:color w:val="000000"/>
                <w:vertAlign w:val="superscript"/>
              </w:rPr>
              <w:t>a</w:t>
            </w:r>
            <w:r>
              <w:rPr>
                <w:rFonts w:ascii="Times New Roman" w:hAnsi="Times New Roman" w:eastAsia="Times New Roman" w:cs="Times New Roman"/>
                <w:color w:val="000000"/>
              </w:rPr>
              <w:t>. reimpr. São Paulo: Paz e Terra, 2012.</w:t>
            </w:r>
          </w:p>
        </w:tc>
      </w:tr>
      <w:tr>
        <w:tblPrEx>
          <w:tblCellMar>
            <w:top w:w="0" w:type="dxa"/>
            <w:left w:w="108" w:type="dxa"/>
            <w:bottom w:w="0" w:type="dxa"/>
            <w:right w:w="108" w:type="dxa"/>
          </w:tblCellMar>
        </w:tblPrEx>
        <w:tc>
          <w:tcPr>
            <w:tcW w:w="9021"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Bibliografia complementar: </w:t>
            </w:r>
          </w:p>
          <w:p>
            <w:pPr>
              <w:spacing w:line="360" w:lineRule="auto"/>
              <w:ind w:left="0" w:hanging="2"/>
              <w:rPr>
                <w:rFonts w:ascii="Times New Roman" w:hAnsi="Times New Roman" w:cs="Times New Roman"/>
              </w:rPr>
            </w:pPr>
            <w:r>
              <w:rPr>
                <w:rFonts w:ascii="Times New Roman" w:hAnsi="Times New Roman" w:eastAsia="Times New Roman" w:cs="Times New Roman"/>
              </w:rPr>
              <w:t>ABULAFIA, David; BEREND, Nora. </w:t>
            </w:r>
            <w:r>
              <w:rPr>
                <w:rFonts w:ascii="Times New Roman" w:hAnsi="Times New Roman" w:eastAsia="Times New Roman" w:cs="Times New Roman"/>
                <w:b/>
              </w:rPr>
              <w:t>Medieval Frontiers: </w:t>
            </w:r>
            <w:r>
              <w:rPr>
                <w:rFonts w:ascii="Times New Roman" w:hAnsi="Times New Roman" w:eastAsia="Times New Roman" w:cs="Times New Roman"/>
              </w:rPr>
              <w:t>concepts and practices. Aldershot: Burlington: Ashgate, c2002.</w:t>
            </w:r>
          </w:p>
          <w:p>
            <w:pPr>
              <w:spacing w:line="360" w:lineRule="auto"/>
              <w:ind w:left="0" w:hanging="2"/>
              <w:rPr>
                <w:rFonts w:ascii="Times New Roman" w:hAnsi="Times New Roman" w:cs="Times New Roman"/>
              </w:rPr>
            </w:pPr>
            <w:r>
              <w:rPr>
                <w:rFonts w:ascii="Times New Roman" w:hAnsi="Times New Roman" w:eastAsia="Times New Roman" w:cs="Times New Roman"/>
              </w:rPr>
              <w:t>LE GOFF, Jacques (org.); SCHMITT, Jean-Claude (org.). </w:t>
            </w:r>
            <w:r>
              <w:rPr>
                <w:rFonts w:ascii="Times New Roman" w:hAnsi="Times New Roman" w:eastAsia="Times New Roman" w:cs="Times New Roman"/>
                <w:b/>
              </w:rPr>
              <w:t>Dicionário Temático do Ocidente Medieval</w:t>
            </w:r>
            <w:r>
              <w:rPr>
                <w:rFonts w:ascii="Times New Roman" w:hAnsi="Times New Roman" w:eastAsia="Times New Roman" w:cs="Times New Roman"/>
              </w:rPr>
              <w:t>. Bauru, SP: São Paulo: EDUSC, Imprensa Oficial do Estado, 2006.</w:t>
            </w:r>
          </w:p>
          <w:p>
            <w:pPr>
              <w:spacing w:line="360" w:lineRule="auto"/>
              <w:ind w:left="0" w:hanging="2"/>
              <w:rPr>
                <w:rFonts w:ascii="Times New Roman" w:hAnsi="Times New Roman" w:cs="Times New Roman"/>
              </w:rPr>
            </w:pPr>
            <w:r>
              <w:rPr>
                <w:rFonts w:ascii="Times New Roman" w:hAnsi="Times New Roman" w:eastAsia="Times New Roman" w:cs="Times New Roman"/>
              </w:rPr>
              <w:t>MCKITTERICK, Rosamond; REUTER, Timothy; LUSCOMBRE, David; RILEY-SMITH, Jonathan; ABULAFIA, David; JONES, Michael; ALLMAND, Christopher. </w:t>
            </w:r>
            <w:r>
              <w:rPr>
                <w:rFonts w:ascii="Times New Roman" w:hAnsi="Times New Roman" w:eastAsia="Times New Roman" w:cs="Times New Roman"/>
                <w:b/>
              </w:rPr>
              <w:t>The New Cambridge Medieval History</w:t>
            </w:r>
            <w:r>
              <w:rPr>
                <w:rFonts w:ascii="Times New Roman" w:hAnsi="Times New Roman" w:eastAsia="Times New Roman" w:cs="Times New Roman"/>
              </w:rPr>
              <w:t>. Cambridge: Cambridge University Press 1995-2005. </w:t>
            </w:r>
          </w:p>
          <w:p>
            <w:pPr>
              <w:spacing w:line="360" w:lineRule="auto"/>
              <w:ind w:left="0" w:hanging="2"/>
              <w:rPr>
                <w:rFonts w:ascii="Times New Roman" w:hAnsi="Times New Roman" w:cs="Times New Roman"/>
              </w:rPr>
            </w:pPr>
            <w:r>
              <w:rPr>
                <w:rFonts w:ascii="Times New Roman" w:hAnsi="Times New Roman" w:eastAsia="Times New Roman" w:cs="Times New Roman"/>
              </w:rPr>
              <w:t>ROSENWEIN, Barbara H. </w:t>
            </w:r>
            <w:r>
              <w:rPr>
                <w:rFonts w:ascii="Times New Roman" w:hAnsi="Times New Roman" w:eastAsia="Times New Roman" w:cs="Times New Roman"/>
                <w:b/>
              </w:rPr>
              <w:t>Debating the Middle Ages: </w:t>
            </w:r>
            <w:r>
              <w:rPr>
                <w:rFonts w:ascii="Times New Roman" w:hAnsi="Times New Roman" w:eastAsia="Times New Roman" w:cs="Times New Roman"/>
              </w:rPr>
              <w:t>issues and readings. Malden, Ma.: Blackwell Publishers, 1998.</w:t>
            </w:r>
          </w:p>
          <w:p>
            <w:pPr>
              <w:spacing w:line="360" w:lineRule="auto"/>
              <w:ind w:left="0" w:hanging="2"/>
              <w:rPr>
                <w:rFonts w:ascii="Times New Roman" w:hAnsi="Times New Roman" w:cs="Times New Roman"/>
              </w:rPr>
            </w:pPr>
            <w:r>
              <w:rPr>
                <w:rFonts w:ascii="Times New Roman" w:hAnsi="Times New Roman" w:eastAsia="Times New Roman" w:cs="Times New Roman"/>
              </w:rPr>
              <w:t>SAID, Edward W. </w:t>
            </w:r>
            <w:r>
              <w:rPr>
                <w:rFonts w:ascii="Times New Roman" w:hAnsi="Times New Roman" w:eastAsia="Times New Roman" w:cs="Times New Roman"/>
                <w:b/>
              </w:rPr>
              <w:t>Orientalismo: </w:t>
            </w:r>
            <w:r>
              <w:rPr>
                <w:rFonts w:ascii="Times New Roman" w:hAnsi="Times New Roman" w:eastAsia="Times New Roman" w:cs="Times New Roman"/>
              </w:rPr>
              <w:t>o Oriente como invenção do Ocidente. São Paulo: Companhia de Bolso, 2007.</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589"/>
        <w:tblW w:w="8977" w:type="dxa"/>
        <w:tblInd w:w="0" w:type="dxa"/>
        <w:tblLayout w:type="fixed"/>
        <w:tblCellMar>
          <w:top w:w="0" w:type="dxa"/>
          <w:left w:w="108" w:type="dxa"/>
          <w:bottom w:w="0" w:type="dxa"/>
          <w:right w:w="108" w:type="dxa"/>
        </w:tblCellMar>
      </w:tblPr>
      <w:tblGrid>
        <w:gridCol w:w="2496"/>
        <w:gridCol w:w="3119"/>
        <w:gridCol w:w="284"/>
        <w:gridCol w:w="3078"/>
      </w:tblGrid>
      <w:tr>
        <w:tblPrEx>
          <w:tblCellMar>
            <w:top w:w="0" w:type="dxa"/>
            <w:left w:w="108" w:type="dxa"/>
            <w:bottom w:w="0" w:type="dxa"/>
            <w:right w:w="108" w:type="dxa"/>
          </w:tblCellMar>
        </w:tblPrEx>
        <w:tc>
          <w:tcPr>
            <w:tcW w:w="5899" w:type="dxa"/>
            <w:gridSpan w:val="3"/>
            <w:tcBorders>
              <w:top w:val="single" w:color="000000" w:sz="18" w:space="0"/>
              <w:left w:val="single" w:color="000000" w:sz="18"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Nome do Componente Curricular em português: Leitura Dirigida em História Antiga e Medieval III</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Nome do Componente Curricular em inglês: Directed Reading in Ancient and Medieval History III</w:t>
            </w:r>
          </w:p>
        </w:tc>
        <w:tc>
          <w:tcPr>
            <w:tcW w:w="3078" w:type="dxa"/>
            <w:tcBorders>
              <w:top w:val="single" w:color="000000" w:sz="18" w:space="0"/>
              <w:left w:val="single" w:color="000000" w:sz="4"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Código: HIS919</w:t>
            </w:r>
          </w:p>
        </w:tc>
      </w:tr>
      <w:tr>
        <w:tblPrEx>
          <w:tblCellMar>
            <w:top w:w="0" w:type="dxa"/>
            <w:left w:w="108" w:type="dxa"/>
            <w:bottom w:w="0" w:type="dxa"/>
            <w:right w:w="108" w:type="dxa"/>
          </w:tblCellMar>
        </w:tblPrEx>
        <w:trPr>
          <w:trHeight w:val="641" w:hRule="atLeast"/>
        </w:trPr>
        <w:tc>
          <w:tcPr>
            <w:tcW w:w="5899" w:type="dxa"/>
            <w:gridSpan w:val="3"/>
            <w:tcBorders>
              <w:top w:val="single" w:color="000000" w:sz="4" w:space="0"/>
              <w:left w:val="single" w:color="000000" w:sz="18"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Nome e sigla do departamento: Departamento de História (DEHIS)</w:t>
            </w:r>
          </w:p>
        </w:tc>
        <w:tc>
          <w:tcPr>
            <w:tcW w:w="3078" w:type="dxa"/>
            <w:tcBorders>
              <w:top w:val="single" w:color="000000" w:sz="4" w:space="0"/>
              <w:left w:val="single" w:color="000000" w:sz="4"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Unidade acadêmica: ICHS</w:t>
            </w:r>
          </w:p>
        </w:tc>
      </w:tr>
      <w:tr>
        <w:tblPrEx>
          <w:tblCellMar>
            <w:top w:w="0" w:type="dxa"/>
            <w:left w:w="108" w:type="dxa"/>
            <w:bottom w:w="0" w:type="dxa"/>
            <w:right w:w="108" w:type="dxa"/>
          </w:tblCellMar>
        </w:tblPrEx>
        <w:trPr>
          <w:trHeight w:val="641" w:hRule="atLeast"/>
        </w:trPr>
        <w:tc>
          <w:tcPr>
            <w:tcW w:w="2496" w:type="dxa"/>
            <w:tcBorders>
              <w:top w:val="single" w:color="000000" w:sz="4" w:space="0"/>
              <w:left w:val="single" w:color="000000" w:sz="18"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Carga horária semestral</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30 horas</w:t>
            </w:r>
          </w:p>
        </w:tc>
        <w:tc>
          <w:tcPr>
            <w:tcW w:w="3119"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 xml:space="preserve">Carga horária semanal teórica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02 horas/aula</w:t>
            </w:r>
          </w:p>
        </w:tc>
        <w:tc>
          <w:tcPr>
            <w:tcW w:w="3362" w:type="dxa"/>
            <w:gridSpan w:val="2"/>
            <w:tcBorders>
              <w:top w:val="single" w:color="000000" w:sz="4" w:space="0"/>
              <w:left w:val="single" w:color="000000" w:sz="4"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Carga horária semanal prática</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00 horas/aula</w:t>
            </w:r>
          </w:p>
        </w:tc>
      </w:tr>
      <w:tr>
        <w:tblPrEx>
          <w:tblCellMar>
            <w:top w:w="0" w:type="dxa"/>
            <w:left w:w="108" w:type="dxa"/>
            <w:bottom w:w="0" w:type="dxa"/>
            <w:right w:w="108" w:type="dxa"/>
          </w:tblCellMar>
        </w:tblPrEx>
        <w:tc>
          <w:tcPr>
            <w:tcW w:w="8977" w:type="dxa"/>
            <w:gridSpan w:val="4"/>
            <w:tcBorders>
              <w:top w:val="single" w:color="000000" w:sz="4" w:space="0"/>
              <w:left w:val="single" w:color="000000" w:sz="18"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 xml:space="preserve">Ementa: Introdução ao Latim Medieval. Declinações de substantivos e conjugações verbais. Expressões da Escrita do Latim na Idade Média. Considerações sobre Paleografia e Codicologia Medievais.  </w:t>
            </w:r>
          </w:p>
        </w:tc>
      </w:tr>
      <w:tr>
        <w:tblPrEx>
          <w:tblCellMar>
            <w:top w:w="0" w:type="dxa"/>
            <w:left w:w="108" w:type="dxa"/>
            <w:bottom w:w="0" w:type="dxa"/>
            <w:right w:w="108" w:type="dxa"/>
          </w:tblCellMar>
        </w:tblPrEx>
        <w:tc>
          <w:tcPr>
            <w:tcW w:w="8977" w:type="dxa"/>
            <w:gridSpan w:val="4"/>
            <w:tcBorders>
              <w:top w:val="single" w:color="000000" w:sz="4" w:space="0"/>
              <w:left w:val="single" w:color="000000" w:sz="18"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 xml:space="preserve">Conteúdo programático: </w:t>
            </w:r>
          </w:p>
          <w:p>
            <w:pPr>
              <w:numPr>
                <w:ilvl w:val="0"/>
                <w:numId w:val="84"/>
              </w:numPr>
              <w:pBdr>
                <w:top w:val="none" w:color="auto" w:sz="0" w:space="0"/>
                <w:left w:val="none" w:color="auto" w:sz="0" w:space="0"/>
                <w:bottom w:val="none" w:color="auto" w:sz="0" w:space="0"/>
                <w:right w:val="none" w:color="auto" w:sz="0" w:space="0"/>
                <w:between w:val="none" w:color="auto" w:sz="0" w:space="0"/>
              </w:pBdr>
              <w:tabs>
                <w:tab w:val="left" w:pos="0"/>
              </w:tabs>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 Gramática Latina.</w:t>
            </w:r>
          </w:p>
          <w:p>
            <w:pPr>
              <w:numPr>
                <w:ilvl w:val="0"/>
                <w:numId w:val="84"/>
              </w:numPr>
              <w:pBdr>
                <w:top w:val="none" w:color="auto" w:sz="0" w:space="0"/>
                <w:left w:val="none" w:color="auto" w:sz="0" w:space="0"/>
                <w:bottom w:val="none" w:color="auto" w:sz="0" w:space="0"/>
                <w:right w:val="none" w:color="auto" w:sz="0" w:space="0"/>
                <w:between w:val="none" w:color="auto" w:sz="0" w:space="0"/>
              </w:pBdr>
              <w:tabs>
                <w:tab w:val="left" w:pos="0"/>
              </w:tabs>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O Latim Medieval e suas especificidades.</w:t>
            </w:r>
          </w:p>
          <w:p>
            <w:pPr>
              <w:numPr>
                <w:ilvl w:val="0"/>
                <w:numId w:val="84"/>
              </w:numPr>
              <w:pBdr>
                <w:top w:val="none" w:color="auto" w:sz="0" w:space="0"/>
                <w:left w:val="none" w:color="auto" w:sz="0" w:space="0"/>
                <w:bottom w:val="none" w:color="auto" w:sz="0" w:space="0"/>
                <w:right w:val="none" w:color="auto" w:sz="0" w:space="0"/>
                <w:between w:val="none" w:color="auto" w:sz="0" w:space="0"/>
              </w:pBdr>
              <w:tabs>
                <w:tab w:val="left" w:pos="0"/>
              </w:tabs>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Modalidades de recurso à escrita no mundo Latino durante a Idade Média.</w:t>
            </w:r>
          </w:p>
          <w:p>
            <w:pPr>
              <w:numPr>
                <w:ilvl w:val="0"/>
                <w:numId w:val="84"/>
              </w:numPr>
              <w:pBdr>
                <w:top w:val="none" w:color="auto" w:sz="0" w:space="0"/>
                <w:left w:val="none" w:color="auto" w:sz="0" w:space="0"/>
                <w:bottom w:val="none" w:color="auto" w:sz="0" w:space="0"/>
                <w:right w:val="none" w:color="auto" w:sz="0" w:space="0"/>
                <w:between w:val="none" w:color="auto" w:sz="0" w:space="0"/>
              </w:pBdr>
              <w:tabs>
                <w:tab w:val="left" w:pos="0"/>
              </w:tabs>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O exemplo da Escritura Pragmática Medieval.</w:t>
            </w:r>
          </w:p>
        </w:tc>
      </w:tr>
      <w:tr>
        <w:tblPrEx>
          <w:tblCellMar>
            <w:top w:w="0" w:type="dxa"/>
            <w:left w:w="108" w:type="dxa"/>
            <w:bottom w:w="0" w:type="dxa"/>
            <w:right w:w="108" w:type="dxa"/>
          </w:tblCellMar>
        </w:tblPrEx>
        <w:tc>
          <w:tcPr>
            <w:tcW w:w="8977" w:type="dxa"/>
            <w:gridSpan w:val="4"/>
            <w:tcBorders>
              <w:top w:val="single" w:color="000000" w:sz="4" w:space="0"/>
              <w:left w:val="single" w:color="000000" w:sz="18"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 xml:space="preserve">Bibliografia básica: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EMILIANO, António Henrique de Albuquerque. </w:t>
            </w:r>
            <w:r>
              <w:rPr>
                <w:rFonts w:ascii="Times New Roman" w:hAnsi="Times New Roman" w:eastAsia="Times New Roman" w:cs="Times New Roman"/>
                <w:b/>
                <w:color w:val="000000"/>
              </w:rPr>
              <w:t>Latim e Romance na Segunda Metade do Século XI: </w:t>
            </w:r>
            <w:r>
              <w:rPr>
                <w:rFonts w:ascii="Times New Roman" w:hAnsi="Times New Roman" w:eastAsia="Times New Roman" w:cs="Times New Roman"/>
                <w:color w:val="000000"/>
              </w:rPr>
              <w:t xml:space="preserve">análise scripto-linguística de documentos notariais do </w:t>
            </w:r>
            <w:r>
              <w:rPr>
                <w:rFonts w:ascii="Times New Roman" w:hAnsi="Times New Roman" w:eastAsia="Times New Roman" w:cs="Times New Roman"/>
                <w:i/>
                <w:color w:val="000000"/>
              </w:rPr>
              <w:t>Liber Fidei</w:t>
            </w:r>
            <w:r>
              <w:rPr>
                <w:rFonts w:ascii="Times New Roman" w:hAnsi="Times New Roman" w:eastAsia="Times New Roman" w:cs="Times New Roman"/>
                <w:color w:val="000000"/>
              </w:rPr>
              <w:t xml:space="preserve"> de Braga de 1050 a 1110. Lisboa: Fundação Calouste Gulbenkian / Fundação para a Ciência e a Tecnologia, Ministério da Ciência e do Ensino Superior, 2003.</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GARCIA, Janete Melasso; CASTRO, Jane A. R. Ottoni de. </w:t>
            </w:r>
            <w:r>
              <w:rPr>
                <w:rFonts w:ascii="Times New Roman" w:hAnsi="Times New Roman" w:eastAsia="Times New Roman" w:cs="Times New Roman"/>
                <w:b/>
                <w:color w:val="000000"/>
              </w:rPr>
              <w:t>Dicionário gramatical de latim: </w:t>
            </w:r>
            <w:r>
              <w:rPr>
                <w:rFonts w:ascii="Times New Roman" w:hAnsi="Times New Roman" w:eastAsia="Times New Roman" w:cs="Times New Roman"/>
                <w:color w:val="000000"/>
              </w:rPr>
              <w:t>(nível básico). Brasília: Ed. UNB Plano 2003.</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REZENDE, Antonio Martinez de. </w:t>
            </w:r>
            <w:r>
              <w:rPr>
                <w:rFonts w:ascii="Times New Roman" w:hAnsi="Times New Roman" w:eastAsia="Times New Roman" w:cs="Times New Roman"/>
                <w:b/>
                <w:color w:val="000000"/>
              </w:rPr>
              <w:t>Latina Essentia: </w:t>
            </w:r>
            <w:r>
              <w:rPr>
                <w:rFonts w:ascii="Times New Roman" w:hAnsi="Times New Roman" w:eastAsia="Times New Roman" w:cs="Times New Roman"/>
                <w:color w:val="000000"/>
              </w:rPr>
              <w:t>preparação ao latim. 2</w:t>
            </w:r>
            <w:r>
              <w:rPr>
                <w:rFonts w:ascii="Times New Roman" w:hAnsi="Times New Roman" w:eastAsia="Times New Roman" w:cs="Times New Roman"/>
                <w:color w:val="000000"/>
                <w:vertAlign w:val="superscript"/>
              </w:rPr>
              <w:t>a</w:t>
            </w:r>
            <w:r>
              <w:rPr>
                <w:rFonts w:ascii="Times New Roman" w:hAnsi="Times New Roman" w:eastAsia="Times New Roman" w:cs="Times New Roman"/>
                <w:color w:val="000000"/>
              </w:rPr>
              <w:t>. ed. rev. Belo Horizonte (MG): UFMG, 1996.</w:t>
            </w:r>
          </w:p>
        </w:tc>
      </w:tr>
      <w:tr>
        <w:tblPrEx>
          <w:tblCellMar>
            <w:top w:w="0" w:type="dxa"/>
            <w:left w:w="108" w:type="dxa"/>
            <w:bottom w:w="0" w:type="dxa"/>
            <w:right w:w="108" w:type="dxa"/>
          </w:tblCellMar>
        </w:tblPrEx>
        <w:tc>
          <w:tcPr>
            <w:tcW w:w="8977" w:type="dxa"/>
            <w:gridSpan w:val="4"/>
            <w:tcBorders>
              <w:top w:val="single" w:color="000000" w:sz="4" w:space="0"/>
              <w:left w:val="single" w:color="000000" w:sz="18"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 xml:space="preserve">Bibliografia complementar: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 xml:space="preserve">CHASTANG, Pierre. </w:t>
            </w:r>
            <w:r>
              <w:rPr>
                <w:rFonts w:ascii="Times New Roman" w:hAnsi="Times New Roman" w:eastAsia="Times New Roman" w:cs="Times New Roman"/>
                <w:color w:val="000000"/>
                <w:u w:val="single"/>
              </w:rPr>
              <w:t>Cartulaires, Cartularisation et Scripturalité Médiévale: la structuration d’un nouveau champ de recherche</w:t>
            </w:r>
            <w:r>
              <w:rPr>
                <w:rFonts w:ascii="Times New Roman" w:hAnsi="Times New Roman" w:eastAsia="Times New Roman" w:cs="Times New Roman"/>
                <w:color w:val="000000"/>
              </w:rPr>
              <w:t xml:space="preserve">. In: </w:t>
            </w:r>
            <w:r>
              <w:rPr>
                <w:rFonts w:ascii="Times New Roman" w:hAnsi="Times New Roman" w:eastAsia="Times New Roman" w:cs="Times New Roman"/>
                <w:b/>
                <w:color w:val="000000"/>
              </w:rPr>
              <w:t>Cahiers de Civilisation Médiévale</w:t>
            </w:r>
            <w:r>
              <w:rPr>
                <w:rFonts w:ascii="Times New Roman" w:hAnsi="Times New Roman" w:eastAsia="Times New Roman" w:cs="Times New Roman"/>
                <w:color w:val="000000"/>
              </w:rPr>
              <w:t>. n</w:t>
            </w:r>
            <w:r>
              <w:rPr>
                <w:rFonts w:ascii="Times New Roman" w:hAnsi="Times New Roman" w:eastAsia="Times New Roman" w:cs="Times New Roman"/>
                <w:color w:val="000000"/>
                <w:vertAlign w:val="superscript"/>
              </w:rPr>
              <w:t>o</w:t>
            </w:r>
            <w:r>
              <w:rPr>
                <w:rFonts w:ascii="Times New Roman" w:hAnsi="Times New Roman" w:eastAsia="Times New Roman" w:cs="Times New Roman"/>
                <w:color w:val="000000"/>
              </w:rPr>
              <w:t xml:space="preserve">. 49, 2006, p. 21-32. Disponível em :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fldChar w:fldCharType="begin"/>
            </w:r>
            <w:r>
              <w:instrText xml:space="preserve"> HYPERLINK "https://www.persee.fr/doc/ccmed_0007-9731_2006_num_49_193_2928" \h </w:instrText>
            </w:r>
            <w:r>
              <w:fldChar w:fldCharType="separate"/>
            </w:r>
            <w:r>
              <w:rPr>
                <w:rFonts w:ascii="Times New Roman" w:hAnsi="Times New Roman" w:eastAsia="Times New Roman" w:cs="Times New Roman"/>
                <w:color w:val="0000FF"/>
                <w:u w:val="single"/>
              </w:rPr>
              <w:t>https://www.persee.fr/doc/ccmed_0007-9731_2006_num_49_193_2928</w:t>
            </w:r>
            <w:r>
              <w:rPr>
                <w:rFonts w:ascii="Times New Roman" w:hAnsi="Times New Roman" w:eastAsia="Times New Roman" w:cs="Times New Roman"/>
                <w:color w:val="0000FF"/>
                <w:u w:val="single"/>
              </w:rPr>
              <w:fldChar w:fldCharType="end"/>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 xml:space="preserve">CURTIUS, Ernst Robert. </w:t>
            </w:r>
            <w:r>
              <w:rPr>
                <w:rFonts w:ascii="Times New Roman" w:hAnsi="Times New Roman" w:eastAsia="Times New Roman" w:cs="Times New Roman"/>
                <w:b/>
                <w:color w:val="000000"/>
              </w:rPr>
              <w:t xml:space="preserve">Literatura Europeia e Idade Média Latina. </w:t>
            </w:r>
            <w:r>
              <w:rPr>
                <w:rFonts w:ascii="Times New Roman" w:hAnsi="Times New Roman" w:eastAsia="Times New Roman" w:cs="Times New Roman"/>
                <w:color w:val="000000"/>
              </w:rPr>
              <w:t>São Paulo: Hucitec/EDUSP, 1996.</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 xml:space="preserve">MORSEL, Joseph. </w:t>
            </w:r>
            <w:r>
              <w:rPr>
                <w:rFonts w:ascii="Times New Roman" w:hAnsi="Times New Roman" w:eastAsia="Times New Roman" w:cs="Times New Roman"/>
                <w:color w:val="000000"/>
                <w:u w:val="single"/>
              </w:rPr>
              <w:t>Ce qu’écrire veu dire au Moyen Âge... Observations préliminaires à étude de la scripturalité médiévale</w:t>
            </w:r>
            <w:r>
              <w:rPr>
                <w:rFonts w:ascii="Times New Roman" w:hAnsi="Times New Roman" w:eastAsia="Times New Roman" w:cs="Times New Roman"/>
                <w:color w:val="000000"/>
              </w:rPr>
              <w:t xml:space="preserve">. In: </w:t>
            </w:r>
            <w:r>
              <w:rPr>
                <w:rFonts w:ascii="Times New Roman" w:hAnsi="Times New Roman" w:eastAsia="Times New Roman" w:cs="Times New Roman"/>
                <w:b/>
                <w:color w:val="000000"/>
              </w:rPr>
              <w:t>Memini</w:t>
            </w:r>
            <w:r>
              <w:rPr>
                <w:rFonts w:ascii="Times New Roman" w:hAnsi="Times New Roman" w:eastAsia="Times New Roman" w:cs="Times New Roman"/>
                <w:color w:val="000000"/>
              </w:rPr>
              <w:t>. Travaux et documents de la Société des études médiévales du Québec, n</w:t>
            </w:r>
            <w:r>
              <w:rPr>
                <w:rFonts w:ascii="Times New Roman" w:hAnsi="Times New Roman" w:eastAsia="Times New Roman" w:cs="Times New Roman"/>
                <w:color w:val="000000"/>
                <w:vertAlign w:val="superscript"/>
              </w:rPr>
              <w:t>o</w:t>
            </w:r>
            <w:r>
              <w:rPr>
                <w:rFonts w:ascii="Times New Roman" w:hAnsi="Times New Roman" w:eastAsia="Times New Roman" w:cs="Times New Roman"/>
                <w:color w:val="000000"/>
              </w:rPr>
              <w:t>. 4, 2000, p. 3-43. Disponível em:</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fldChar w:fldCharType="begin"/>
            </w:r>
            <w:r>
              <w:instrText xml:space="preserve"> HYPERLINK "https://halshs.archives-ouvertes.fr/halshs-00291802/document" \h </w:instrText>
            </w:r>
            <w:r>
              <w:fldChar w:fldCharType="separate"/>
            </w:r>
            <w:r>
              <w:rPr>
                <w:rFonts w:ascii="Times New Roman" w:hAnsi="Times New Roman" w:eastAsia="Times New Roman" w:cs="Times New Roman"/>
                <w:color w:val="0000FF"/>
                <w:u w:val="single"/>
              </w:rPr>
              <w:t>https://halshs.archives-ouvertes.fr/halshs-00291802/document</w:t>
            </w:r>
            <w:r>
              <w:rPr>
                <w:rFonts w:ascii="Times New Roman" w:hAnsi="Times New Roman" w:eastAsia="Times New Roman" w:cs="Times New Roman"/>
                <w:color w:val="0000FF"/>
                <w:u w:val="single"/>
              </w:rPr>
              <w:fldChar w:fldCharType="end"/>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 xml:space="preserve">_______________. </w:t>
            </w:r>
            <w:r>
              <w:rPr>
                <w:rFonts w:ascii="Times New Roman" w:hAnsi="Times New Roman" w:eastAsia="Times New Roman" w:cs="Times New Roman"/>
                <w:color w:val="000000"/>
                <w:u w:val="single"/>
              </w:rPr>
              <w:t xml:space="preserve">Les sources sont-elles « le pain de l’historien »? </w:t>
            </w:r>
            <w:r>
              <w:rPr>
                <w:rFonts w:ascii="Times New Roman" w:hAnsi="Times New Roman" w:eastAsia="Times New Roman" w:cs="Times New Roman"/>
                <w:b/>
                <w:color w:val="000000"/>
              </w:rPr>
              <w:t>Hypothèses</w:t>
            </w:r>
            <w:r>
              <w:rPr>
                <w:rFonts w:ascii="Times New Roman" w:hAnsi="Times New Roman" w:eastAsia="Times New Roman" w:cs="Times New Roman"/>
                <w:color w:val="000000"/>
              </w:rPr>
              <w:t>. Travaux de l’École doctorale d’Histoire de l’Université Paris I Panthéon-Sorbonne. Publications de la Sorbonne, 2003, p. 273-286.</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 xml:space="preserve">_______________. </w:t>
            </w:r>
            <w:r>
              <w:rPr>
                <w:rFonts w:ascii="Times New Roman" w:hAnsi="Times New Roman" w:eastAsia="Times New Roman" w:cs="Times New Roman"/>
                <w:color w:val="000000"/>
                <w:u w:val="single"/>
              </w:rPr>
              <w:t>Du Texte aux Archives : le problème de la source</w:t>
            </w:r>
            <w:r>
              <w:rPr>
                <w:rFonts w:ascii="Times New Roman" w:hAnsi="Times New Roman" w:eastAsia="Times New Roman" w:cs="Times New Roman"/>
                <w:color w:val="000000"/>
              </w:rPr>
              <w:t xml:space="preserve">. </w:t>
            </w:r>
            <w:r>
              <w:rPr>
                <w:rFonts w:ascii="Times New Roman" w:hAnsi="Times New Roman" w:eastAsia="Times New Roman" w:cs="Times New Roman"/>
                <w:b/>
                <w:color w:val="000000"/>
              </w:rPr>
              <w:t>Bulletin du Centre d’Études Médiévales d’Auxerre / BUCEMA</w:t>
            </w:r>
            <w:r>
              <w:rPr>
                <w:rFonts w:ascii="Times New Roman" w:hAnsi="Times New Roman" w:eastAsia="Times New Roman" w:cs="Times New Roman"/>
                <w:color w:val="000000"/>
              </w:rPr>
              <w:t>, Hors-série n</w:t>
            </w:r>
            <w:r>
              <w:rPr>
                <w:rFonts w:ascii="Times New Roman" w:hAnsi="Times New Roman" w:eastAsia="Times New Roman" w:cs="Times New Roman"/>
                <w:color w:val="000000"/>
                <w:vertAlign w:val="superscript"/>
              </w:rPr>
              <w:t>o</w:t>
            </w:r>
            <w:r>
              <w:rPr>
                <w:rFonts w:ascii="Times New Roman" w:hAnsi="Times New Roman" w:eastAsia="Times New Roman" w:cs="Times New Roman"/>
                <w:color w:val="000000"/>
              </w:rPr>
              <w:t>. 2, 2008, p. 01-26.</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590"/>
        <w:tblW w:w="9020" w:type="dxa"/>
        <w:tblInd w:w="65" w:type="dxa"/>
        <w:tblLayout w:type="fixed"/>
        <w:tblCellMar>
          <w:top w:w="0" w:type="dxa"/>
          <w:left w:w="108" w:type="dxa"/>
          <w:bottom w:w="0" w:type="dxa"/>
          <w:right w:w="108" w:type="dxa"/>
        </w:tblCellMar>
      </w:tblPr>
      <w:tblGrid>
        <w:gridCol w:w="2849"/>
        <w:gridCol w:w="3124"/>
        <w:gridCol w:w="3047"/>
      </w:tblGrid>
      <w:tr>
        <w:tblPrEx>
          <w:tblCellMar>
            <w:top w:w="0" w:type="dxa"/>
            <w:left w:w="108" w:type="dxa"/>
            <w:bottom w:w="0" w:type="dxa"/>
            <w:right w:w="108" w:type="dxa"/>
          </w:tblCellMar>
        </w:tblPrEx>
        <w:tc>
          <w:tcPr>
            <w:tcW w:w="5973" w:type="dxa"/>
            <w:gridSpan w:val="2"/>
            <w:tcBorders>
              <w:top w:val="single" w:color="000000" w:sz="18" w:space="0"/>
              <w:left w:val="single" w:color="000000" w:sz="18" w:space="0"/>
              <w:bottom w:val="single" w:color="000000" w:sz="4"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Nome do Componente Curricular em português: Leitura Dirigida em História Antiga e Medieval IV</w:t>
            </w:r>
          </w:p>
          <w:p>
            <w:pPr>
              <w:spacing w:line="360" w:lineRule="auto"/>
              <w:ind w:left="0" w:hanging="2"/>
              <w:rPr>
                <w:rFonts w:ascii="Times New Roman" w:hAnsi="Times New Roman" w:eastAsia="Times New Roman" w:cs="Times New Roman"/>
              </w:rPr>
            </w:pPr>
          </w:p>
          <w:p>
            <w:pPr>
              <w:spacing w:line="360" w:lineRule="auto"/>
              <w:ind w:left="0" w:hanging="2"/>
              <w:rPr>
                <w:rFonts w:ascii="Times New Roman" w:hAnsi="Times New Roman" w:cs="Times New Roman"/>
              </w:rPr>
            </w:pPr>
            <w:r>
              <w:rPr>
                <w:rFonts w:ascii="Times New Roman" w:hAnsi="Times New Roman" w:eastAsia="Times New Roman" w:cs="Times New Roman"/>
              </w:rPr>
              <w:t>Nome do Componente Curricular em inglês: Directed Reading in Ancient and Medieval History IV</w:t>
            </w:r>
          </w:p>
        </w:tc>
        <w:tc>
          <w:tcPr>
            <w:tcW w:w="3047" w:type="dxa"/>
            <w:tcBorders>
              <w:top w:val="single" w:color="000000" w:sz="18"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Código: HIS920</w:t>
            </w:r>
          </w:p>
        </w:tc>
      </w:tr>
      <w:tr>
        <w:tblPrEx>
          <w:tblCellMar>
            <w:top w:w="0" w:type="dxa"/>
            <w:left w:w="108" w:type="dxa"/>
            <w:bottom w:w="0" w:type="dxa"/>
            <w:right w:w="108" w:type="dxa"/>
          </w:tblCellMar>
        </w:tblPrEx>
        <w:trPr>
          <w:trHeight w:val="641" w:hRule="atLeast"/>
        </w:trPr>
        <w:tc>
          <w:tcPr>
            <w:tcW w:w="5973" w:type="dxa"/>
            <w:gridSpan w:val="2"/>
            <w:tcBorders>
              <w:top w:val="single" w:color="000000" w:sz="4"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e sigla do departamento: Departamento de História</w:t>
            </w:r>
          </w:p>
          <w:p>
            <w:pPr>
              <w:spacing w:line="360" w:lineRule="auto"/>
              <w:ind w:left="0" w:hanging="2"/>
              <w:rPr>
                <w:rFonts w:ascii="Times New Roman" w:hAnsi="Times New Roman" w:eastAsia="Times New Roman" w:cs="Times New Roman"/>
              </w:rPr>
            </w:pPr>
          </w:p>
        </w:tc>
        <w:tc>
          <w:tcPr>
            <w:tcW w:w="3047" w:type="dxa"/>
            <w:tcBorders>
              <w:top w:val="single" w:color="000000" w:sz="4"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Unidade acadêmica: ICHS</w:t>
            </w:r>
          </w:p>
        </w:tc>
      </w:tr>
      <w:tr>
        <w:tblPrEx>
          <w:tblCellMar>
            <w:top w:w="0" w:type="dxa"/>
            <w:left w:w="108" w:type="dxa"/>
            <w:bottom w:w="0" w:type="dxa"/>
            <w:right w:w="108" w:type="dxa"/>
          </w:tblCellMar>
        </w:tblPrEx>
        <w:trPr>
          <w:trHeight w:val="641" w:hRule="atLeast"/>
        </w:trPr>
        <w:tc>
          <w:tcPr>
            <w:tcW w:w="2849" w:type="dxa"/>
            <w:tcBorders>
              <w:top w:val="single" w:color="000000" w:sz="4" w:space="0"/>
              <w:left w:val="single" w:color="000000" w:sz="18" w:space="0"/>
              <w:bottom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color w:val="000000"/>
              </w:rPr>
              <w:t>Carga horária semestral</w:t>
            </w:r>
          </w:p>
          <w:p>
            <w:pPr>
              <w:spacing w:line="360" w:lineRule="auto"/>
              <w:ind w:left="0" w:hanging="2"/>
              <w:jc w:val="center"/>
              <w:rPr>
                <w:rFonts w:ascii="Times New Roman" w:hAnsi="Times New Roman" w:cs="Times New Roman"/>
              </w:rPr>
            </w:pPr>
            <w:r>
              <w:rPr>
                <w:rFonts w:ascii="Times New Roman" w:hAnsi="Times New Roman" w:eastAsia="Times New Roman" w:cs="Times New Roman"/>
                <w:color w:val="000000"/>
              </w:rPr>
              <w:t>30 horas</w:t>
            </w:r>
          </w:p>
        </w:tc>
        <w:tc>
          <w:tcPr>
            <w:tcW w:w="3124" w:type="dxa"/>
            <w:tcBorders>
              <w:top w:val="single" w:color="000000" w:sz="4" w:space="0"/>
              <w:left w:val="single" w:color="000000" w:sz="4" w:space="0"/>
              <w:bottom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color w:val="000000"/>
              </w:rPr>
              <w:t xml:space="preserve">Carga horária semanal teórica </w:t>
            </w:r>
          </w:p>
          <w:p>
            <w:pPr>
              <w:spacing w:line="360" w:lineRule="auto"/>
              <w:ind w:left="0" w:hanging="2"/>
              <w:jc w:val="center"/>
              <w:rPr>
                <w:rFonts w:ascii="Times New Roman" w:hAnsi="Times New Roman" w:cs="Times New Roman"/>
              </w:rPr>
            </w:pPr>
            <w:r>
              <w:rPr>
                <w:rFonts w:ascii="Times New Roman" w:hAnsi="Times New Roman" w:eastAsia="Times New Roman" w:cs="Times New Roman"/>
                <w:color w:val="000000"/>
              </w:rPr>
              <w:t>02 horas/aula</w:t>
            </w:r>
          </w:p>
        </w:tc>
        <w:tc>
          <w:tcPr>
            <w:tcW w:w="3047" w:type="dxa"/>
            <w:tcBorders>
              <w:top w:val="single" w:color="000000" w:sz="4" w:space="0"/>
              <w:left w:val="single" w:color="000000" w:sz="4" w:space="0"/>
              <w:bottom w:val="single" w:color="000000" w:sz="4" w:space="0"/>
              <w:right w:val="single" w:color="000000" w:sz="18"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color w:val="000000"/>
              </w:rPr>
              <w:t>Carga horária semanal prática</w:t>
            </w:r>
          </w:p>
          <w:p>
            <w:pPr>
              <w:spacing w:line="360" w:lineRule="auto"/>
              <w:ind w:left="0" w:hanging="2"/>
              <w:jc w:val="center"/>
              <w:rPr>
                <w:rFonts w:ascii="Times New Roman" w:hAnsi="Times New Roman" w:cs="Times New Roman"/>
              </w:rPr>
            </w:pPr>
            <w:r>
              <w:rPr>
                <w:rFonts w:ascii="Times New Roman" w:hAnsi="Times New Roman" w:eastAsia="Times New Roman" w:cs="Times New Roman"/>
                <w:color w:val="000000"/>
              </w:rPr>
              <w:t>00 horas/aula</w:t>
            </w:r>
          </w:p>
        </w:tc>
      </w:tr>
      <w:tr>
        <w:tblPrEx>
          <w:tblCellMar>
            <w:top w:w="0" w:type="dxa"/>
            <w:left w:w="108" w:type="dxa"/>
            <w:bottom w:w="0" w:type="dxa"/>
            <w:right w:w="108" w:type="dxa"/>
          </w:tblCellMar>
        </w:tblPrEx>
        <w:tc>
          <w:tcPr>
            <w:tcW w:w="9020"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Ementa: Perspectivas sobre Global History. Fazer História Medieval em um Mundo Globalizado. Ampliação dos horizontes e Histórias Conectadas em um Mediterrâneo Integrado. </w:t>
            </w:r>
          </w:p>
        </w:tc>
      </w:tr>
      <w:tr>
        <w:tblPrEx>
          <w:tblCellMar>
            <w:top w:w="0" w:type="dxa"/>
            <w:left w:w="108" w:type="dxa"/>
            <w:bottom w:w="0" w:type="dxa"/>
            <w:right w:w="108" w:type="dxa"/>
          </w:tblCellMar>
        </w:tblPrEx>
        <w:tc>
          <w:tcPr>
            <w:tcW w:w="9020"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Conteúdo programático: </w:t>
            </w:r>
          </w:p>
          <w:p>
            <w:pPr>
              <w:numPr>
                <w:ilvl w:val="0"/>
                <w:numId w:val="85"/>
              </w:numPr>
              <w:tabs>
                <w:tab w:val="left" w:pos="0"/>
              </w:tabs>
              <w:spacing w:line="360" w:lineRule="auto"/>
              <w:ind w:left="0" w:hanging="2"/>
              <w:jc w:val="both"/>
              <w:rPr>
                <w:rFonts w:ascii="Times New Roman" w:hAnsi="Times New Roman" w:cs="Times New Roman"/>
              </w:rPr>
            </w:pPr>
            <w:r>
              <w:rPr>
                <w:rFonts w:ascii="Times New Roman" w:hAnsi="Times New Roman" w:eastAsia="Times New Roman" w:cs="Times New Roman"/>
                <w:i/>
              </w:rPr>
              <w:t>Global History</w:t>
            </w:r>
            <w:r>
              <w:rPr>
                <w:rFonts w:ascii="Times New Roman" w:hAnsi="Times New Roman" w:eastAsia="Times New Roman" w:cs="Times New Roman"/>
              </w:rPr>
              <w:t xml:space="preserve"> e Histórias Conectadas.</w:t>
            </w:r>
          </w:p>
          <w:p>
            <w:pPr>
              <w:numPr>
                <w:ilvl w:val="0"/>
                <w:numId w:val="85"/>
              </w:numPr>
              <w:tabs>
                <w:tab w:val="left" w:pos="0"/>
              </w:tabs>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Proposições para uma </w:t>
            </w:r>
            <w:r>
              <w:rPr>
                <w:rFonts w:ascii="Times New Roman" w:hAnsi="Times New Roman" w:eastAsia="Times New Roman" w:cs="Times New Roman"/>
                <w:i/>
              </w:rPr>
              <w:t>Global Medieval History</w:t>
            </w:r>
            <w:r>
              <w:rPr>
                <w:rFonts w:ascii="Times New Roman" w:hAnsi="Times New Roman" w:eastAsia="Times New Roman" w:cs="Times New Roman"/>
              </w:rPr>
              <w:t>.</w:t>
            </w:r>
          </w:p>
          <w:p>
            <w:pPr>
              <w:numPr>
                <w:ilvl w:val="0"/>
                <w:numId w:val="85"/>
              </w:numPr>
              <w:tabs>
                <w:tab w:val="left" w:pos="0"/>
              </w:tabs>
              <w:spacing w:line="360" w:lineRule="auto"/>
              <w:ind w:left="0" w:hanging="2"/>
              <w:jc w:val="both"/>
              <w:rPr>
                <w:rFonts w:ascii="Times New Roman" w:hAnsi="Times New Roman" w:cs="Times New Roman"/>
              </w:rPr>
            </w:pPr>
            <w:r>
              <w:rPr>
                <w:rFonts w:ascii="Times New Roman" w:hAnsi="Times New Roman" w:eastAsia="Times New Roman" w:cs="Times New Roman"/>
              </w:rPr>
              <w:t>Oriente e Ocidente Medievais sob uma ótica das Histórias Conectadas.</w:t>
            </w:r>
          </w:p>
        </w:tc>
      </w:tr>
      <w:tr>
        <w:tblPrEx>
          <w:tblCellMar>
            <w:top w:w="0" w:type="dxa"/>
            <w:left w:w="108" w:type="dxa"/>
            <w:bottom w:w="0" w:type="dxa"/>
            <w:right w:w="108" w:type="dxa"/>
          </w:tblCellMar>
        </w:tblPrEx>
        <w:tc>
          <w:tcPr>
            <w:tcW w:w="9020"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Bibliografia básica: </w:t>
            </w:r>
          </w:p>
          <w:p>
            <w:pPr>
              <w:spacing w:line="360" w:lineRule="auto"/>
              <w:ind w:left="0" w:hanging="2"/>
              <w:rPr>
                <w:rFonts w:ascii="Times New Roman" w:hAnsi="Times New Roman" w:eastAsia="Times New Roman" w:cs="Times New Roman"/>
                <w:color w:val="000000"/>
                <w:highlight w:val="white"/>
              </w:rPr>
            </w:pPr>
            <w:r>
              <w:rPr>
                <w:rFonts w:ascii="Times New Roman" w:hAnsi="Times New Roman" w:eastAsia="Times New Roman" w:cs="Times New Roman"/>
              </w:rPr>
              <w:t xml:space="preserve">HENG, Geraldine. </w:t>
            </w:r>
            <w:r>
              <w:rPr>
                <w:rFonts w:ascii="Times New Roman" w:hAnsi="Times New Roman" w:eastAsia="Times New Roman" w:cs="Times New Roman"/>
                <w:u w:val="single"/>
              </w:rPr>
              <w:t>The Global Middle Ages: An Experiment in Collaborative Humanities, or Imagining the World, 500–1500 C.E</w:t>
            </w:r>
            <w:r>
              <w:rPr>
                <w:rFonts w:ascii="Times New Roman" w:hAnsi="Times New Roman" w:eastAsia="Times New Roman" w:cs="Times New Roman"/>
              </w:rPr>
              <w:t xml:space="preserve">. In: </w:t>
            </w:r>
            <w:r>
              <w:rPr>
                <w:rFonts w:ascii="Times New Roman" w:hAnsi="Times New Roman" w:eastAsia="Times New Roman" w:cs="Times New Roman"/>
                <w:b/>
                <w:color w:val="000000"/>
                <w:highlight w:val="white"/>
              </w:rPr>
              <w:t>English Language Notes</w:t>
            </w:r>
            <w:r>
              <w:rPr>
                <w:rFonts w:ascii="Times New Roman" w:hAnsi="Times New Roman" w:eastAsia="Times New Roman" w:cs="Times New Roman"/>
                <w:color w:val="000000"/>
                <w:highlight w:val="white"/>
              </w:rPr>
              <w:t>. N</w:t>
            </w:r>
            <w:r>
              <w:rPr>
                <w:rFonts w:ascii="Times New Roman" w:hAnsi="Times New Roman" w:eastAsia="Times New Roman" w:cs="Times New Roman"/>
                <w:color w:val="000000"/>
                <w:highlight w:val="white"/>
                <w:vertAlign w:val="superscript"/>
              </w:rPr>
              <w:t>o</w:t>
            </w:r>
            <w:r>
              <w:rPr>
                <w:rFonts w:ascii="Times New Roman" w:hAnsi="Times New Roman" w:eastAsia="Times New Roman" w:cs="Times New Roman"/>
                <w:color w:val="000000"/>
                <w:highlight w:val="white"/>
              </w:rPr>
              <w:t xml:space="preserve">. 47 (1), 2009, p. 205-216. Disponível em: </w:t>
            </w:r>
            <w:r>
              <w:fldChar w:fldCharType="begin"/>
            </w:r>
            <w:r>
              <w:instrText xml:space="preserve"> HYPERLINK "http://globalmiddleages.org/sites/default/files/Heng-Geraldine-Global-Middle-Ages.pdf" \h </w:instrText>
            </w:r>
            <w:r>
              <w:fldChar w:fldCharType="separate"/>
            </w:r>
            <w:r>
              <w:rPr>
                <w:rFonts w:ascii="Times New Roman" w:hAnsi="Times New Roman" w:eastAsia="Times New Roman" w:cs="Times New Roman"/>
                <w:color w:val="0000FF"/>
                <w:highlight w:val="white"/>
                <w:u w:val="single"/>
              </w:rPr>
              <w:t>http://globalmiddleages.org/sites/default/files/Heng-Geraldine-Global-Middle-Ages.pdf</w:t>
            </w:r>
            <w:r>
              <w:rPr>
                <w:rFonts w:ascii="Times New Roman" w:hAnsi="Times New Roman" w:eastAsia="Times New Roman" w:cs="Times New Roman"/>
                <w:color w:val="0000FF"/>
                <w:highlight w:val="white"/>
                <w:u w:val="single"/>
              </w:rPr>
              <w:fldChar w:fldCharType="end"/>
            </w:r>
          </w:p>
          <w:p>
            <w:pPr>
              <w:spacing w:line="360" w:lineRule="auto"/>
              <w:ind w:left="0" w:hanging="2"/>
              <w:rPr>
                <w:rFonts w:ascii="Times New Roman" w:hAnsi="Times New Roman" w:cs="Times New Roman"/>
              </w:rPr>
            </w:pPr>
            <w:r>
              <w:rPr>
                <w:rFonts w:ascii="Times New Roman" w:hAnsi="Times New Roman" w:eastAsia="Times New Roman" w:cs="Times New Roman"/>
                <w:color w:val="000000"/>
                <w:highlight w:val="white"/>
              </w:rPr>
              <w:t>LE GOFF, Jacques; SCHMITT, Jean-Claude. </w:t>
            </w:r>
            <w:r>
              <w:rPr>
                <w:rFonts w:ascii="Times New Roman" w:hAnsi="Times New Roman" w:eastAsia="Times New Roman" w:cs="Times New Roman"/>
                <w:b/>
                <w:color w:val="000000"/>
                <w:highlight w:val="white"/>
              </w:rPr>
              <w:t>Dicionário Temático do Ocidente Medieval. </w:t>
            </w:r>
            <w:r>
              <w:rPr>
                <w:rFonts w:ascii="Times New Roman" w:hAnsi="Times New Roman" w:eastAsia="Times New Roman" w:cs="Times New Roman"/>
                <w:color w:val="000000"/>
                <w:highlight w:val="white"/>
              </w:rPr>
              <w:t xml:space="preserve"> São Paulo: EDUSC, 2006.</w:t>
            </w:r>
          </w:p>
          <w:p>
            <w:pPr>
              <w:spacing w:line="360" w:lineRule="auto"/>
              <w:ind w:left="0" w:hanging="2"/>
              <w:rPr>
                <w:rFonts w:ascii="Times New Roman" w:hAnsi="Times New Roman" w:cs="Times New Roman"/>
              </w:rPr>
            </w:pPr>
            <w:r>
              <w:rPr>
                <w:rFonts w:ascii="Times New Roman" w:hAnsi="Times New Roman" w:eastAsia="Times New Roman" w:cs="Times New Roman"/>
              </w:rPr>
              <w:t>SAID, Edward W. </w:t>
            </w:r>
            <w:r>
              <w:rPr>
                <w:rFonts w:ascii="Times New Roman" w:hAnsi="Times New Roman" w:eastAsia="Times New Roman" w:cs="Times New Roman"/>
                <w:b/>
              </w:rPr>
              <w:t>Orientalismo: </w:t>
            </w:r>
            <w:r>
              <w:rPr>
                <w:rFonts w:ascii="Times New Roman" w:hAnsi="Times New Roman" w:eastAsia="Times New Roman" w:cs="Times New Roman"/>
              </w:rPr>
              <w:t>o Oriente como invenção do Ocidente. São Paulo: Companhia de Bolso, 2007.</w:t>
            </w:r>
          </w:p>
        </w:tc>
      </w:tr>
      <w:tr>
        <w:tblPrEx>
          <w:tblCellMar>
            <w:top w:w="0" w:type="dxa"/>
            <w:left w:w="108" w:type="dxa"/>
            <w:bottom w:w="0" w:type="dxa"/>
            <w:right w:w="108" w:type="dxa"/>
          </w:tblCellMar>
        </w:tblPrEx>
        <w:tc>
          <w:tcPr>
            <w:tcW w:w="9020"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Bibliografia complementar: </w:t>
            </w:r>
          </w:p>
          <w:p>
            <w:pPr>
              <w:spacing w:line="360" w:lineRule="auto"/>
              <w:ind w:left="0" w:hanging="2"/>
              <w:rPr>
                <w:rFonts w:ascii="Times New Roman" w:hAnsi="Times New Roman" w:cs="Times New Roman"/>
              </w:rPr>
            </w:pPr>
            <w:r>
              <w:rPr>
                <w:rFonts w:ascii="Times New Roman" w:hAnsi="Times New Roman" w:eastAsia="Times New Roman" w:cs="Times New Roman"/>
              </w:rPr>
              <w:t>ABULAFIA, David. </w:t>
            </w:r>
            <w:r>
              <w:rPr>
                <w:rFonts w:ascii="Times New Roman" w:hAnsi="Times New Roman" w:eastAsia="Times New Roman" w:cs="Times New Roman"/>
                <w:b/>
              </w:rPr>
              <w:t>Mediterranean Encounters, economic, religious, political, 1100-1550. </w:t>
            </w:r>
            <w:r>
              <w:rPr>
                <w:rFonts w:ascii="Times New Roman" w:hAnsi="Times New Roman" w:eastAsia="Times New Roman" w:cs="Times New Roman"/>
              </w:rPr>
              <w:t>Aldershot: Burlington, USA: Ashgate, c2000.</w:t>
            </w:r>
          </w:p>
          <w:p>
            <w:pPr>
              <w:spacing w:line="360" w:lineRule="auto"/>
              <w:ind w:left="0" w:hanging="2"/>
              <w:rPr>
                <w:rFonts w:ascii="Times New Roman" w:hAnsi="Times New Roman" w:eastAsia="Times New Roman" w:cs="Times New Roman"/>
              </w:rPr>
            </w:pPr>
            <w:r>
              <w:rPr>
                <w:rFonts w:ascii="Times New Roman" w:hAnsi="Times New Roman" w:eastAsia="Times New Roman" w:cs="Times New Roman"/>
              </w:rPr>
              <w:t xml:space="preserve">DOUKI, Caroline &amp; MINARD, Philippe. </w:t>
            </w:r>
            <w:r>
              <w:rPr>
                <w:rFonts w:ascii="Times New Roman" w:hAnsi="Times New Roman" w:eastAsia="Times New Roman" w:cs="Times New Roman"/>
                <w:u w:val="single"/>
              </w:rPr>
              <w:t>Histoire Globale, Histoires Connectées: un changement d'échelle historiographique?</w:t>
            </w:r>
            <w:r>
              <w:rPr>
                <w:rFonts w:ascii="Times New Roman" w:hAnsi="Times New Roman" w:eastAsia="Times New Roman" w:cs="Times New Roman"/>
              </w:rPr>
              <w:t xml:space="preserve"> In : </w:t>
            </w:r>
            <w:r>
              <w:rPr>
                <w:rFonts w:ascii="Times New Roman" w:hAnsi="Times New Roman" w:eastAsia="Times New Roman" w:cs="Times New Roman"/>
                <w:b/>
              </w:rPr>
              <w:t>Revue d’Histoire Moderne &amp; Contemporaine</w:t>
            </w:r>
            <w:r>
              <w:rPr>
                <w:rFonts w:ascii="Times New Roman" w:hAnsi="Times New Roman" w:eastAsia="Times New Roman" w:cs="Times New Roman"/>
              </w:rPr>
              <w:t xml:space="preserve">. 2007/5 n°. 54-4bis, p.7-21. Disponível em: </w:t>
            </w:r>
            <w:r>
              <w:fldChar w:fldCharType="begin"/>
            </w:r>
            <w:r>
              <w:instrText xml:space="preserve"> HYPERLINK "https://www.cairn.info/revue-d-histoire-moderne-et-contemporaine-2007-5-page-7.htm" \h </w:instrText>
            </w:r>
            <w:r>
              <w:fldChar w:fldCharType="separate"/>
            </w:r>
            <w:r>
              <w:rPr>
                <w:rFonts w:ascii="Times New Roman" w:hAnsi="Times New Roman" w:eastAsia="Times New Roman" w:cs="Times New Roman"/>
                <w:color w:val="0000FF"/>
                <w:u w:val="single"/>
              </w:rPr>
              <w:t>https://www.cairn.info/revue-d-histoire-moderne-et-contemporaine-2007-5-page-7.htm</w:t>
            </w:r>
            <w:r>
              <w:rPr>
                <w:rFonts w:ascii="Times New Roman" w:hAnsi="Times New Roman" w:eastAsia="Times New Roman" w:cs="Times New Roman"/>
                <w:color w:val="0000FF"/>
                <w:u w:val="single"/>
              </w:rPr>
              <w:fldChar w:fldCharType="end"/>
            </w:r>
          </w:p>
          <w:p>
            <w:pPr>
              <w:spacing w:line="360" w:lineRule="auto"/>
              <w:ind w:left="0" w:hanging="2"/>
              <w:rPr>
                <w:rFonts w:ascii="Times New Roman" w:hAnsi="Times New Roman" w:cs="Times New Roman"/>
              </w:rPr>
            </w:pPr>
            <w:r>
              <w:rPr>
                <w:rFonts w:ascii="Times New Roman" w:hAnsi="Times New Roman" w:eastAsia="Times New Roman" w:cs="Times New Roman"/>
              </w:rPr>
              <w:t>LE GOFF, Jacques (org.); SCHMITT, Jean-Claude (org.). </w:t>
            </w:r>
            <w:r>
              <w:rPr>
                <w:rFonts w:ascii="Times New Roman" w:hAnsi="Times New Roman" w:eastAsia="Times New Roman" w:cs="Times New Roman"/>
                <w:b/>
              </w:rPr>
              <w:t>Dicionário Temático do Ocidente Medieval</w:t>
            </w:r>
            <w:r>
              <w:rPr>
                <w:rFonts w:ascii="Times New Roman" w:hAnsi="Times New Roman" w:eastAsia="Times New Roman" w:cs="Times New Roman"/>
              </w:rPr>
              <w:t>. Bauru, SP: São Paulo: EDUSC, Imprensa Oficial do Estado, 2006.</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MCKITTERICK, Rosamond; REUTER, Timothy; LUSCOMBRE, David; RILEY-SMITH, Jonathan; ABULAFIA, David; JONES, Michael; ALLMAND, Christopher. </w:t>
            </w:r>
            <w:r>
              <w:rPr>
                <w:rFonts w:ascii="Times New Roman" w:hAnsi="Times New Roman" w:eastAsia="Times New Roman" w:cs="Times New Roman"/>
                <w:b/>
                <w:color w:val="000000"/>
              </w:rPr>
              <w:t>The New Cambridge Medieval History</w:t>
            </w:r>
            <w:r>
              <w:rPr>
                <w:rFonts w:ascii="Times New Roman" w:hAnsi="Times New Roman" w:eastAsia="Times New Roman" w:cs="Times New Roman"/>
                <w:color w:val="000000"/>
              </w:rPr>
              <w:t>. Cambridge: Cambridge University Press 1995-2005.</w:t>
            </w:r>
          </w:p>
          <w:p>
            <w:pPr>
              <w:spacing w:line="360" w:lineRule="auto"/>
              <w:ind w:left="0" w:hanging="2"/>
              <w:rPr>
                <w:rFonts w:ascii="Times New Roman" w:hAnsi="Times New Roman" w:cs="Times New Roman"/>
              </w:rPr>
            </w:pPr>
            <w:r>
              <w:rPr>
                <w:rFonts w:ascii="Times New Roman" w:hAnsi="Times New Roman" w:eastAsia="Times New Roman" w:cs="Times New Roman"/>
              </w:rPr>
              <w:t>ROSENWEIN, Barbara H. </w:t>
            </w:r>
            <w:r>
              <w:rPr>
                <w:rFonts w:ascii="Times New Roman" w:hAnsi="Times New Roman" w:eastAsia="Times New Roman" w:cs="Times New Roman"/>
                <w:b/>
              </w:rPr>
              <w:t>Debating the Middle Ages: </w:t>
            </w:r>
            <w:r>
              <w:rPr>
                <w:rFonts w:ascii="Times New Roman" w:hAnsi="Times New Roman" w:eastAsia="Times New Roman" w:cs="Times New Roman"/>
              </w:rPr>
              <w:t>issues and readings. Malden, Ma.: Blackwell Publishers, 1998.</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591"/>
        <w:tblW w:w="9020" w:type="dxa"/>
        <w:tblInd w:w="65" w:type="dxa"/>
        <w:tblLayout w:type="fixed"/>
        <w:tblCellMar>
          <w:top w:w="0" w:type="dxa"/>
          <w:left w:w="108" w:type="dxa"/>
          <w:bottom w:w="0" w:type="dxa"/>
          <w:right w:w="108" w:type="dxa"/>
        </w:tblCellMar>
      </w:tblPr>
      <w:tblGrid>
        <w:gridCol w:w="2911"/>
        <w:gridCol w:w="3041"/>
        <w:gridCol w:w="3068"/>
      </w:tblGrid>
      <w:tr>
        <w:tblPrEx>
          <w:tblCellMar>
            <w:top w:w="0" w:type="dxa"/>
            <w:left w:w="108" w:type="dxa"/>
            <w:bottom w:w="0" w:type="dxa"/>
            <w:right w:w="108" w:type="dxa"/>
          </w:tblCellMar>
        </w:tblPrEx>
        <w:tc>
          <w:tcPr>
            <w:tcW w:w="5952" w:type="dxa"/>
            <w:gridSpan w:val="2"/>
            <w:tcBorders>
              <w:top w:val="single" w:color="000000" w:sz="18"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do Componente Curricular em português: Leitura Dirigida em História Antiga e Medieval V</w:t>
            </w:r>
          </w:p>
          <w:p>
            <w:pPr>
              <w:spacing w:line="360" w:lineRule="auto"/>
              <w:ind w:left="0" w:hanging="2"/>
              <w:rPr>
                <w:rFonts w:ascii="Times New Roman" w:hAnsi="Times New Roman" w:eastAsia="Times New Roman" w:cs="Times New Roman"/>
              </w:rPr>
            </w:pPr>
          </w:p>
          <w:p>
            <w:pPr>
              <w:spacing w:line="360" w:lineRule="auto"/>
              <w:ind w:left="0" w:hanging="2"/>
              <w:rPr>
                <w:rFonts w:ascii="Times New Roman" w:hAnsi="Times New Roman" w:cs="Times New Roman"/>
              </w:rPr>
            </w:pPr>
            <w:r>
              <w:rPr>
                <w:rFonts w:ascii="Times New Roman" w:hAnsi="Times New Roman" w:eastAsia="Times New Roman" w:cs="Times New Roman"/>
              </w:rPr>
              <w:t>Nome do Componente Curricular em inglês: Directed Reading in Ancient and Medieval History V</w:t>
            </w:r>
          </w:p>
        </w:tc>
        <w:tc>
          <w:tcPr>
            <w:tcW w:w="3068" w:type="dxa"/>
            <w:tcBorders>
              <w:top w:val="single" w:color="000000" w:sz="18"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Código: HIS951</w:t>
            </w:r>
          </w:p>
        </w:tc>
      </w:tr>
      <w:tr>
        <w:tblPrEx>
          <w:tblCellMar>
            <w:top w:w="0" w:type="dxa"/>
            <w:left w:w="108" w:type="dxa"/>
            <w:bottom w:w="0" w:type="dxa"/>
            <w:right w:w="108" w:type="dxa"/>
          </w:tblCellMar>
        </w:tblPrEx>
        <w:trPr>
          <w:trHeight w:val="641" w:hRule="atLeast"/>
        </w:trPr>
        <w:tc>
          <w:tcPr>
            <w:tcW w:w="5952" w:type="dxa"/>
            <w:gridSpan w:val="2"/>
            <w:tcBorders>
              <w:top w:val="single" w:color="000000" w:sz="4"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e sigla do departamento: Departamento de História - DEHIS</w:t>
            </w:r>
          </w:p>
        </w:tc>
        <w:tc>
          <w:tcPr>
            <w:tcW w:w="3068" w:type="dxa"/>
            <w:tcBorders>
              <w:top w:val="single" w:color="000000" w:sz="4" w:space="0"/>
              <w:left w:val="single" w:color="000000" w:sz="4" w:space="0"/>
              <w:bottom w:val="single" w:color="000000" w:sz="4" w:space="0"/>
              <w:right w:val="single" w:color="000000" w:sz="18"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Unidade acadêmica:</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ICHS</w:t>
            </w:r>
          </w:p>
        </w:tc>
      </w:tr>
      <w:tr>
        <w:tblPrEx>
          <w:tblCellMar>
            <w:top w:w="0" w:type="dxa"/>
            <w:left w:w="108" w:type="dxa"/>
            <w:bottom w:w="0" w:type="dxa"/>
            <w:right w:w="108" w:type="dxa"/>
          </w:tblCellMar>
        </w:tblPrEx>
        <w:trPr>
          <w:trHeight w:val="641" w:hRule="atLeast"/>
        </w:trPr>
        <w:tc>
          <w:tcPr>
            <w:tcW w:w="2911" w:type="dxa"/>
            <w:tcBorders>
              <w:top w:val="single" w:color="000000" w:sz="4" w:space="0"/>
              <w:left w:val="single" w:color="000000" w:sz="18" w:space="0"/>
              <w:bottom w:val="single" w:color="000000" w:sz="4" w:space="0"/>
            </w:tcBorders>
          </w:tcPr>
          <w:p>
            <w:pPr>
              <w:spacing w:line="276" w:lineRule="auto"/>
              <w:ind w:left="0" w:hanging="2"/>
              <w:jc w:val="center"/>
              <w:rPr>
                <w:rFonts w:ascii="Times New Roman" w:hAnsi="Times New Roman" w:cs="Times New Roman"/>
              </w:rPr>
            </w:pPr>
            <w:r>
              <w:rPr>
                <w:rFonts w:ascii="Times New Roman" w:hAnsi="Times New Roman" w:eastAsia="Times New Roman" w:cs="Times New Roman"/>
                <w:color w:val="000000"/>
              </w:rPr>
              <w:t>Carga horária semestral</w:t>
            </w:r>
          </w:p>
          <w:p>
            <w:pPr>
              <w:spacing w:line="276" w:lineRule="auto"/>
              <w:ind w:left="0" w:hanging="2"/>
              <w:jc w:val="center"/>
              <w:rPr>
                <w:rFonts w:ascii="Times New Roman" w:hAnsi="Times New Roman" w:cs="Times New Roman"/>
              </w:rPr>
            </w:pPr>
            <w:r>
              <w:rPr>
                <w:rFonts w:ascii="Times New Roman" w:hAnsi="Times New Roman" w:eastAsia="Times New Roman" w:cs="Times New Roman"/>
                <w:color w:val="000000"/>
              </w:rPr>
              <w:t>30 horas</w:t>
            </w:r>
          </w:p>
        </w:tc>
        <w:tc>
          <w:tcPr>
            <w:tcW w:w="3041" w:type="dxa"/>
            <w:tcBorders>
              <w:top w:val="single" w:color="000000" w:sz="4" w:space="0"/>
              <w:left w:val="single" w:color="000000" w:sz="4" w:space="0"/>
              <w:bottom w:val="single" w:color="000000" w:sz="4" w:space="0"/>
            </w:tcBorders>
          </w:tcPr>
          <w:p>
            <w:pPr>
              <w:spacing w:line="276" w:lineRule="auto"/>
              <w:ind w:left="0" w:hanging="2"/>
              <w:jc w:val="center"/>
              <w:rPr>
                <w:rFonts w:ascii="Times New Roman" w:hAnsi="Times New Roman" w:cs="Times New Roman"/>
              </w:rPr>
            </w:pPr>
            <w:r>
              <w:rPr>
                <w:rFonts w:ascii="Times New Roman" w:hAnsi="Times New Roman" w:eastAsia="Times New Roman" w:cs="Times New Roman"/>
                <w:color w:val="000000"/>
              </w:rPr>
              <w:t xml:space="preserve">Carga horária semanal teórica </w:t>
            </w:r>
          </w:p>
          <w:p>
            <w:pPr>
              <w:spacing w:line="276" w:lineRule="auto"/>
              <w:ind w:left="0" w:hanging="2"/>
              <w:jc w:val="center"/>
              <w:rPr>
                <w:rFonts w:ascii="Times New Roman" w:hAnsi="Times New Roman" w:cs="Times New Roman"/>
              </w:rPr>
            </w:pPr>
            <w:r>
              <w:rPr>
                <w:rFonts w:ascii="Times New Roman" w:hAnsi="Times New Roman" w:eastAsia="Times New Roman" w:cs="Times New Roman"/>
                <w:color w:val="000000"/>
              </w:rPr>
              <w:t>02 horas/aula</w:t>
            </w:r>
          </w:p>
        </w:tc>
        <w:tc>
          <w:tcPr>
            <w:tcW w:w="3068" w:type="dxa"/>
            <w:tcBorders>
              <w:top w:val="single" w:color="000000" w:sz="4" w:space="0"/>
              <w:left w:val="single" w:color="000000" w:sz="4" w:space="0"/>
              <w:bottom w:val="single" w:color="000000" w:sz="4" w:space="0"/>
              <w:right w:val="single" w:color="000000" w:sz="18" w:space="0"/>
            </w:tcBorders>
          </w:tcPr>
          <w:p>
            <w:pPr>
              <w:spacing w:line="276" w:lineRule="auto"/>
              <w:ind w:left="0" w:hanging="2"/>
              <w:jc w:val="center"/>
              <w:rPr>
                <w:rFonts w:ascii="Times New Roman" w:hAnsi="Times New Roman" w:cs="Times New Roman"/>
              </w:rPr>
            </w:pPr>
            <w:r>
              <w:rPr>
                <w:rFonts w:ascii="Times New Roman" w:hAnsi="Times New Roman" w:eastAsia="Times New Roman" w:cs="Times New Roman"/>
                <w:color w:val="000000"/>
              </w:rPr>
              <w:t>Carga horária semanal prática</w:t>
            </w:r>
          </w:p>
          <w:p>
            <w:pPr>
              <w:spacing w:line="276" w:lineRule="auto"/>
              <w:ind w:left="0" w:hanging="2"/>
              <w:jc w:val="center"/>
              <w:rPr>
                <w:rFonts w:ascii="Times New Roman" w:hAnsi="Times New Roman" w:cs="Times New Roman"/>
              </w:rPr>
            </w:pPr>
            <w:r>
              <w:rPr>
                <w:rFonts w:ascii="Times New Roman" w:hAnsi="Times New Roman" w:eastAsia="Times New Roman" w:cs="Times New Roman"/>
                <w:color w:val="000000"/>
              </w:rPr>
              <w:t>00 horas/aula</w:t>
            </w:r>
          </w:p>
        </w:tc>
      </w:tr>
      <w:tr>
        <w:tblPrEx>
          <w:tblCellMar>
            <w:top w:w="0" w:type="dxa"/>
            <w:left w:w="108" w:type="dxa"/>
            <w:bottom w:w="0" w:type="dxa"/>
            <w:right w:w="108" w:type="dxa"/>
          </w:tblCellMar>
        </w:tblPrEx>
        <w:tc>
          <w:tcPr>
            <w:tcW w:w="9020"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Ementa: </w:t>
            </w:r>
            <w:r>
              <w:rPr>
                <w:rFonts w:ascii="Times New Roman" w:hAnsi="Times New Roman" w:eastAsia="Times New Roman" w:cs="Times New Roman"/>
                <w:color w:val="000000"/>
              </w:rPr>
              <w:t>Temas de pesquisa em Histórias da/sobre a Antiguidade. A construção do problema. Hipóteses de Trabalhos e respostas provisórias ao problema. Revisão bibliográfica. Organização da proposta de pesquisa e redação do projeto.</w:t>
            </w:r>
          </w:p>
        </w:tc>
      </w:tr>
      <w:tr>
        <w:tblPrEx>
          <w:tblCellMar>
            <w:top w:w="0" w:type="dxa"/>
            <w:left w:w="108" w:type="dxa"/>
            <w:bottom w:w="0" w:type="dxa"/>
            <w:right w:w="108" w:type="dxa"/>
          </w:tblCellMar>
        </w:tblPrEx>
        <w:tc>
          <w:tcPr>
            <w:tcW w:w="9020"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Conteúdo programático: </w:t>
            </w:r>
          </w:p>
          <w:p>
            <w:pPr>
              <w:numPr>
                <w:ilvl w:val="0"/>
                <w:numId w:val="86"/>
              </w:numPr>
              <w:tabs>
                <w:tab w:val="left" w:pos="0"/>
              </w:tabs>
              <w:spacing w:line="360" w:lineRule="auto"/>
              <w:ind w:left="0" w:hanging="2"/>
              <w:jc w:val="both"/>
              <w:rPr>
                <w:rFonts w:ascii="Times New Roman" w:hAnsi="Times New Roman" w:cs="Times New Roman"/>
              </w:rPr>
            </w:pPr>
            <w:r>
              <w:rPr>
                <w:rFonts w:ascii="Times New Roman" w:hAnsi="Times New Roman" w:eastAsia="Times New Roman" w:cs="Times New Roman"/>
              </w:rPr>
              <w:t>O Projeto de Pesquisa em Histórias da/sobre a Antiguidade.</w:t>
            </w:r>
          </w:p>
          <w:p>
            <w:pPr>
              <w:numPr>
                <w:ilvl w:val="0"/>
                <w:numId w:val="86"/>
              </w:numPr>
              <w:tabs>
                <w:tab w:val="left" w:pos="0"/>
              </w:tabs>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O método das Histórias da/sobre a Antiguidade </w:t>
            </w:r>
          </w:p>
          <w:p>
            <w:pPr>
              <w:numPr>
                <w:ilvl w:val="0"/>
                <w:numId w:val="86"/>
              </w:numPr>
              <w:tabs>
                <w:tab w:val="left" w:pos="0"/>
              </w:tabs>
              <w:spacing w:line="360" w:lineRule="auto"/>
              <w:ind w:left="0" w:hanging="2"/>
              <w:jc w:val="both"/>
              <w:rPr>
                <w:rFonts w:ascii="Times New Roman" w:hAnsi="Times New Roman" w:cs="Times New Roman"/>
              </w:rPr>
            </w:pPr>
            <w:r>
              <w:rPr>
                <w:rFonts w:ascii="Times New Roman" w:hAnsi="Times New Roman" w:eastAsia="Times New Roman" w:cs="Times New Roman"/>
              </w:rPr>
              <w:t>Identificação dos temas de pesquisa.</w:t>
            </w:r>
          </w:p>
          <w:p>
            <w:pPr>
              <w:numPr>
                <w:ilvl w:val="0"/>
                <w:numId w:val="86"/>
              </w:numPr>
              <w:tabs>
                <w:tab w:val="left" w:pos="0"/>
              </w:tabs>
              <w:spacing w:line="360" w:lineRule="auto"/>
              <w:ind w:left="0" w:hanging="2"/>
              <w:jc w:val="both"/>
              <w:rPr>
                <w:rFonts w:ascii="Times New Roman" w:hAnsi="Times New Roman" w:cs="Times New Roman"/>
              </w:rPr>
            </w:pPr>
            <w:r>
              <w:rPr>
                <w:rFonts w:ascii="Times New Roman" w:hAnsi="Times New Roman" w:eastAsia="Times New Roman" w:cs="Times New Roman"/>
              </w:rPr>
              <w:t>A pesquisa como um problema.</w:t>
            </w:r>
          </w:p>
          <w:p>
            <w:pPr>
              <w:numPr>
                <w:ilvl w:val="0"/>
                <w:numId w:val="86"/>
              </w:numPr>
              <w:tabs>
                <w:tab w:val="left" w:pos="0"/>
              </w:tabs>
              <w:spacing w:line="360" w:lineRule="auto"/>
              <w:ind w:left="0" w:hanging="2"/>
              <w:jc w:val="both"/>
              <w:rPr>
                <w:rFonts w:ascii="Times New Roman" w:hAnsi="Times New Roman" w:cs="Times New Roman"/>
              </w:rPr>
            </w:pPr>
            <w:r>
              <w:rPr>
                <w:rFonts w:ascii="Times New Roman" w:hAnsi="Times New Roman" w:eastAsia="Times New Roman" w:cs="Times New Roman"/>
              </w:rPr>
              <w:t>Elaboração do projeto.</w:t>
            </w:r>
          </w:p>
        </w:tc>
      </w:tr>
      <w:tr>
        <w:tblPrEx>
          <w:tblCellMar>
            <w:top w:w="0" w:type="dxa"/>
            <w:left w:w="108" w:type="dxa"/>
            <w:bottom w:w="0" w:type="dxa"/>
            <w:right w:w="108" w:type="dxa"/>
          </w:tblCellMar>
        </w:tblPrEx>
        <w:tc>
          <w:tcPr>
            <w:tcW w:w="9020"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Bibliografia básica:</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BARROS, José D'Assunção. </w:t>
            </w:r>
            <w:r>
              <w:rPr>
                <w:rFonts w:ascii="Times New Roman" w:hAnsi="Times New Roman" w:eastAsia="Times New Roman" w:cs="Times New Roman"/>
                <w:i/>
              </w:rPr>
              <w:t>O projeto de pesquisa em História</w:t>
            </w:r>
            <w:r>
              <w:rPr>
                <w:rFonts w:ascii="Times New Roman" w:hAnsi="Times New Roman" w:eastAsia="Times New Roman" w:cs="Times New Roman"/>
              </w:rPr>
              <w:t>:</w:t>
            </w:r>
            <w:r>
              <w:rPr>
                <w:rFonts w:ascii="Times New Roman" w:hAnsi="Times New Roman" w:eastAsia="Times New Roman" w:cs="Times New Roman"/>
                <w:b/>
              </w:rPr>
              <w:t> </w:t>
            </w:r>
            <w:r>
              <w:rPr>
                <w:rFonts w:ascii="Times New Roman" w:hAnsi="Times New Roman" w:eastAsia="Times New Roman" w:cs="Times New Roman"/>
              </w:rPr>
              <w:t>da escolha do tema ao quadro teórico. Petrópolis: Vozes, 2005.</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FINLEY, M. I. </w:t>
            </w:r>
            <w:r>
              <w:rPr>
                <w:rFonts w:ascii="Times New Roman" w:hAnsi="Times New Roman" w:eastAsia="Times New Roman" w:cs="Times New Roman"/>
                <w:i/>
              </w:rPr>
              <w:t>História Antiga</w:t>
            </w:r>
            <w:r>
              <w:rPr>
                <w:rFonts w:ascii="Times New Roman" w:hAnsi="Times New Roman" w:eastAsia="Times New Roman" w:cs="Times New Roman"/>
              </w:rPr>
              <w:t>. São Paulo: Martins Fontes, 1994.</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GUARINELLO, N. L. </w:t>
            </w:r>
            <w:r>
              <w:rPr>
                <w:rFonts w:ascii="Times New Roman" w:hAnsi="Times New Roman" w:eastAsia="Times New Roman" w:cs="Times New Roman"/>
                <w:i/>
              </w:rPr>
              <w:t>História Antiga</w:t>
            </w:r>
            <w:r>
              <w:rPr>
                <w:rFonts w:ascii="Times New Roman" w:hAnsi="Times New Roman" w:eastAsia="Times New Roman" w:cs="Times New Roman"/>
              </w:rPr>
              <w:t>. São Paulo: Contexto, 2013.</w:t>
            </w:r>
          </w:p>
        </w:tc>
      </w:tr>
      <w:tr>
        <w:tblPrEx>
          <w:tblCellMar>
            <w:top w:w="0" w:type="dxa"/>
            <w:left w:w="108" w:type="dxa"/>
            <w:bottom w:w="0" w:type="dxa"/>
            <w:right w:w="108" w:type="dxa"/>
          </w:tblCellMar>
        </w:tblPrEx>
        <w:tc>
          <w:tcPr>
            <w:tcW w:w="9020"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Bibliografia complementar:</w:t>
            </w:r>
          </w:p>
          <w:p>
            <w:pPr>
              <w:shd w:val="clear" w:color="auto" w:fill="FFFFFF"/>
              <w:spacing w:line="360" w:lineRule="auto"/>
              <w:ind w:left="0" w:hanging="2"/>
              <w:jc w:val="both"/>
              <w:rPr>
                <w:rFonts w:ascii="Times New Roman" w:hAnsi="Times New Roman" w:cs="Times New Roman"/>
              </w:rPr>
            </w:pPr>
            <w:r>
              <w:rPr>
                <w:rFonts w:ascii="Times New Roman" w:hAnsi="Times New Roman" w:eastAsia="Times New Roman" w:cs="Times New Roman"/>
                <w:highlight w:val="white"/>
              </w:rPr>
              <w:t xml:space="preserve">BERNAL, Martin. </w:t>
            </w:r>
            <w:r>
              <w:rPr>
                <w:rFonts w:ascii="Times New Roman" w:hAnsi="Times New Roman" w:eastAsia="Times New Roman" w:cs="Times New Roman"/>
                <w:i/>
                <w:highlight w:val="white"/>
              </w:rPr>
              <w:t>Black Athena</w:t>
            </w:r>
            <w:r>
              <w:rPr>
                <w:rFonts w:ascii="Times New Roman" w:hAnsi="Times New Roman" w:eastAsia="Times New Roman" w:cs="Times New Roman"/>
                <w:highlight w:val="white"/>
              </w:rPr>
              <w:t>: The Afroasiatic roots of classical civilization. New Brunswick: Rutgers University Press, 1987.</w:t>
            </w:r>
          </w:p>
          <w:p>
            <w:pPr>
              <w:spacing w:line="360" w:lineRule="auto"/>
              <w:ind w:left="0" w:hanging="2"/>
              <w:rPr>
                <w:rFonts w:ascii="Times New Roman" w:hAnsi="Times New Roman" w:cs="Times New Roman"/>
              </w:rPr>
            </w:pPr>
            <w:r>
              <w:rPr>
                <w:rFonts w:ascii="Times New Roman" w:hAnsi="Times New Roman" w:eastAsia="Times New Roman" w:cs="Times New Roman"/>
                <w:smallCaps/>
              </w:rPr>
              <w:t>FUNARI</w:t>
            </w:r>
            <w:r>
              <w:rPr>
                <w:rFonts w:ascii="Times New Roman" w:hAnsi="Times New Roman" w:eastAsia="Times New Roman" w:cs="Times New Roman"/>
              </w:rPr>
              <w:t xml:space="preserve">, Pedro Paulo A. </w:t>
            </w:r>
            <w:r>
              <w:rPr>
                <w:rFonts w:ascii="Times New Roman" w:hAnsi="Times New Roman" w:eastAsia="Times New Roman" w:cs="Times New Roman"/>
                <w:i/>
              </w:rPr>
              <w:t>Antiguidade Clássica: a história e a cultura a partir dos documentos</w:t>
            </w:r>
            <w:r>
              <w:rPr>
                <w:rFonts w:ascii="Times New Roman" w:hAnsi="Times New Roman" w:eastAsia="Times New Roman" w:cs="Times New Roman"/>
              </w:rPr>
              <w:t>. Campinas: Editora da Unicamp, 1995.</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GUARINELLO, N. L. ‘Uma morfologia da História: as formas da História Antiga’. </w:t>
            </w:r>
            <w:r>
              <w:rPr>
                <w:rFonts w:ascii="Times New Roman" w:hAnsi="Times New Roman" w:eastAsia="Times New Roman" w:cs="Times New Roman"/>
                <w:i/>
              </w:rPr>
              <w:t xml:space="preserve">Politeia: História </w:t>
            </w:r>
            <w:r>
              <w:rPr>
                <w:rFonts w:ascii="Times New Roman" w:hAnsi="Times New Roman" w:eastAsia="Times New Roman" w:cs="Times New Roman"/>
              </w:rPr>
              <w:t xml:space="preserve">e </w:t>
            </w:r>
            <w:r>
              <w:rPr>
                <w:rFonts w:ascii="Times New Roman" w:hAnsi="Times New Roman" w:eastAsia="Times New Roman" w:cs="Times New Roman"/>
                <w:i/>
              </w:rPr>
              <w:t>Sociedade</w:t>
            </w:r>
            <w:r>
              <w:rPr>
                <w:rFonts w:ascii="Times New Roman" w:hAnsi="Times New Roman" w:eastAsia="Times New Roman" w:cs="Times New Roman"/>
              </w:rPr>
              <w:t xml:space="preserve"> 3, n. 1, 41-62.</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GUARINELLO, Norberto Luiz. História científica, história contemporânea e história cotidiana. </w:t>
            </w:r>
            <w:r>
              <w:rPr>
                <w:rFonts w:ascii="Times New Roman" w:hAnsi="Times New Roman" w:eastAsia="Times New Roman" w:cs="Times New Roman"/>
                <w:i/>
              </w:rPr>
              <w:t xml:space="preserve">Revista Brasileira de História, </w:t>
            </w:r>
            <w:r>
              <w:rPr>
                <w:rFonts w:ascii="Times New Roman" w:hAnsi="Times New Roman" w:eastAsia="Times New Roman" w:cs="Times New Roman"/>
              </w:rPr>
              <w:t>São Paulo, v. 24, n. 48, 2004. pp. 13-38.</w:t>
            </w:r>
          </w:p>
          <w:p>
            <w:pPr>
              <w:spacing w:line="360" w:lineRule="auto"/>
              <w:ind w:left="0" w:hanging="2"/>
              <w:jc w:val="both"/>
              <w:rPr>
                <w:rFonts w:ascii="Times New Roman" w:hAnsi="Times New Roman" w:cs="Times New Roman"/>
              </w:rPr>
            </w:pPr>
            <w:r>
              <w:rPr>
                <w:rFonts w:ascii="Times New Roman" w:hAnsi="Times New Roman" w:eastAsia="Times New Roman" w:cs="Times New Roman"/>
                <w:highlight w:val="white"/>
              </w:rPr>
              <w:t xml:space="preserve">HORDEN, Peregrine; PURCELL, Nicholas. </w:t>
            </w:r>
            <w:r>
              <w:rPr>
                <w:rFonts w:ascii="Times New Roman" w:hAnsi="Times New Roman" w:eastAsia="Times New Roman" w:cs="Times New Roman"/>
                <w:i/>
                <w:highlight w:val="white"/>
              </w:rPr>
              <w:t>The corrupting sea</w:t>
            </w:r>
            <w:r>
              <w:rPr>
                <w:rFonts w:ascii="Times New Roman" w:hAnsi="Times New Roman" w:eastAsia="Times New Roman" w:cs="Times New Roman"/>
                <w:highlight w:val="white"/>
              </w:rPr>
              <w:t>. A study of Mediterranean history. London: Blackwell, 2000.</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592"/>
        <w:tblW w:w="9021" w:type="dxa"/>
        <w:tblInd w:w="65" w:type="dxa"/>
        <w:tblLayout w:type="fixed"/>
        <w:tblCellMar>
          <w:top w:w="0" w:type="dxa"/>
          <w:left w:w="108" w:type="dxa"/>
          <w:bottom w:w="0" w:type="dxa"/>
          <w:right w:w="108" w:type="dxa"/>
        </w:tblCellMar>
      </w:tblPr>
      <w:tblGrid>
        <w:gridCol w:w="3204"/>
        <w:gridCol w:w="3033"/>
        <w:gridCol w:w="86"/>
        <w:gridCol w:w="2698"/>
      </w:tblGrid>
      <w:tr>
        <w:tblPrEx>
          <w:tblCellMar>
            <w:top w:w="0" w:type="dxa"/>
            <w:left w:w="108" w:type="dxa"/>
            <w:bottom w:w="0" w:type="dxa"/>
            <w:right w:w="108" w:type="dxa"/>
          </w:tblCellMar>
        </w:tblPrEx>
        <w:tc>
          <w:tcPr>
            <w:tcW w:w="6237" w:type="dxa"/>
            <w:gridSpan w:val="2"/>
            <w:tcBorders>
              <w:top w:val="single" w:color="000000" w:sz="18"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do Componente Curricular em português: Leitura Dirigida em História Antiga e Medieval VI</w:t>
            </w:r>
          </w:p>
          <w:p>
            <w:pPr>
              <w:spacing w:line="360" w:lineRule="auto"/>
              <w:ind w:left="0" w:hanging="2"/>
              <w:rPr>
                <w:rFonts w:ascii="Times New Roman" w:hAnsi="Times New Roman" w:eastAsia="Times New Roman" w:cs="Times New Roman"/>
              </w:rPr>
            </w:pPr>
          </w:p>
          <w:p>
            <w:pPr>
              <w:spacing w:line="360" w:lineRule="auto"/>
              <w:ind w:left="0" w:hanging="2"/>
              <w:rPr>
                <w:rFonts w:ascii="Times New Roman" w:hAnsi="Times New Roman" w:cs="Times New Roman"/>
              </w:rPr>
            </w:pPr>
            <w:r>
              <w:rPr>
                <w:rFonts w:ascii="Times New Roman" w:hAnsi="Times New Roman" w:eastAsia="Times New Roman" w:cs="Times New Roman"/>
              </w:rPr>
              <w:t>Nome do Componente Curricular em inglês: Departamento de História - DEHIS</w:t>
            </w:r>
          </w:p>
        </w:tc>
        <w:tc>
          <w:tcPr>
            <w:tcW w:w="2784" w:type="dxa"/>
            <w:gridSpan w:val="2"/>
            <w:tcBorders>
              <w:top w:val="single" w:color="000000" w:sz="18"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Código: HIS921</w:t>
            </w:r>
          </w:p>
        </w:tc>
      </w:tr>
      <w:tr>
        <w:tblPrEx>
          <w:tblCellMar>
            <w:top w:w="0" w:type="dxa"/>
            <w:left w:w="108" w:type="dxa"/>
            <w:bottom w:w="0" w:type="dxa"/>
            <w:right w:w="108" w:type="dxa"/>
          </w:tblCellMar>
        </w:tblPrEx>
        <w:trPr>
          <w:trHeight w:val="641" w:hRule="atLeast"/>
        </w:trPr>
        <w:tc>
          <w:tcPr>
            <w:tcW w:w="6237" w:type="dxa"/>
            <w:gridSpan w:val="2"/>
            <w:tcBorders>
              <w:top w:val="single" w:color="000000" w:sz="4"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e sigla do departamento: Departamento de História (DEHIS)</w:t>
            </w:r>
          </w:p>
        </w:tc>
        <w:tc>
          <w:tcPr>
            <w:tcW w:w="2784" w:type="dxa"/>
            <w:gridSpan w:val="2"/>
            <w:tcBorders>
              <w:top w:val="single" w:color="000000" w:sz="4"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 xml:space="preserve">Unidade acadêmica: </w:t>
            </w:r>
          </w:p>
          <w:p>
            <w:pPr>
              <w:spacing w:line="360" w:lineRule="auto"/>
              <w:ind w:left="0" w:hanging="2"/>
              <w:rPr>
                <w:rFonts w:ascii="Times New Roman" w:hAnsi="Times New Roman" w:cs="Times New Roman"/>
              </w:rPr>
            </w:pPr>
            <w:r>
              <w:rPr>
                <w:rFonts w:ascii="Times New Roman" w:hAnsi="Times New Roman" w:eastAsia="Times New Roman" w:cs="Times New Roman"/>
              </w:rPr>
              <w:t>ICHS</w:t>
            </w:r>
          </w:p>
        </w:tc>
      </w:tr>
      <w:tr>
        <w:tblPrEx>
          <w:tblCellMar>
            <w:top w:w="0" w:type="dxa"/>
            <w:left w:w="108" w:type="dxa"/>
            <w:bottom w:w="0" w:type="dxa"/>
            <w:right w:w="108" w:type="dxa"/>
          </w:tblCellMar>
        </w:tblPrEx>
        <w:trPr>
          <w:trHeight w:val="641" w:hRule="atLeast"/>
        </w:trPr>
        <w:tc>
          <w:tcPr>
            <w:tcW w:w="3204" w:type="dxa"/>
            <w:tcBorders>
              <w:top w:val="single" w:color="000000" w:sz="4" w:space="0"/>
              <w:left w:val="single" w:color="000000" w:sz="18" w:space="0"/>
              <w:bottom w:val="single" w:color="000000" w:sz="4" w:space="0"/>
            </w:tcBorders>
          </w:tcPr>
          <w:p>
            <w:pPr>
              <w:spacing w:line="276" w:lineRule="auto"/>
              <w:ind w:left="0" w:hanging="2"/>
              <w:jc w:val="center"/>
              <w:rPr>
                <w:rFonts w:ascii="Times New Roman" w:hAnsi="Times New Roman" w:cs="Times New Roman"/>
              </w:rPr>
            </w:pPr>
            <w:r>
              <w:rPr>
                <w:rFonts w:ascii="Times New Roman" w:hAnsi="Times New Roman" w:eastAsia="Times New Roman" w:cs="Times New Roman"/>
                <w:color w:val="000000"/>
              </w:rPr>
              <w:t>Carga horária semestral</w:t>
            </w:r>
          </w:p>
          <w:p>
            <w:pPr>
              <w:spacing w:line="276" w:lineRule="auto"/>
              <w:ind w:left="0" w:hanging="2"/>
              <w:jc w:val="center"/>
              <w:rPr>
                <w:rFonts w:ascii="Times New Roman" w:hAnsi="Times New Roman" w:cs="Times New Roman"/>
              </w:rPr>
            </w:pPr>
            <w:r>
              <w:rPr>
                <w:rFonts w:ascii="Times New Roman" w:hAnsi="Times New Roman" w:eastAsia="Times New Roman" w:cs="Times New Roman"/>
                <w:color w:val="000000"/>
              </w:rPr>
              <w:t>30 horas</w:t>
            </w:r>
          </w:p>
        </w:tc>
        <w:tc>
          <w:tcPr>
            <w:tcW w:w="3119" w:type="dxa"/>
            <w:gridSpan w:val="2"/>
            <w:tcBorders>
              <w:top w:val="single" w:color="000000" w:sz="4" w:space="0"/>
              <w:left w:val="single" w:color="000000" w:sz="4" w:space="0"/>
              <w:bottom w:val="single" w:color="000000" w:sz="4" w:space="0"/>
            </w:tcBorders>
          </w:tcPr>
          <w:p>
            <w:pPr>
              <w:spacing w:line="276" w:lineRule="auto"/>
              <w:ind w:left="0" w:hanging="2"/>
              <w:jc w:val="center"/>
              <w:rPr>
                <w:rFonts w:ascii="Times New Roman" w:hAnsi="Times New Roman" w:cs="Times New Roman"/>
              </w:rPr>
            </w:pPr>
            <w:r>
              <w:rPr>
                <w:rFonts w:ascii="Times New Roman" w:hAnsi="Times New Roman" w:eastAsia="Times New Roman" w:cs="Times New Roman"/>
                <w:color w:val="000000"/>
              </w:rPr>
              <w:t xml:space="preserve">Carga horária semanal teórica </w:t>
            </w:r>
          </w:p>
          <w:p>
            <w:pPr>
              <w:spacing w:line="276" w:lineRule="auto"/>
              <w:ind w:left="0" w:hanging="2"/>
              <w:jc w:val="center"/>
              <w:rPr>
                <w:rFonts w:ascii="Times New Roman" w:hAnsi="Times New Roman" w:cs="Times New Roman"/>
              </w:rPr>
            </w:pPr>
            <w:r>
              <w:rPr>
                <w:rFonts w:ascii="Times New Roman" w:hAnsi="Times New Roman" w:eastAsia="Times New Roman" w:cs="Times New Roman"/>
                <w:color w:val="000000"/>
              </w:rPr>
              <w:t>02 horas/aula</w:t>
            </w:r>
          </w:p>
        </w:tc>
        <w:tc>
          <w:tcPr>
            <w:tcW w:w="2698" w:type="dxa"/>
            <w:tcBorders>
              <w:top w:val="single" w:color="000000" w:sz="4" w:space="0"/>
              <w:left w:val="single" w:color="000000" w:sz="4" w:space="0"/>
              <w:bottom w:val="single" w:color="000000" w:sz="4" w:space="0"/>
              <w:right w:val="single" w:color="000000" w:sz="18" w:space="0"/>
            </w:tcBorders>
          </w:tcPr>
          <w:p>
            <w:pPr>
              <w:spacing w:line="276" w:lineRule="auto"/>
              <w:ind w:left="0" w:hanging="2"/>
              <w:jc w:val="center"/>
              <w:rPr>
                <w:rFonts w:ascii="Times New Roman" w:hAnsi="Times New Roman" w:cs="Times New Roman"/>
              </w:rPr>
            </w:pPr>
            <w:r>
              <w:rPr>
                <w:rFonts w:ascii="Times New Roman" w:hAnsi="Times New Roman" w:eastAsia="Times New Roman" w:cs="Times New Roman"/>
                <w:color w:val="000000"/>
              </w:rPr>
              <w:t>Carga horária semanal prática</w:t>
            </w:r>
          </w:p>
          <w:p>
            <w:pPr>
              <w:spacing w:line="276" w:lineRule="auto"/>
              <w:ind w:left="0" w:hanging="2"/>
              <w:jc w:val="center"/>
              <w:rPr>
                <w:rFonts w:ascii="Times New Roman" w:hAnsi="Times New Roman" w:cs="Times New Roman"/>
              </w:rPr>
            </w:pPr>
            <w:r>
              <w:rPr>
                <w:rFonts w:ascii="Times New Roman" w:hAnsi="Times New Roman" w:eastAsia="Times New Roman" w:cs="Times New Roman"/>
                <w:color w:val="000000"/>
              </w:rPr>
              <w:t>00 horas/aula</w:t>
            </w:r>
          </w:p>
        </w:tc>
      </w:tr>
      <w:tr>
        <w:tblPrEx>
          <w:tblCellMar>
            <w:top w:w="0" w:type="dxa"/>
            <w:left w:w="108" w:type="dxa"/>
            <w:bottom w:w="0" w:type="dxa"/>
            <w:right w:w="108" w:type="dxa"/>
          </w:tblCellMar>
        </w:tblPrEx>
        <w:tc>
          <w:tcPr>
            <w:tcW w:w="9021" w:type="dxa"/>
            <w:gridSpan w:val="4"/>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Ementa: </w:t>
            </w:r>
            <w:r>
              <w:rPr>
                <w:rFonts w:ascii="Times New Roman" w:hAnsi="Times New Roman" w:eastAsia="Times New Roman" w:cs="Times New Roman"/>
                <w:color w:val="000000"/>
              </w:rPr>
              <w:t>Gêneros textuais antigos. Tradução de fontes antigas.</w:t>
            </w:r>
          </w:p>
        </w:tc>
      </w:tr>
      <w:tr>
        <w:tblPrEx>
          <w:tblCellMar>
            <w:top w:w="0" w:type="dxa"/>
            <w:left w:w="108" w:type="dxa"/>
            <w:bottom w:w="0" w:type="dxa"/>
            <w:right w:w="108" w:type="dxa"/>
          </w:tblCellMar>
        </w:tblPrEx>
        <w:tc>
          <w:tcPr>
            <w:tcW w:w="9021" w:type="dxa"/>
            <w:gridSpan w:val="4"/>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Conteúdo programático: </w:t>
            </w:r>
          </w:p>
          <w:p>
            <w:pPr>
              <w:numPr>
                <w:ilvl w:val="0"/>
                <w:numId w:val="87"/>
              </w:numPr>
              <w:tabs>
                <w:tab w:val="left" w:pos="0"/>
              </w:tabs>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Estudo de tópicos de língua latina.</w:t>
            </w:r>
          </w:p>
          <w:p>
            <w:pPr>
              <w:numPr>
                <w:ilvl w:val="0"/>
                <w:numId w:val="87"/>
              </w:numPr>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 xml:space="preserve"> Exercícios de tradução de fontes.</w:t>
            </w:r>
          </w:p>
          <w:p>
            <w:pPr>
              <w:numPr>
                <w:ilvl w:val="0"/>
                <w:numId w:val="87"/>
              </w:numPr>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 xml:space="preserve"> Construção de comentários e notas da tradução.</w:t>
            </w:r>
          </w:p>
        </w:tc>
      </w:tr>
      <w:tr>
        <w:tblPrEx>
          <w:tblCellMar>
            <w:top w:w="0" w:type="dxa"/>
            <w:left w:w="108" w:type="dxa"/>
            <w:bottom w:w="0" w:type="dxa"/>
            <w:right w:w="108" w:type="dxa"/>
          </w:tblCellMar>
        </w:tblPrEx>
        <w:tc>
          <w:tcPr>
            <w:tcW w:w="9021" w:type="dxa"/>
            <w:gridSpan w:val="4"/>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Bibliografia básica:</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CART, A; GRIMAL P; LAMAILSON, J; NOIVILLE, R. </w:t>
            </w:r>
            <w:r>
              <w:rPr>
                <w:rFonts w:ascii="Times New Roman" w:hAnsi="Times New Roman" w:eastAsia="Times New Roman" w:cs="Times New Roman"/>
                <w:i/>
              </w:rPr>
              <w:t>Gramática latina</w:t>
            </w:r>
            <w:r>
              <w:rPr>
                <w:rFonts w:ascii="Times New Roman" w:hAnsi="Times New Roman" w:eastAsia="Times New Roman" w:cs="Times New Roman"/>
              </w:rPr>
              <w:t xml:space="preserve">. São Paulo: T. A. Queiroz USP 1986. (Biblioteca universitária de língua e linguística; 5). </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JONES, Peter V.; SIDWELL, Keith C. </w:t>
            </w:r>
            <w:r>
              <w:rPr>
                <w:rFonts w:ascii="Times New Roman" w:hAnsi="Times New Roman" w:eastAsia="Times New Roman" w:cs="Times New Roman"/>
                <w:i/>
              </w:rPr>
              <w:t>Aprendendo Latim</w:t>
            </w:r>
            <w:r>
              <w:rPr>
                <w:rFonts w:ascii="Times New Roman" w:hAnsi="Times New Roman" w:eastAsia="Times New Roman" w:cs="Times New Roman"/>
              </w:rPr>
              <w:t xml:space="preserve">: gramática, vocabulários, exercícios e textos. Tradução e supervisão Isabella T. Cardoso, Paulo Sérgio de Vasconcellos et alii. São Paulo: Odysseus Editora, 2012. </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REZENDE, Antonio Martinez de; BIANCHET, Sandra. </w:t>
            </w:r>
            <w:r>
              <w:rPr>
                <w:rFonts w:ascii="Times New Roman" w:hAnsi="Times New Roman" w:eastAsia="Times New Roman" w:cs="Times New Roman"/>
                <w:i/>
              </w:rPr>
              <w:t>Dicionário do Latim essencial</w:t>
            </w:r>
            <w:r>
              <w:rPr>
                <w:rFonts w:ascii="Times New Roman" w:hAnsi="Times New Roman" w:eastAsia="Times New Roman" w:cs="Times New Roman"/>
              </w:rPr>
              <w:t>. Belo Horizonte: Autêntica, 2014.</w:t>
            </w:r>
          </w:p>
        </w:tc>
      </w:tr>
      <w:tr>
        <w:tblPrEx>
          <w:tblCellMar>
            <w:top w:w="0" w:type="dxa"/>
            <w:left w:w="108" w:type="dxa"/>
            <w:bottom w:w="0" w:type="dxa"/>
            <w:right w:w="108" w:type="dxa"/>
          </w:tblCellMar>
        </w:tblPrEx>
        <w:tc>
          <w:tcPr>
            <w:tcW w:w="9021" w:type="dxa"/>
            <w:gridSpan w:val="4"/>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Bibliografia complementar:</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AMARANTE, José. Latinitas: leitura de textos em língua latina: elegias, poesia épica, odes. Salvador (BA): EDUFBA, 2015. </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AMARANTE, José. Latinitas: leitura de textos em língua latina: fábulas mitológicas e esópicas, epigramas, epístolas. Salvador (BA): EDUFBA, 2015.</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FURLAN, Oswaldo Antonio; BUSSARELLO, Raulino. </w:t>
            </w:r>
            <w:r>
              <w:rPr>
                <w:rFonts w:ascii="Times New Roman" w:hAnsi="Times New Roman" w:eastAsia="Times New Roman" w:cs="Times New Roman"/>
                <w:i/>
              </w:rPr>
              <w:t>Gramática básica do latim</w:t>
            </w:r>
            <w:r>
              <w:rPr>
                <w:rFonts w:ascii="Times New Roman" w:hAnsi="Times New Roman" w:eastAsia="Times New Roman" w:cs="Times New Roman"/>
              </w:rPr>
              <w:t>. 2. ed. rev. Florianópolis: UFSC 1993.</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RONAI, Paulo. Curso de Latim I: gradus primus. 2. ed. São Paulo: Cultrix 1985. </w:t>
            </w:r>
          </w:p>
          <w:p>
            <w:pPr>
              <w:shd w:val="clear" w:color="auto" w:fill="FFFFFF"/>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HARVEY, Brian K. </w:t>
            </w:r>
            <w:r>
              <w:rPr>
                <w:rFonts w:ascii="Times New Roman" w:hAnsi="Times New Roman" w:eastAsia="Times New Roman" w:cs="Times New Roman"/>
                <w:i/>
              </w:rPr>
              <w:t>Roman lives: ancient roman life as illustrated by Latin inscriptions</w:t>
            </w:r>
            <w:r>
              <w:rPr>
                <w:rFonts w:ascii="Times New Roman" w:hAnsi="Times New Roman" w:eastAsia="Times New Roman" w:cs="Times New Roman"/>
              </w:rPr>
              <w:t>. Newburyport: Focus, 2004. (The Focus classical sources).</w:t>
            </w:r>
            <w:r>
              <w:rPr>
                <w:rFonts w:ascii="Times New Roman" w:hAnsi="Times New Roman" w:eastAsia="Times New Roman" w:cs="Times New Roman"/>
                <w:highlight w:val="white"/>
              </w:rPr>
              <w:t> </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593"/>
        <w:tblW w:w="8879" w:type="dxa"/>
        <w:tblInd w:w="65" w:type="dxa"/>
        <w:tblLayout w:type="fixed"/>
        <w:tblCellMar>
          <w:top w:w="0" w:type="dxa"/>
          <w:left w:w="108" w:type="dxa"/>
          <w:bottom w:w="0" w:type="dxa"/>
          <w:right w:w="108" w:type="dxa"/>
        </w:tblCellMar>
      </w:tblPr>
      <w:tblGrid>
        <w:gridCol w:w="2633"/>
        <w:gridCol w:w="3036"/>
        <w:gridCol w:w="83"/>
        <w:gridCol w:w="3127"/>
      </w:tblGrid>
      <w:tr>
        <w:tblPrEx>
          <w:tblCellMar>
            <w:top w:w="0" w:type="dxa"/>
            <w:left w:w="108" w:type="dxa"/>
            <w:bottom w:w="0" w:type="dxa"/>
            <w:right w:w="108" w:type="dxa"/>
          </w:tblCellMar>
        </w:tblPrEx>
        <w:tc>
          <w:tcPr>
            <w:tcW w:w="5669" w:type="dxa"/>
            <w:gridSpan w:val="2"/>
            <w:tcBorders>
              <w:top w:val="single" w:color="000000" w:sz="18"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do Componente Curricular em português: Leitura Dirigida em História Antiga e Medieval VII</w:t>
            </w:r>
          </w:p>
          <w:p>
            <w:pPr>
              <w:spacing w:line="360" w:lineRule="auto"/>
              <w:ind w:left="0" w:hanging="2"/>
              <w:rPr>
                <w:rFonts w:ascii="Times New Roman" w:hAnsi="Times New Roman" w:eastAsia="Times New Roman" w:cs="Times New Roman"/>
              </w:rPr>
            </w:pPr>
          </w:p>
          <w:p>
            <w:pPr>
              <w:spacing w:line="360" w:lineRule="auto"/>
              <w:ind w:left="0" w:hanging="2"/>
              <w:rPr>
                <w:rFonts w:ascii="Times New Roman" w:hAnsi="Times New Roman" w:cs="Times New Roman"/>
              </w:rPr>
            </w:pPr>
            <w:r>
              <w:rPr>
                <w:rFonts w:ascii="Times New Roman" w:hAnsi="Times New Roman" w:eastAsia="Times New Roman" w:cs="Times New Roman"/>
              </w:rPr>
              <w:t>Nome do Componente Curricular em inglês: Directed Reading in Ancient and Medieval History VII</w:t>
            </w:r>
          </w:p>
        </w:tc>
        <w:tc>
          <w:tcPr>
            <w:tcW w:w="3210" w:type="dxa"/>
            <w:gridSpan w:val="2"/>
            <w:tcBorders>
              <w:top w:val="single" w:color="000000" w:sz="18"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Código: HIS922</w:t>
            </w:r>
          </w:p>
        </w:tc>
      </w:tr>
      <w:tr>
        <w:tblPrEx>
          <w:tblCellMar>
            <w:top w:w="0" w:type="dxa"/>
            <w:left w:w="108" w:type="dxa"/>
            <w:bottom w:w="0" w:type="dxa"/>
            <w:right w:w="108" w:type="dxa"/>
          </w:tblCellMar>
        </w:tblPrEx>
        <w:trPr>
          <w:trHeight w:val="641" w:hRule="atLeast"/>
        </w:trPr>
        <w:tc>
          <w:tcPr>
            <w:tcW w:w="5669" w:type="dxa"/>
            <w:gridSpan w:val="2"/>
            <w:tcBorders>
              <w:top w:val="single" w:color="000000" w:sz="4"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e sigla do departamento: Departamento de História - DEHIS</w:t>
            </w:r>
          </w:p>
        </w:tc>
        <w:tc>
          <w:tcPr>
            <w:tcW w:w="3210" w:type="dxa"/>
            <w:gridSpan w:val="2"/>
            <w:tcBorders>
              <w:top w:val="single" w:color="000000" w:sz="4"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 xml:space="preserve">Unidade acadêmica: </w:t>
            </w:r>
          </w:p>
          <w:p>
            <w:pPr>
              <w:spacing w:line="360" w:lineRule="auto"/>
              <w:ind w:left="0" w:hanging="2"/>
              <w:rPr>
                <w:rFonts w:ascii="Times New Roman" w:hAnsi="Times New Roman" w:cs="Times New Roman"/>
              </w:rPr>
            </w:pPr>
            <w:r>
              <w:rPr>
                <w:rFonts w:ascii="Times New Roman" w:hAnsi="Times New Roman" w:eastAsia="Times New Roman" w:cs="Times New Roman"/>
              </w:rPr>
              <w:t>ICHS</w:t>
            </w:r>
          </w:p>
        </w:tc>
      </w:tr>
      <w:tr>
        <w:tblPrEx>
          <w:tblCellMar>
            <w:top w:w="0" w:type="dxa"/>
            <w:left w:w="108" w:type="dxa"/>
            <w:bottom w:w="0" w:type="dxa"/>
            <w:right w:w="108" w:type="dxa"/>
          </w:tblCellMar>
        </w:tblPrEx>
        <w:trPr>
          <w:trHeight w:val="641" w:hRule="atLeast"/>
        </w:trPr>
        <w:tc>
          <w:tcPr>
            <w:tcW w:w="2633" w:type="dxa"/>
            <w:tcBorders>
              <w:top w:val="single" w:color="000000" w:sz="4" w:space="0"/>
              <w:left w:val="single" w:color="000000" w:sz="18" w:space="0"/>
              <w:bottom w:val="single" w:color="000000" w:sz="4" w:space="0"/>
            </w:tcBorders>
          </w:tcPr>
          <w:p>
            <w:pPr>
              <w:spacing w:line="276" w:lineRule="auto"/>
              <w:ind w:left="0" w:hanging="2"/>
              <w:jc w:val="center"/>
              <w:rPr>
                <w:rFonts w:ascii="Times New Roman" w:hAnsi="Times New Roman" w:cs="Times New Roman"/>
              </w:rPr>
            </w:pPr>
            <w:r>
              <w:rPr>
                <w:rFonts w:ascii="Times New Roman" w:hAnsi="Times New Roman" w:eastAsia="Times New Roman" w:cs="Times New Roman"/>
                <w:color w:val="000000"/>
              </w:rPr>
              <w:t>Carga horária semestral</w:t>
            </w:r>
          </w:p>
          <w:p>
            <w:pPr>
              <w:spacing w:line="276" w:lineRule="auto"/>
              <w:ind w:left="0" w:hanging="2"/>
              <w:jc w:val="center"/>
              <w:rPr>
                <w:rFonts w:ascii="Times New Roman" w:hAnsi="Times New Roman" w:cs="Times New Roman"/>
              </w:rPr>
            </w:pPr>
            <w:r>
              <w:rPr>
                <w:rFonts w:ascii="Times New Roman" w:hAnsi="Times New Roman" w:eastAsia="Times New Roman" w:cs="Times New Roman"/>
                <w:color w:val="000000"/>
              </w:rPr>
              <w:t>30 horas</w:t>
            </w:r>
          </w:p>
        </w:tc>
        <w:tc>
          <w:tcPr>
            <w:tcW w:w="3119" w:type="dxa"/>
            <w:gridSpan w:val="2"/>
            <w:tcBorders>
              <w:top w:val="single" w:color="000000" w:sz="4" w:space="0"/>
              <w:left w:val="single" w:color="000000" w:sz="4" w:space="0"/>
              <w:bottom w:val="single" w:color="000000" w:sz="4" w:space="0"/>
            </w:tcBorders>
          </w:tcPr>
          <w:p>
            <w:pPr>
              <w:spacing w:line="276" w:lineRule="auto"/>
              <w:ind w:left="0" w:hanging="2"/>
              <w:jc w:val="center"/>
              <w:rPr>
                <w:rFonts w:ascii="Times New Roman" w:hAnsi="Times New Roman" w:cs="Times New Roman"/>
              </w:rPr>
            </w:pPr>
            <w:r>
              <w:rPr>
                <w:rFonts w:ascii="Times New Roman" w:hAnsi="Times New Roman" w:eastAsia="Times New Roman" w:cs="Times New Roman"/>
                <w:color w:val="000000"/>
              </w:rPr>
              <w:t xml:space="preserve">Carga horária semanal teórica </w:t>
            </w:r>
          </w:p>
          <w:p>
            <w:pPr>
              <w:spacing w:line="276" w:lineRule="auto"/>
              <w:ind w:left="0" w:hanging="2"/>
              <w:jc w:val="center"/>
              <w:rPr>
                <w:rFonts w:ascii="Times New Roman" w:hAnsi="Times New Roman" w:cs="Times New Roman"/>
              </w:rPr>
            </w:pPr>
            <w:r>
              <w:rPr>
                <w:rFonts w:ascii="Times New Roman" w:hAnsi="Times New Roman" w:eastAsia="Times New Roman" w:cs="Times New Roman"/>
                <w:color w:val="000000"/>
              </w:rPr>
              <w:t>02 horas/aula</w:t>
            </w:r>
          </w:p>
        </w:tc>
        <w:tc>
          <w:tcPr>
            <w:tcW w:w="3127" w:type="dxa"/>
            <w:tcBorders>
              <w:top w:val="single" w:color="000000" w:sz="4" w:space="0"/>
              <w:left w:val="single" w:color="000000" w:sz="4" w:space="0"/>
              <w:bottom w:val="single" w:color="000000" w:sz="4" w:space="0"/>
              <w:right w:val="single" w:color="000000" w:sz="18" w:space="0"/>
            </w:tcBorders>
          </w:tcPr>
          <w:p>
            <w:pPr>
              <w:spacing w:line="276" w:lineRule="auto"/>
              <w:ind w:left="0" w:hanging="2"/>
              <w:jc w:val="center"/>
              <w:rPr>
                <w:rFonts w:ascii="Times New Roman" w:hAnsi="Times New Roman" w:cs="Times New Roman"/>
              </w:rPr>
            </w:pPr>
            <w:r>
              <w:rPr>
                <w:rFonts w:ascii="Times New Roman" w:hAnsi="Times New Roman" w:eastAsia="Times New Roman" w:cs="Times New Roman"/>
                <w:color w:val="000000"/>
              </w:rPr>
              <w:t>Carga horária semanal prática</w:t>
            </w:r>
          </w:p>
          <w:p>
            <w:pPr>
              <w:spacing w:line="276" w:lineRule="auto"/>
              <w:ind w:left="0" w:hanging="2"/>
              <w:jc w:val="center"/>
              <w:rPr>
                <w:rFonts w:ascii="Times New Roman" w:hAnsi="Times New Roman" w:cs="Times New Roman"/>
              </w:rPr>
            </w:pPr>
            <w:r>
              <w:rPr>
                <w:rFonts w:ascii="Times New Roman" w:hAnsi="Times New Roman" w:eastAsia="Times New Roman" w:cs="Times New Roman"/>
                <w:color w:val="000000"/>
              </w:rPr>
              <w:t>00 horas/aula</w:t>
            </w:r>
          </w:p>
        </w:tc>
      </w:tr>
      <w:tr>
        <w:tblPrEx>
          <w:tblCellMar>
            <w:top w:w="0" w:type="dxa"/>
            <w:left w:w="108" w:type="dxa"/>
            <w:bottom w:w="0" w:type="dxa"/>
            <w:right w:w="108" w:type="dxa"/>
          </w:tblCellMar>
        </w:tblPrEx>
        <w:tc>
          <w:tcPr>
            <w:tcW w:w="8879" w:type="dxa"/>
            <w:gridSpan w:val="4"/>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Ementa: </w:t>
            </w:r>
            <w:r>
              <w:rPr>
                <w:rFonts w:ascii="Times New Roman" w:hAnsi="Times New Roman" w:eastAsia="Times New Roman" w:cs="Times New Roman"/>
                <w:color w:val="000000"/>
              </w:rPr>
              <w:t>História Antiga e representações artísticas modernas. Estudos de caso no cinema. Tradução de fontes antigas.</w:t>
            </w:r>
          </w:p>
        </w:tc>
      </w:tr>
      <w:tr>
        <w:tblPrEx>
          <w:tblCellMar>
            <w:top w:w="0" w:type="dxa"/>
            <w:left w:w="108" w:type="dxa"/>
            <w:bottom w:w="0" w:type="dxa"/>
            <w:right w:w="108" w:type="dxa"/>
          </w:tblCellMar>
        </w:tblPrEx>
        <w:tc>
          <w:tcPr>
            <w:tcW w:w="8879" w:type="dxa"/>
            <w:gridSpan w:val="4"/>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Conteúdo programático: </w:t>
            </w:r>
          </w:p>
          <w:p>
            <w:pPr>
              <w:numPr>
                <w:ilvl w:val="0"/>
                <w:numId w:val="88"/>
              </w:numPr>
              <w:tabs>
                <w:tab w:val="left" w:pos="0"/>
              </w:tabs>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O problema da recepção da Antiguidade.</w:t>
            </w:r>
          </w:p>
          <w:p>
            <w:pPr>
              <w:numPr>
                <w:ilvl w:val="0"/>
                <w:numId w:val="88"/>
              </w:numPr>
              <w:tabs>
                <w:tab w:val="left" w:pos="0"/>
              </w:tabs>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As relações entre História Antiga e Cinema.</w:t>
            </w:r>
          </w:p>
          <w:p>
            <w:pPr>
              <w:numPr>
                <w:ilvl w:val="0"/>
                <w:numId w:val="88"/>
              </w:numPr>
              <w:tabs>
                <w:tab w:val="left" w:pos="0"/>
              </w:tabs>
              <w:spacing w:after="200"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Estudos de caso.</w:t>
            </w:r>
          </w:p>
        </w:tc>
      </w:tr>
      <w:tr>
        <w:tblPrEx>
          <w:tblCellMar>
            <w:top w:w="0" w:type="dxa"/>
            <w:left w:w="108" w:type="dxa"/>
            <w:bottom w:w="0" w:type="dxa"/>
            <w:right w:w="108" w:type="dxa"/>
          </w:tblCellMar>
        </w:tblPrEx>
        <w:tc>
          <w:tcPr>
            <w:tcW w:w="8879" w:type="dxa"/>
            <w:gridSpan w:val="4"/>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Bibliografia básica:</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CYRINO, Monica Silveira. Big screen Rome. London: Routledge, 2005.</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WINCKLER, Martin M. </w:t>
            </w:r>
            <w:r>
              <w:rPr>
                <w:rFonts w:ascii="Times New Roman" w:hAnsi="Times New Roman" w:eastAsia="Times New Roman" w:cs="Times New Roman"/>
                <w:i/>
              </w:rPr>
              <w:t>Prólogos ao poder: Como Hollywood apresenta o Império Romano</w:t>
            </w:r>
            <w:r>
              <w:rPr>
                <w:rFonts w:ascii="Times New Roman" w:hAnsi="Times New Roman" w:eastAsia="Times New Roman" w:cs="Times New Roman"/>
              </w:rPr>
              <w:t>. Palestra proferida no Ciclo de Estudos do LEIR-UFOP, 2011.</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WYKE, Maria. </w:t>
            </w:r>
            <w:r>
              <w:rPr>
                <w:rFonts w:ascii="Times New Roman" w:hAnsi="Times New Roman" w:eastAsia="Times New Roman" w:cs="Times New Roman"/>
                <w:i/>
              </w:rPr>
              <w:t>Projecting the past: Ancient Rome, Cinema, and History</w:t>
            </w:r>
            <w:r>
              <w:rPr>
                <w:rFonts w:ascii="Times New Roman" w:hAnsi="Times New Roman" w:eastAsia="Times New Roman" w:cs="Times New Roman"/>
              </w:rPr>
              <w:t>. London: Routledge, 1997</w:t>
            </w:r>
          </w:p>
        </w:tc>
      </w:tr>
      <w:tr>
        <w:tblPrEx>
          <w:tblCellMar>
            <w:top w:w="0" w:type="dxa"/>
            <w:left w:w="108" w:type="dxa"/>
            <w:bottom w:w="0" w:type="dxa"/>
            <w:right w:w="108" w:type="dxa"/>
          </w:tblCellMar>
        </w:tblPrEx>
        <w:tc>
          <w:tcPr>
            <w:tcW w:w="8879" w:type="dxa"/>
            <w:gridSpan w:val="4"/>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Bibliografia complementar:</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HARDWICK, Lorna; STRAY, Christopher (ed.). </w:t>
            </w:r>
            <w:r>
              <w:rPr>
                <w:rFonts w:ascii="Times New Roman" w:hAnsi="Times New Roman" w:eastAsia="Times New Roman" w:cs="Times New Roman"/>
                <w:i/>
              </w:rPr>
              <w:t>A Companion to Classical Receptions</w:t>
            </w:r>
            <w:r>
              <w:rPr>
                <w:rFonts w:ascii="Times New Roman" w:hAnsi="Times New Roman" w:eastAsia="Times New Roman" w:cs="Times New Roman"/>
              </w:rPr>
              <w:t>. Oxford: Blackwell, 2008.</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WINCKLER, Martin M. </w:t>
            </w:r>
            <w:r>
              <w:rPr>
                <w:rFonts w:ascii="Times New Roman" w:hAnsi="Times New Roman" w:eastAsia="Times New Roman" w:cs="Times New Roman"/>
                <w:i/>
              </w:rPr>
              <w:t>Spartacus: film and history</w:t>
            </w:r>
            <w:r>
              <w:rPr>
                <w:rFonts w:ascii="Times New Roman" w:hAnsi="Times New Roman" w:eastAsia="Times New Roman" w:cs="Times New Roman"/>
              </w:rPr>
              <w:t>. Oxford: Blackwell, 2007.</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MARCHENA, Óscar Lapeña. Hacia un Pasado Común. El Cine y la Uniformizacion de la Antigüedad Clásica. Apuntes para su Estudio. </w:t>
            </w:r>
            <w:r>
              <w:rPr>
                <w:rFonts w:ascii="Times New Roman" w:hAnsi="Times New Roman" w:eastAsia="Times New Roman" w:cs="Times New Roman"/>
                <w:i/>
              </w:rPr>
              <w:t>Methodos</w:t>
            </w:r>
            <w:r>
              <w:rPr>
                <w:rFonts w:ascii="Times New Roman" w:hAnsi="Times New Roman" w:eastAsia="Times New Roman" w:cs="Times New Roman"/>
              </w:rPr>
              <w:t>, 2011 (https://ddd.uab.cat/pub/methodos/methodos_a2011n0/methodos_a2011n0a10.pdf)</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MARCHENA, Óscar Lapeña. La historia de Roma a lo largo de un siglo de cine. Apuntes a una filmografía. </w:t>
            </w:r>
            <w:r>
              <w:rPr>
                <w:rFonts w:ascii="Times New Roman" w:hAnsi="Times New Roman" w:eastAsia="Times New Roman" w:cs="Times New Roman"/>
                <w:i/>
              </w:rPr>
              <w:t>Dialogues d’histoire ancienne</w:t>
            </w:r>
            <w:r>
              <w:rPr>
                <w:rFonts w:ascii="Times New Roman" w:hAnsi="Times New Roman" w:eastAsia="Times New Roman" w:cs="Times New Roman"/>
              </w:rPr>
              <w:t>, vol. 25, n.1, 1999, p. 35-56 (https://www.persee.fr/doc/dha_0755-7256_1999_num_25_1_1524)</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MENEZES, Victor Henrique da Silva. Capas, Espadas e Sandálias: O Mundo Antigo por meio das Telas. </w:t>
            </w:r>
            <w:r>
              <w:rPr>
                <w:rFonts w:ascii="Times New Roman" w:hAnsi="Times New Roman" w:eastAsia="Times New Roman" w:cs="Times New Roman"/>
                <w:i/>
              </w:rPr>
              <w:t>Revista Mundo Antigo</w:t>
            </w:r>
            <w:r>
              <w:rPr>
                <w:rFonts w:ascii="Times New Roman" w:hAnsi="Times New Roman" w:eastAsia="Times New Roman" w:cs="Times New Roman"/>
              </w:rPr>
              <w:t>, ano V, vol. 5, n. 10, 2016, p. 155-180. (http://www.nehmaat.uff.br/revista/2016-1/artigo07-2016-1.pdf)</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594"/>
        <w:tblW w:w="8845" w:type="dxa"/>
        <w:tblInd w:w="0" w:type="dxa"/>
        <w:tblLayout w:type="fixed"/>
        <w:tblCellMar>
          <w:top w:w="0" w:type="dxa"/>
          <w:left w:w="108" w:type="dxa"/>
          <w:bottom w:w="0" w:type="dxa"/>
          <w:right w:w="108" w:type="dxa"/>
        </w:tblCellMar>
      </w:tblPr>
      <w:tblGrid>
        <w:gridCol w:w="3305"/>
        <w:gridCol w:w="2966"/>
        <w:gridCol w:w="2574"/>
      </w:tblGrid>
      <w:tr>
        <w:tblPrEx>
          <w:tblCellMar>
            <w:top w:w="0" w:type="dxa"/>
            <w:left w:w="108" w:type="dxa"/>
            <w:bottom w:w="0" w:type="dxa"/>
            <w:right w:w="108" w:type="dxa"/>
          </w:tblCellMar>
        </w:tblPrEx>
        <w:tc>
          <w:tcPr>
            <w:tcW w:w="6271" w:type="dxa"/>
            <w:gridSpan w:val="2"/>
            <w:tcBorders>
              <w:top w:val="single" w:color="000000" w:sz="18"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do Componente Curricular em português: Leitura Dirigida em História Antiga e Medieval VIII</w:t>
            </w:r>
          </w:p>
          <w:p>
            <w:pPr>
              <w:spacing w:line="360" w:lineRule="auto"/>
              <w:ind w:left="0" w:hanging="2"/>
              <w:rPr>
                <w:rFonts w:ascii="Times New Roman" w:hAnsi="Times New Roman" w:eastAsia="Times New Roman" w:cs="Times New Roman"/>
              </w:rPr>
            </w:pPr>
          </w:p>
          <w:p>
            <w:pPr>
              <w:spacing w:line="360" w:lineRule="auto"/>
              <w:ind w:left="0" w:hanging="2"/>
              <w:rPr>
                <w:rFonts w:ascii="Times New Roman" w:hAnsi="Times New Roman" w:cs="Times New Roman"/>
              </w:rPr>
            </w:pPr>
            <w:r>
              <w:rPr>
                <w:rFonts w:ascii="Times New Roman" w:hAnsi="Times New Roman" w:eastAsia="Times New Roman" w:cs="Times New Roman"/>
              </w:rPr>
              <w:t>Nome do Componente Curricular em inglês:Directed Reading in Ancient and Medieval History VIII</w:t>
            </w:r>
          </w:p>
        </w:tc>
        <w:tc>
          <w:tcPr>
            <w:tcW w:w="2574" w:type="dxa"/>
            <w:tcBorders>
              <w:top w:val="single" w:color="000000" w:sz="18"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Código: HIS923</w:t>
            </w:r>
          </w:p>
        </w:tc>
      </w:tr>
      <w:tr>
        <w:tblPrEx>
          <w:tblCellMar>
            <w:top w:w="0" w:type="dxa"/>
            <w:left w:w="108" w:type="dxa"/>
            <w:bottom w:w="0" w:type="dxa"/>
            <w:right w:w="108" w:type="dxa"/>
          </w:tblCellMar>
        </w:tblPrEx>
        <w:trPr>
          <w:trHeight w:val="641" w:hRule="atLeast"/>
        </w:trPr>
        <w:tc>
          <w:tcPr>
            <w:tcW w:w="6271" w:type="dxa"/>
            <w:gridSpan w:val="2"/>
            <w:tcBorders>
              <w:top w:val="single" w:color="000000" w:sz="4"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e sigla do departamento: Departamento de História - DEHIS</w:t>
            </w:r>
          </w:p>
        </w:tc>
        <w:tc>
          <w:tcPr>
            <w:tcW w:w="2574" w:type="dxa"/>
            <w:tcBorders>
              <w:top w:val="single" w:color="000000" w:sz="4" w:space="0"/>
              <w:left w:val="single" w:color="000000" w:sz="4" w:space="0"/>
              <w:bottom w:val="single" w:color="000000" w:sz="4" w:space="0"/>
              <w:right w:val="single" w:color="000000" w:sz="18"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Unidade acadêmica:</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ICHS</w:t>
            </w:r>
          </w:p>
        </w:tc>
      </w:tr>
      <w:tr>
        <w:tblPrEx>
          <w:tblCellMar>
            <w:top w:w="0" w:type="dxa"/>
            <w:left w:w="108" w:type="dxa"/>
            <w:bottom w:w="0" w:type="dxa"/>
            <w:right w:w="108" w:type="dxa"/>
          </w:tblCellMar>
        </w:tblPrEx>
        <w:trPr>
          <w:trHeight w:val="641" w:hRule="atLeast"/>
        </w:trPr>
        <w:tc>
          <w:tcPr>
            <w:tcW w:w="3305" w:type="dxa"/>
            <w:tcBorders>
              <w:top w:val="single" w:color="000000" w:sz="4" w:space="0"/>
              <w:left w:val="single" w:color="000000" w:sz="18" w:space="0"/>
              <w:bottom w:val="single" w:color="000000" w:sz="4" w:space="0"/>
            </w:tcBorders>
          </w:tcPr>
          <w:p>
            <w:pPr>
              <w:spacing w:line="276" w:lineRule="auto"/>
              <w:ind w:left="0" w:hanging="2"/>
              <w:jc w:val="center"/>
              <w:rPr>
                <w:rFonts w:ascii="Times New Roman" w:hAnsi="Times New Roman" w:cs="Times New Roman"/>
              </w:rPr>
            </w:pPr>
            <w:r>
              <w:rPr>
                <w:rFonts w:ascii="Times New Roman" w:hAnsi="Times New Roman" w:eastAsia="Times New Roman" w:cs="Times New Roman"/>
                <w:color w:val="000000"/>
              </w:rPr>
              <w:t>Carga horária semestral</w:t>
            </w:r>
          </w:p>
          <w:p>
            <w:pPr>
              <w:spacing w:line="276" w:lineRule="auto"/>
              <w:ind w:left="0" w:hanging="2"/>
              <w:jc w:val="center"/>
              <w:rPr>
                <w:rFonts w:ascii="Times New Roman" w:hAnsi="Times New Roman" w:cs="Times New Roman"/>
              </w:rPr>
            </w:pPr>
            <w:r>
              <w:rPr>
                <w:rFonts w:ascii="Times New Roman" w:hAnsi="Times New Roman" w:eastAsia="Times New Roman" w:cs="Times New Roman"/>
                <w:color w:val="000000"/>
              </w:rPr>
              <w:t>30 horas</w:t>
            </w:r>
          </w:p>
        </w:tc>
        <w:tc>
          <w:tcPr>
            <w:tcW w:w="2966" w:type="dxa"/>
            <w:tcBorders>
              <w:top w:val="single" w:color="000000" w:sz="4" w:space="0"/>
              <w:left w:val="single" w:color="000000" w:sz="4" w:space="0"/>
              <w:bottom w:val="single" w:color="000000" w:sz="4" w:space="0"/>
            </w:tcBorders>
          </w:tcPr>
          <w:p>
            <w:pPr>
              <w:spacing w:line="276" w:lineRule="auto"/>
              <w:ind w:left="0" w:hanging="2"/>
              <w:jc w:val="center"/>
              <w:rPr>
                <w:rFonts w:ascii="Times New Roman" w:hAnsi="Times New Roman" w:cs="Times New Roman"/>
              </w:rPr>
            </w:pPr>
            <w:r>
              <w:rPr>
                <w:rFonts w:ascii="Times New Roman" w:hAnsi="Times New Roman" w:eastAsia="Times New Roman" w:cs="Times New Roman"/>
                <w:color w:val="000000"/>
              </w:rPr>
              <w:t xml:space="preserve">Carga horária semanal teórica </w:t>
            </w:r>
          </w:p>
          <w:p>
            <w:pPr>
              <w:spacing w:line="276" w:lineRule="auto"/>
              <w:ind w:left="0" w:hanging="2"/>
              <w:jc w:val="center"/>
              <w:rPr>
                <w:rFonts w:ascii="Times New Roman" w:hAnsi="Times New Roman" w:cs="Times New Roman"/>
              </w:rPr>
            </w:pPr>
            <w:r>
              <w:rPr>
                <w:rFonts w:ascii="Times New Roman" w:hAnsi="Times New Roman" w:eastAsia="Times New Roman" w:cs="Times New Roman"/>
                <w:color w:val="000000"/>
              </w:rPr>
              <w:t>02 horas/aula</w:t>
            </w:r>
          </w:p>
        </w:tc>
        <w:tc>
          <w:tcPr>
            <w:tcW w:w="2574" w:type="dxa"/>
            <w:tcBorders>
              <w:top w:val="single" w:color="000000" w:sz="4" w:space="0"/>
              <w:left w:val="single" w:color="000000" w:sz="4" w:space="0"/>
              <w:bottom w:val="single" w:color="000000" w:sz="4" w:space="0"/>
              <w:right w:val="single" w:color="000000" w:sz="18" w:space="0"/>
            </w:tcBorders>
          </w:tcPr>
          <w:p>
            <w:pPr>
              <w:spacing w:line="276" w:lineRule="auto"/>
              <w:ind w:left="0" w:hanging="2"/>
              <w:jc w:val="center"/>
              <w:rPr>
                <w:rFonts w:ascii="Times New Roman" w:hAnsi="Times New Roman" w:cs="Times New Roman"/>
              </w:rPr>
            </w:pPr>
            <w:r>
              <w:rPr>
                <w:rFonts w:ascii="Times New Roman" w:hAnsi="Times New Roman" w:eastAsia="Times New Roman" w:cs="Times New Roman"/>
                <w:color w:val="000000"/>
              </w:rPr>
              <w:t>Carga horária semanal prática</w:t>
            </w:r>
          </w:p>
          <w:p>
            <w:pPr>
              <w:spacing w:line="276" w:lineRule="auto"/>
              <w:ind w:left="0" w:hanging="2"/>
              <w:jc w:val="center"/>
              <w:rPr>
                <w:rFonts w:ascii="Times New Roman" w:hAnsi="Times New Roman" w:cs="Times New Roman"/>
              </w:rPr>
            </w:pPr>
            <w:r>
              <w:rPr>
                <w:rFonts w:ascii="Times New Roman" w:hAnsi="Times New Roman" w:eastAsia="Times New Roman" w:cs="Times New Roman"/>
                <w:color w:val="000000"/>
              </w:rPr>
              <w:t>00 horas/aula</w:t>
            </w:r>
          </w:p>
        </w:tc>
      </w:tr>
      <w:tr>
        <w:tblPrEx>
          <w:tblCellMar>
            <w:top w:w="0" w:type="dxa"/>
            <w:left w:w="108" w:type="dxa"/>
            <w:bottom w:w="0" w:type="dxa"/>
            <w:right w:w="108" w:type="dxa"/>
          </w:tblCellMar>
        </w:tblPrEx>
        <w:tc>
          <w:tcPr>
            <w:tcW w:w="8845"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Ementa: Ementa: História Antiga e conceitos modernos. Estudo de caso da corrupção ou outro de característica similar a ser definido pelo professor e turma. Análise de fontes antigas.</w:t>
            </w:r>
          </w:p>
        </w:tc>
      </w:tr>
      <w:tr>
        <w:tblPrEx>
          <w:tblCellMar>
            <w:top w:w="0" w:type="dxa"/>
            <w:left w:w="108" w:type="dxa"/>
            <w:bottom w:w="0" w:type="dxa"/>
            <w:right w:w="108" w:type="dxa"/>
          </w:tblCellMar>
        </w:tblPrEx>
        <w:tc>
          <w:tcPr>
            <w:tcW w:w="8845"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Conteúdo programático: </w:t>
            </w:r>
          </w:p>
          <w:p>
            <w:pPr>
              <w:numPr>
                <w:ilvl w:val="0"/>
                <w:numId w:val="89"/>
              </w:numPr>
              <w:tabs>
                <w:tab w:val="left" w:pos="0"/>
              </w:tabs>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O problema do uso de conceitos modernos para o estudo da Antiguidade.</w:t>
            </w:r>
          </w:p>
          <w:p>
            <w:pPr>
              <w:numPr>
                <w:ilvl w:val="0"/>
                <w:numId w:val="89"/>
              </w:numPr>
              <w:tabs>
                <w:tab w:val="left" w:pos="0"/>
              </w:tabs>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O caso específico da corrupção: a. usos modernos; b. usos antigos</w:t>
            </w:r>
          </w:p>
          <w:p>
            <w:pPr>
              <w:numPr>
                <w:ilvl w:val="0"/>
                <w:numId w:val="89"/>
              </w:numPr>
              <w:tabs>
                <w:tab w:val="left" w:pos="0"/>
              </w:tabs>
              <w:spacing w:after="200"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Estudos de caso nas fontes antigas: a. Plauto; b. Suetônio.</w:t>
            </w:r>
          </w:p>
        </w:tc>
      </w:tr>
      <w:tr>
        <w:tblPrEx>
          <w:tblCellMar>
            <w:top w:w="0" w:type="dxa"/>
            <w:left w:w="108" w:type="dxa"/>
            <w:bottom w:w="0" w:type="dxa"/>
            <w:right w:w="108" w:type="dxa"/>
          </w:tblCellMar>
        </w:tblPrEx>
        <w:tc>
          <w:tcPr>
            <w:tcW w:w="8845"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Bibliografia básica:</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BUCHAN, Bruce; HILL, Lisa. </w:t>
            </w:r>
            <w:r>
              <w:rPr>
                <w:rFonts w:ascii="Times New Roman" w:hAnsi="Times New Roman" w:eastAsia="Times New Roman" w:cs="Times New Roman"/>
                <w:i/>
              </w:rPr>
              <w:t>An Intellectual History of Political Corruption</w:t>
            </w:r>
            <w:r>
              <w:rPr>
                <w:rFonts w:ascii="Times New Roman" w:hAnsi="Times New Roman" w:eastAsia="Times New Roman" w:cs="Times New Roman"/>
              </w:rPr>
              <w:t>. Basingstoke: Macmillan, 2014.</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ROSILLO-LÓPEZ, Cristina. “The workings of public opinion in the Late Roman Republic: the case study of corruption.” </w:t>
            </w:r>
            <w:r>
              <w:rPr>
                <w:rFonts w:ascii="Times New Roman" w:hAnsi="Times New Roman" w:eastAsia="Times New Roman" w:cs="Times New Roman"/>
                <w:i/>
              </w:rPr>
              <w:t>Klio</w:t>
            </w:r>
            <w:r>
              <w:rPr>
                <w:rFonts w:ascii="Times New Roman" w:hAnsi="Times New Roman" w:eastAsia="Times New Roman" w:cs="Times New Roman"/>
              </w:rPr>
              <w:t>. 2016; 98(1): 203–227. DOI 10.1515/klio-2016-0007</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FAVERSANI, Fábio (ed.). </w:t>
            </w:r>
            <w:r>
              <w:rPr>
                <w:rFonts w:ascii="Times New Roman" w:hAnsi="Times New Roman" w:eastAsia="Times New Roman" w:cs="Times New Roman"/>
                <w:i/>
              </w:rPr>
              <w:t xml:space="preserve">Caderno de fontes para o estudo da corrupção romana. </w:t>
            </w:r>
            <w:r>
              <w:rPr>
                <w:rFonts w:ascii="Times New Roman" w:hAnsi="Times New Roman" w:eastAsia="Times New Roman" w:cs="Times New Roman"/>
              </w:rPr>
              <w:t xml:space="preserve">Mariana: edição datiloscrita, 2018. </w:t>
            </w:r>
          </w:p>
        </w:tc>
      </w:tr>
      <w:tr>
        <w:tblPrEx>
          <w:tblCellMar>
            <w:top w:w="0" w:type="dxa"/>
            <w:left w:w="108" w:type="dxa"/>
            <w:bottom w:w="0" w:type="dxa"/>
            <w:right w:w="108" w:type="dxa"/>
          </w:tblCellMar>
        </w:tblPrEx>
        <w:trPr>
          <w:trHeight w:val="487" w:hRule="atLeast"/>
        </w:trPr>
        <w:tc>
          <w:tcPr>
            <w:tcW w:w="8845"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Bibliografia complementar:</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Calibri" w:cs="Times New Roman"/>
                <w:color w:val="000000"/>
              </w:rPr>
            </w:pPr>
            <w:r>
              <w:rPr>
                <w:rFonts w:ascii="Times New Roman" w:hAnsi="Times New Roman" w:eastAsia="Times New Roman" w:cs="Times New Roman"/>
                <w:color w:val="000000"/>
              </w:rPr>
              <w:t xml:space="preserve">BRANDÃO, José Luís Lopes - </w:t>
            </w:r>
            <w:r>
              <w:rPr>
                <w:rFonts w:ascii="Times New Roman" w:hAnsi="Times New Roman" w:eastAsia="Times New Roman" w:cs="Times New Roman"/>
                <w:i/>
                <w:color w:val="000000"/>
              </w:rPr>
              <w:t>Máscaras dos Césares</w:t>
            </w:r>
            <w:r>
              <w:rPr>
                <w:rFonts w:ascii="Times New Roman" w:hAnsi="Times New Roman" w:eastAsia="Times New Roman" w:cs="Times New Roman"/>
                <w:color w:val="000000"/>
              </w:rPr>
              <w:t xml:space="preserve">: teatro e moralidade nas vidas suetonianas. Coimbra: 2009. (disponível online) </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FINLEY, M. I. Generalizações em História Antiga. In FINLEY, M. I. </w:t>
            </w:r>
            <w:r>
              <w:rPr>
                <w:rFonts w:ascii="Times New Roman" w:hAnsi="Times New Roman" w:eastAsia="Times New Roman" w:cs="Times New Roman"/>
                <w:i/>
              </w:rPr>
              <w:t>Uso e Abuso da História</w:t>
            </w:r>
            <w:r>
              <w:rPr>
                <w:rFonts w:ascii="Times New Roman" w:hAnsi="Times New Roman" w:eastAsia="Times New Roman" w:cs="Times New Roman"/>
              </w:rPr>
              <w:t>. Sao Paulo: Martins Fontes, 1989, p. 57-74.</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GUARINELLO, N. L. Império e Imperialismo: realidades antigas e conceitos contemporâneos. In: Adriana Campos; Gilvan Ventura; Sergio Feldman. (Org.).</w:t>
            </w:r>
            <w:r>
              <w:rPr>
                <w:rFonts w:ascii="Times New Roman" w:hAnsi="Times New Roman" w:eastAsia="Times New Roman" w:cs="Times New Roman"/>
                <w:i/>
              </w:rPr>
              <w:t xml:space="preserve"> Os Impérios e suas matrizes políticas e culturais</w:t>
            </w:r>
            <w:r>
              <w:rPr>
                <w:rFonts w:ascii="Times New Roman" w:hAnsi="Times New Roman" w:eastAsia="Times New Roman" w:cs="Times New Roman"/>
              </w:rPr>
              <w:t>. Vitória: Flor e Cultura, 2008. p. 1-202.</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HEYWOOD, Paul M. (ed.). </w:t>
            </w:r>
            <w:r>
              <w:rPr>
                <w:rFonts w:ascii="Times New Roman" w:hAnsi="Times New Roman" w:eastAsia="Times New Roman" w:cs="Times New Roman"/>
                <w:i/>
              </w:rPr>
              <w:t>Routledge Handbook of Political Corruption</w:t>
            </w:r>
            <w:r>
              <w:rPr>
                <w:rFonts w:ascii="Times New Roman" w:hAnsi="Times New Roman" w:eastAsia="Times New Roman" w:cs="Times New Roman"/>
              </w:rPr>
              <w:t>. London: Routledge, 2015.</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ROSILLO-LÓPEZ, Cristina. </w:t>
            </w:r>
            <w:r>
              <w:rPr>
                <w:rFonts w:ascii="Times New Roman" w:hAnsi="Times New Roman" w:eastAsia="Times New Roman" w:cs="Times New Roman"/>
                <w:i/>
              </w:rPr>
              <w:t xml:space="preserve">La corruption à la fin de la république romaine (IIe-Ier s. av. J.-C.) </w:t>
            </w:r>
          </w:p>
          <w:p>
            <w:pPr>
              <w:spacing w:line="360" w:lineRule="auto"/>
              <w:ind w:left="0" w:hanging="2"/>
              <w:jc w:val="both"/>
              <w:rPr>
                <w:rFonts w:ascii="Times New Roman" w:hAnsi="Times New Roman" w:cs="Times New Roman"/>
              </w:rPr>
            </w:pPr>
            <w:r>
              <w:rPr>
                <w:rFonts w:ascii="Times New Roman" w:hAnsi="Times New Roman" w:eastAsia="Times New Roman" w:cs="Times New Roman"/>
                <w:i/>
              </w:rPr>
              <w:t>: aspects politiques et financiers</w:t>
            </w:r>
            <w:r>
              <w:rPr>
                <w:rFonts w:ascii="Times New Roman" w:hAnsi="Times New Roman" w:eastAsia="Times New Roman" w:cs="Times New Roman"/>
              </w:rPr>
              <w:t>. Stuttgart: Steiner, 2010.</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595"/>
        <w:tblW w:w="8924" w:type="dxa"/>
        <w:tblInd w:w="0" w:type="dxa"/>
        <w:tblLayout w:type="fixed"/>
        <w:tblCellMar>
          <w:top w:w="0" w:type="dxa"/>
          <w:left w:w="108" w:type="dxa"/>
          <w:bottom w:w="0" w:type="dxa"/>
          <w:right w:w="108" w:type="dxa"/>
        </w:tblCellMar>
      </w:tblPr>
      <w:tblGrid>
        <w:gridCol w:w="3404"/>
        <w:gridCol w:w="2985"/>
        <w:gridCol w:w="2535"/>
      </w:tblGrid>
      <w:tr>
        <w:tblPrEx>
          <w:tblCellMar>
            <w:top w:w="0" w:type="dxa"/>
            <w:left w:w="108" w:type="dxa"/>
            <w:bottom w:w="0" w:type="dxa"/>
            <w:right w:w="108" w:type="dxa"/>
          </w:tblCellMar>
        </w:tblPrEx>
        <w:tc>
          <w:tcPr>
            <w:tcW w:w="6389" w:type="dxa"/>
            <w:gridSpan w:val="2"/>
            <w:tcBorders>
              <w:top w:val="single" w:color="000000" w:sz="18"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 xml:space="preserve">Nome do Componente Curricular em português:  Seminário em História Antiga e Medieval XXI </w:t>
            </w:r>
          </w:p>
          <w:p>
            <w:pPr>
              <w:spacing w:line="360" w:lineRule="auto"/>
              <w:ind w:left="0" w:hanging="2"/>
              <w:rPr>
                <w:rFonts w:ascii="Times New Roman" w:hAnsi="Times New Roman" w:cs="Times New Roman"/>
              </w:rPr>
            </w:pPr>
            <w:r>
              <w:rPr>
                <w:rFonts w:ascii="Times New Roman" w:hAnsi="Times New Roman" w:eastAsia="Times New Roman" w:cs="Times New Roman"/>
              </w:rPr>
              <w:t>Nome do Componente Curricular em inglês:</w:t>
            </w:r>
          </w:p>
          <w:p>
            <w:pPr>
              <w:spacing w:line="360" w:lineRule="auto"/>
              <w:ind w:left="0" w:hanging="2"/>
              <w:rPr>
                <w:rFonts w:ascii="Times New Roman" w:hAnsi="Times New Roman" w:cs="Times New Roman"/>
              </w:rPr>
            </w:pPr>
            <w:r>
              <w:rPr>
                <w:rFonts w:ascii="Times New Roman" w:hAnsi="Times New Roman" w:eastAsia="Times New Roman" w:cs="Times New Roman"/>
              </w:rPr>
              <w:t>Seminar in Ancient and Medieval History XXI</w:t>
            </w:r>
          </w:p>
        </w:tc>
        <w:tc>
          <w:tcPr>
            <w:tcW w:w="2535" w:type="dxa"/>
            <w:tcBorders>
              <w:top w:val="single" w:color="000000" w:sz="18"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Código: HIS924</w:t>
            </w:r>
          </w:p>
        </w:tc>
      </w:tr>
      <w:tr>
        <w:tblPrEx>
          <w:tblCellMar>
            <w:top w:w="0" w:type="dxa"/>
            <w:left w:w="108" w:type="dxa"/>
            <w:bottom w:w="0" w:type="dxa"/>
            <w:right w:w="108" w:type="dxa"/>
          </w:tblCellMar>
        </w:tblPrEx>
        <w:trPr>
          <w:trHeight w:val="641" w:hRule="atLeast"/>
        </w:trPr>
        <w:tc>
          <w:tcPr>
            <w:tcW w:w="6389" w:type="dxa"/>
            <w:gridSpan w:val="2"/>
            <w:tcBorders>
              <w:top w:val="single" w:color="000000" w:sz="4"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e sigla do departamento: Departamento de História - DEHIS</w:t>
            </w:r>
          </w:p>
        </w:tc>
        <w:tc>
          <w:tcPr>
            <w:tcW w:w="2535" w:type="dxa"/>
            <w:tcBorders>
              <w:top w:val="single" w:color="000000" w:sz="4" w:space="0"/>
              <w:left w:val="single" w:color="000000" w:sz="4" w:space="0"/>
              <w:bottom w:val="single" w:color="000000" w:sz="4" w:space="0"/>
              <w:right w:val="single" w:color="000000" w:sz="18"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Unidade acadêmica:</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ICHS</w:t>
            </w:r>
          </w:p>
        </w:tc>
      </w:tr>
      <w:tr>
        <w:tblPrEx>
          <w:tblCellMar>
            <w:top w:w="0" w:type="dxa"/>
            <w:left w:w="108" w:type="dxa"/>
            <w:bottom w:w="0" w:type="dxa"/>
            <w:right w:w="108" w:type="dxa"/>
          </w:tblCellMar>
        </w:tblPrEx>
        <w:trPr>
          <w:trHeight w:val="641" w:hRule="atLeast"/>
        </w:trPr>
        <w:tc>
          <w:tcPr>
            <w:tcW w:w="3404" w:type="dxa"/>
            <w:tcBorders>
              <w:top w:val="single" w:color="000000" w:sz="4" w:space="0"/>
              <w:left w:val="single" w:color="000000" w:sz="18" w:space="0"/>
              <w:bottom w:val="single" w:color="000000" w:sz="4" w:space="0"/>
            </w:tcBorders>
          </w:tcPr>
          <w:p>
            <w:pPr>
              <w:spacing w:line="276" w:lineRule="auto"/>
              <w:ind w:left="0" w:hanging="2"/>
              <w:jc w:val="center"/>
              <w:rPr>
                <w:rFonts w:ascii="Times New Roman" w:hAnsi="Times New Roman" w:cs="Times New Roman"/>
              </w:rPr>
            </w:pPr>
            <w:r>
              <w:rPr>
                <w:rFonts w:ascii="Times New Roman" w:hAnsi="Times New Roman" w:eastAsia="Times New Roman" w:cs="Times New Roman"/>
                <w:color w:val="000000"/>
              </w:rPr>
              <w:t>Carga horária semestral</w:t>
            </w:r>
          </w:p>
          <w:p>
            <w:pPr>
              <w:spacing w:line="276" w:lineRule="auto"/>
              <w:ind w:left="0" w:hanging="2"/>
              <w:jc w:val="center"/>
              <w:rPr>
                <w:rFonts w:ascii="Times New Roman" w:hAnsi="Times New Roman" w:cs="Times New Roman"/>
              </w:rPr>
            </w:pPr>
            <w:r>
              <w:rPr>
                <w:rFonts w:ascii="Times New Roman" w:hAnsi="Times New Roman" w:eastAsia="Times New Roman" w:cs="Times New Roman"/>
                <w:color w:val="000000"/>
              </w:rPr>
              <w:t>90 horas</w:t>
            </w:r>
          </w:p>
        </w:tc>
        <w:tc>
          <w:tcPr>
            <w:tcW w:w="2985" w:type="dxa"/>
            <w:tcBorders>
              <w:top w:val="single" w:color="000000" w:sz="4" w:space="0"/>
              <w:left w:val="single" w:color="000000" w:sz="4" w:space="0"/>
              <w:bottom w:val="single" w:color="000000" w:sz="4" w:space="0"/>
            </w:tcBorders>
          </w:tcPr>
          <w:p>
            <w:pPr>
              <w:spacing w:line="276" w:lineRule="auto"/>
              <w:ind w:left="0" w:hanging="2"/>
              <w:jc w:val="center"/>
              <w:rPr>
                <w:rFonts w:ascii="Times New Roman" w:hAnsi="Times New Roman" w:cs="Times New Roman"/>
              </w:rPr>
            </w:pPr>
            <w:r>
              <w:rPr>
                <w:rFonts w:ascii="Times New Roman" w:hAnsi="Times New Roman" w:eastAsia="Times New Roman" w:cs="Times New Roman"/>
                <w:color w:val="000000"/>
              </w:rPr>
              <w:t xml:space="preserve">Carga horária semanal teórica </w:t>
            </w:r>
          </w:p>
          <w:p>
            <w:pPr>
              <w:spacing w:line="276" w:lineRule="auto"/>
              <w:ind w:left="0" w:hanging="2"/>
              <w:jc w:val="center"/>
              <w:rPr>
                <w:rFonts w:ascii="Times New Roman" w:hAnsi="Times New Roman" w:cs="Times New Roman"/>
              </w:rPr>
            </w:pPr>
            <w:r>
              <w:rPr>
                <w:rFonts w:ascii="Times New Roman" w:hAnsi="Times New Roman" w:eastAsia="Times New Roman" w:cs="Times New Roman"/>
                <w:color w:val="000000"/>
              </w:rPr>
              <w:t>04 horas/aula</w:t>
            </w:r>
          </w:p>
        </w:tc>
        <w:tc>
          <w:tcPr>
            <w:tcW w:w="2535" w:type="dxa"/>
            <w:tcBorders>
              <w:top w:val="single" w:color="000000" w:sz="4" w:space="0"/>
              <w:left w:val="single" w:color="000000" w:sz="4" w:space="0"/>
              <w:bottom w:val="single" w:color="000000" w:sz="4" w:space="0"/>
              <w:right w:val="single" w:color="000000" w:sz="18" w:space="0"/>
            </w:tcBorders>
          </w:tcPr>
          <w:p>
            <w:pPr>
              <w:spacing w:line="276" w:lineRule="auto"/>
              <w:ind w:left="0" w:hanging="2"/>
              <w:jc w:val="center"/>
              <w:rPr>
                <w:rFonts w:ascii="Times New Roman" w:hAnsi="Times New Roman" w:cs="Times New Roman"/>
              </w:rPr>
            </w:pPr>
            <w:r>
              <w:rPr>
                <w:rFonts w:ascii="Times New Roman" w:hAnsi="Times New Roman" w:eastAsia="Times New Roman" w:cs="Times New Roman"/>
                <w:color w:val="000000"/>
              </w:rPr>
              <w:t>Carga horária semanal prática</w:t>
            </w:r>
          </w:p>
          <w:p>
            <w:pPr>
              <w:spacing w:line="276" w:lineRule="auto"/>
              <w:ind w:left="0" w:hanging="2"/>
              <w:jc w:val="center"/>
              <w:rPr>
                <w:rFonts w:ascii="Times New Roman" w:hAnsi="Times New Roman" w:cs="Times New Roman"/>
              </w:rPr>
            </w:pPr>
            <w:r>
              <w:rPr>
                <w:rFonts w:ascii="Times New Roman" w:hAnsi="Times New Roman" w:eastAsia="Times New Roman" w:cs="Times New Roman"/>
                <w:color w:val="000000"/>
              </w:rPr>
              <w:t>02 horas/aula</w:t>
            </w:r>
          </w:p>
        </w:tc>
      </w:tr>
      <w:tr>
        <w:tblPrEx>
          <w:tblCellMar>
            <w:top w:w="0" w:type="dxa"/>
            <w:left w:w="108" w:type="dxa"/>
            <w:bottom w:w="0" w:type="dxa"/>
            <w:right w:w="108" w:type="dxa"/>
          </w:tblCellMar>
        </w:tblPrEx>
        <w:tc>
          <w:tcPr>
            <w:tcW w:w="8924"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Ementa: História Global e Histórias Conectadas: métodos e abordagens. Perspectivas para pensar Histórias Conectadas na Idade Média. Fluxo e Ampliações do Mundo no Mediterrâneo Medieval. O Estudo da Idade Média em um Mundo Ampliado. </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Latinos e Muçulmanos e a complexidade de suas interações nos séculos XII e XIII</w:t>
            </w:r>
          </w:p>
        </w:tc>
      </w:tr>
      <w:tr>
        <w:tblPrEx>
          <w:tblCellMar>
            <w:top w:w="0" w:type="dxa"/>
            <w:left w:w="108" w:type="dxa"/>
            <w:bottom w:w="0" w:type="dxa"/>
            <w:right w:w="108" w:type="dxa"/>
          </w:tblCellMar>
        </w:tblPrEx>
        <w:tc>
          <w:tcPr>
            <w:tcW w:w="8924"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Conteúdo programático: </w:t>
            </w:r>
          </w:p>
          <w:p>
            <w:pPr>
              <w:numPr>
                <w:ilvl w:val="0"/>
                <w:numId w:val="90"/>
              </w:numPr>
              <w:pBdr>
                <w:top w:val="none" w:color="auto" w:sz="0" w:space="0"/>
                <w:left w:val="none" w:color="auto" w:sz="0" w:space="0"/>
                <w:bottom w:val="none" w:color="auto" w:sz="0" w:space="0"/>
                <w:right w:val="none" w:color="auto" w:sz="0" w:space="0"/>
                <w:between w:val="none" w:color="auto" w:sz="0" w:space="0"/>
              </w:pBdr>
              <w:tabs>
                <w:tab w:val="left" w:pos="0"/>
              </w:tabs>
              <w:spacing w:line="24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O método e as propostas da História Global e das Histórias Conectadas.</w:t>
            </w:r>
          </w:p>
          <w:p>
            <w:pPr>
              <w:numPr>
                <w:ilvl w:val="0"/>
                <w:numId w:val="90"/>
              </w:numPr>
              <w:pBdr>
                <w:top w:val="none" w:color="auto" w:sz="0" w:space="0"/>
                <w:left w:val="none" w:color="auto" w:sz="0" w:space="0"/>
                <w:bottom w:val="none" w:color="auto" w:sz="0" w:space="0"/>
                <w:right w:val="none" w:color="auto" w:sz="0" w:space="0"/>
                <w:between w:val="none" w:color="auto" w:sz="0" w:space="0"/>
              </w:pBdr>
              <w:tabs>
                <w:tab w:val="left" w:pos="0"/>
              </w:tabs>
              <w:spacing w:line="240" w:lineRule="auto"/>
              <w:ind w:left="0" w:right="6307" w:hanging="2"/>
              <w:jc w:val="both"/>
              <w:rPr>
                <w:rFonts w:ascii="Times New Roman" w:hAnsi="Times New Roman" w:eastAsia="Times New Roman" w:cs="Times New Roman"/>
              </w:rPr>
            </w:pPr>
            <w:r>
              <w:rPr>
                <w:rFonts w:ascii="Times New Roman" w:hAnsi="Times New Roman" w:eastAsia="Times New Roman" w:cs="Times New Roman"/>
                <w:color w:val="000000"/>
              </w:rPr>
              <w:t>Por que</w:t>
            </w:r>
            <w:r>
              <w:rPr>
                <w:rFonts w:ascii="Times New Roman" w:hAnsi="Times New Roman" w:eastAsia="Times New Roman" w:cs="Times New Roman"/>
              </w:rPr>
              <w:t xml:space="preserve"> </w:t>
            </w:r>
            <w:r>
              <w:rPr>
                <w:rFonts w:ascii="Times New Roman" w:hAnsi="Times New Roman" w:eastAsia="Times New Roman" w:cs="Times New Roman"/>
                <w:color w:val="000000"/>
              </w:rPr>
              <w:t>fazer</w:t>
            </w:r>
            <w:r>
              <w:rPr>
                <w:rFonts w:ascii="Times New Roman" w:hAnsi="Times New Roman" w:eastAsia="Times New Roman" w:cs="Times New Roman"/>
              </w:rPr>
              <w:t xml:space="preserve"> </w:t>
            </w:r>
            <w:r>
              <w:rPr>
                <w:rFonts w:ascii="Times New Roman" w:hAnsi="Times New Roman" w:eastAsia="Times New Roman" w:cs="Times New Roman"/>
                <w:color w:val="000000"/>
              </w:rPr>
              <w:t>História</w:t>
            </w:r>
            <w:r>
              <w:rPr>
                <w:rFonts w:ascii="Times New Roman" w:hAnsi="Times New Roman" w:eastAsia="Times New Roman" w:cs="Times New Roman"/>
              </w:rPr>
              <w:t xml:space="preserve"> </w:t>
            </w:r>
            <w:r>
              <w:rPr>
                <w:rFonts w:ascii="Times New Roman" w:hAnsi="Times New Roman" w:eastAsia="Times New Roman" w:cs="Times New Roman"/>
                <w:color w:val="000000"/>
              </w:rPr>
              <w:t>Medieval em um Mundo Globalizado?</w:t>
            </w:r>
          </w:p>
          <w:p>
            <w:pPr>
              <w:numPr>
                <w:ilvl w:val="0"/>
                <w:numId w:val="90"/>
              </w:numPr>
              <w:pBdr>
                <w:top w:val="none" w:color="auto" w:sz="0" w:space="0"/>
                <w:left w:val="none" w:color="auto" w:sz="0" w:space="0"/>
                <w:bottom w:val="none" w:color="auto" w:sz="0" w:space="0"/>
                <w:right w:val="none" w:color="auto" w:sz="0" w:space="0"/>
                <w:between w:val="none" w:color="auto" w:sz="0" w:space="0"/>
              </w:pBdr>
              <w:tabs>
                <w:tab w:val="left" w:pos="0"/>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Latinos e Muçulmanos no Mediterrâneo: ampliação do mundo e conexões durante a Idade Média.</w:t>
            </w:r>
          </w:p>
          <w:p>
            <w:pPr>
              <w:numPr>
                <w:ilvl w:val="0"/>
                <w:numId w:val="90"/>
              </w:numPr>
              <w:pBdr>
                <w:top w:val="none" w:color="auto" w:sz="0" w:space="0"/>
                <w:left w:val="none" w:color="auto" w:sz="0" w:space="0"/>
                <w:bottom w:val="none" w:color="auto" w:sz="0" w:space="0"/>
                <w:right w:val="none" w:color="auto" w:sz="0" w:space="0"/>
                <w:between w:val="none" w:color="auto" w:sz="0" w:space="0"/>
              </w:pBdr>
              <w:tabs>
                <w:tab w:val="left" w:pos="0"/>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As Cruzadas Revisitadas sob o prisma de uma historiografia dita “arabizante”.</w:t>
            </w:r>
          </w:p>
        </w:tc>
      </w:tr>
      <w:tr>
        <w:tblPrEx>
          <w:tblCellMar>
            <w:top w:w="0" w:type="dxa"/>
            <w:left w:w="108" w:type="dxa"/>
            <w:bottom w:w="0" w:type="dxa"/>
            <w:right w:w="108" w:type="dxa"/>
          </w:tblCellMar>
        </w:tblPrEx>
        <w:tc>
          <w:tcPr>
            <w:tcW w:w="8924"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Bibliografia básica:</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ABULAFIA, David. </w:t>
            </w:r>
            <w:r>
              <w:rPr>
                <w:rFonts w:ascii="Times New Roman" w:hAnsi="Times New Roman" w:eastAsia="Times New Roman" w:cs="Times New Roman"/>
                <w:b/>
                <w:color w:val="000000"/>
              </w:rPr>
              <w:t>Mediterranean Encounters, economic, religious, political, 1100-1550. </w:t>
            </w:r>
            <w:r>
              <w:rPr>
                <w:rFonts w:ascii="Times New Roman" w:hAnsi="Times New Roman" w:eastAsia="Times New Roman" w:cs="Times New Roman"/>
                <w:color w:val="000000"/>
              </w:rPr>
              <w:t>Aldershot: Burlington, USA: Ashgate, c2000.</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DOUKI, Caroline &amp; MINARD, Philippe. </w:t>
            </w:r>
            <w:r>
              <w:rPr>
                <w:rFonts w:ascii="Times New Roman" w:hAnsi="Times New Roman" w:eastAsia="Times New Roman" w:cs="Times New Roman"/>
                <w:color w:val="000000"/>
                <w:u w:val="single"/>
              </w:rPr>
              <w:t>Histoire Globale, Histoires Connectées: un changement d'échelle historiographique?</w:t>
            </w:r>
            <w:r>
              <w:rPr>
                <w:rFonts w:ascii="Times New Roman" w:hAnsi="Times New Roman" w:eastAsia="Times New Roman" w:cs="Times New Roman"/>
                <w:color w:val="000000"/>
              </w:rPr>
              <w:t xml:space="preserve">In : </w:t>
            </w:r>
            <w:r>
              <w:rPr>
                <w:rFonts w:ascii="Times New Roman" w:hAnsi="Times New Roman" w:eastAsia="Times New Roman" w:cs="Times New Roman"/>
                <w:b/>
                <w:color w:val="000000"/>
              </w:rPr>
              <w:t>Revue d’Histoire Moderne &amp; Contemporaine</w:t>
            </w:r>
            <w:r>
              <w:rPr>
                <w:rFonts w:ascii="Times New Roman" w:hAnsi="Times New Roman" w:eastAsia="Times New Roman" w:cs="Times New Roman"/>
                <w:color w:val="000000"/>
              </w:rPr>
              <w:t xml:space="preserve">. 2007/5 n°. 54-4bis, p.7-21. Disponível em: </w:t>
            </w:r>
            <w:r>
              <w:fldChar w:fldCharType="begin"/>
            </w:r>
            <w:r>
              <w:instrText xml:space="preserve"> HYPERLINK "https://www.cairn.info/revue-d-histoire-moderne-et-contemporaine-2007-5-page-7.htm" \h </w:instrText>
            </w:r>
            <w:r>
              <w:fldChar w:fldCharType="separate"/>
            </w:r>
            <w:r>
              <w:rPr>
                <w:rFonts w:ascii="Times New Roman" w:hAnsi="Times New Roman" w:eastAsia="Times New Roman" w:cs="Times New Roman"/>
                <w:color w:val="0000FF"/>
                <w:u w:val="single"/>
              </w:rPr>
              <w:t>https://www.cairn.info/revue-d-histoire-moderne-et-contemporaine-2007-5-page-7.htm</w:t>
            </w:r>
            <w:r>
              <w:rPr>
                <w:rFonts w:ascii="Times New Roman" w:hAnsi="Times New Roman" w:eastAsia="Times New Roman" w:cs="Times New Roman"/>
                <w:color w:val="0000FF"/>
                <w:u w:val="single"/>
              </w:rPr>
              <w:fldChar w:fldCharType="end"/>
            </w:r>
          </w:p>
          <w:p>
            <w:pPr>
              <w:spacing w:line="360" w:lineRule="auto"/>
              <w:ind w:left="0" w:hanging="2"/>
              <w:rPr>
                <w:rFonts w:ascii="Times New Roman" w:hAnsi="Times New Roman" w:cs="Times New Roman"/>
              </w:rPr>
            </w:pPr>
            <w:r>
              <w:rPr>
                <w:rFonts w:ascii="Times New Roman" w:hAnsi="Times New Roman" w:eastAsia="Times New Roman" w:cs="Times New Roman"/>
              </w:rPr>
              <w:t>SAID, Edward W. </w:t>
            </w:r>
            <w:r>
              <w:rPr>
                <w:rFonts w:ascii="Times New Roman" w:hAnsi="Times New Roman" w:eastAsia="Times New Roman" w:cs="Times New Roman"/>
                <w:b/>
              </w:rPr>
              <w:t>Orientalismo: </w:t>
            </w:r>
            <w:r>
              <w:rPr>
                <w:rFonts w:ascii="Times New Roman" w:hAnsi="Times New Roman" w:eastAsia="Times New Roman" w:cs="Times New Roman"/>
              </w:rPr>
              <w:t xml:space="preserve">o Oriente como invenção do Ocidente. São Paulo: Companhia de Bolso, 2007. </w:t>
            </w:r>
          </w:p>
        </w:tc>
      </w:tr>
      <w:tr>
        <w:tblPrEx>
          <w:tblCellMar>
            <w:top w:w="0" w:type="dxa"/>
            <w:left w:w="108" w:type="dxa"/>
            <w:bottom w:w="0" w:type="dxa"/>
            <w:right w:w="108" w:type="dxa"/>
          </w:tblCellMar>
        </w:tblPrEx>
        <w:trPr>
          <w:trHeight w:val="487"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Bibliografia complementar:</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 xml:space="preserve">BALLAN, Mohammad. </w:t>
            </w:r>
            <w:r>
              <w:rPr>
                <w:rFonts w:ascii="Times New Roman" w:hAnsi="Times New Roman" w:eastAsia="Times New Roman" w:cs="Times New Roman"/>
                <w:color w:val="000000"/>
                <w:u w:val="single"/>
              </w:rPr>
              <w:t>Fraxinetum: an islamic frontier state in tenth-century Provence</w:t>
            </w:r>
            <w:r>
              <w:rPr>
                <w:rFonts w:ascii="Times New Roman" w:hAnsi="Times New Roman" w:eastAsia="Times New Roman" w:cs="Times New Roman"/>
                <w:color w:val="000000"/>
              </w:rPr>
              <w:t xml:space="preserve">.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In: </w:t>
            </w:r>
            <w:r>
              <w:rPr>
                <w:rFonts w:ascii="Times New Roman" w:hAnsi="Times New Roman" w:eastAsia="Times New Roman" w:cs="Times New Roman"/>
                <w:b/>
                <w:color w:val="000000"/>
              </w:rPr>
              <w:t>Comitatus</w:t>
            </w:r>
            <w:r>
              <w:rPr>
                <w:rFonts w:ascii="Times New Roman" w:hAnsi="Times New Roman" w:eastAsia="Times New Roman" w:cs="Times New Roman"/>
                <w:color w:val="000000"/>
              </w:rPr>
              <w:t>, n</w:t>
            </w:r>
            <w:r>
              <w:rPr>
                <w:rFonts w:ascii="Times New Roman" w:hAnsi="Times New Roman" w:eastAsia="Times New Roman" w:cs="Times New Roman"/>
                <w:color w:val="000000"/>
                <w:vertAlign w:val="superscript"/>
              </w:rPr>
              <w:t>o</w:t>
            </w:r>
            <w:r>
              <w:rPr>
                <w:rFonts w:ascii="Times New Roman" w:hAnsi="Times New Roman" w:eastAsia="Times New Roman" w:cs="Times New Roman"/>
                <w:color w:val="000000"/>
              </w:rPr>
              <w:t>. 41, p. 23-76. Disponível em:</w:t>
            </w:r>
            <w:r>
              <w:rPr>
                <w:rFonts w:ascii="Times New Roman" w:hAnsi="Times New Roman" w:eastAsia="Liberation Serif" w:cs="Times New Roman"/>
                <w:color w:val="000000"/>
              </w:rPr>
              <w:t xml:space="preserve"> </w:t>
            </w:r>
            <w:r>
              <w:fldChar w:fldCharType="begin"/>
            </w:r>
            <w:r>
              <w:instrText xml:space="preserve"> HYPERLINK "https://www.history.ubc.ca/sites/default/files/users/cbooker/docs/Ballan_Fraxinetum.pdf" \h </w:instrText>
            </w:r>
            <w:r>
              <w:fldChar w:fldCharType="separate"/>
            </w:r>
            <w:r>
              <w:rPr>
                <w:rFonts w:ascii="Times New Roman" w:hAnsi="Times New Roman" w:eastAsia="Times New Roman" w:cs="Times New Roman"/>
                <w:color w:val="0000FF"/>
                <w:u w:val="single"/>
              </w:rPr>
              <w:t>https://www.history.ubc.ca/sites/default/files/users/cbooker/docs/Ballan_Fraxinetum.pdf</w:t>
            </w:r>
            <w:r>
              <w:rPr>
                <w:rFonts w:ascii="Times New Roman" w:hAnsi="Times New Roman" w:eastAsia="Times New Roman" w:cs="Times New Roman"/>
                <w:color w:val="0000FF"/>
                <w:u w:val="single"/>
              </w:rPr>
              <w:fldChar w:fldCharType="end"/>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highlight w:val="white"/>
              </w:rPr>
            </w:pPr>
            <w:r>
              <w:rPr>
                <w:rFonts w:ascii="Times New Roman" w:hAnsi="Times New Roman" w:eastAsia="Times New Roman" w:cs="Times New Roman"/>
                <w:color w:val="000000"/>
              </w:rPr>
              <w:t xml:space="preserve">HENG, Geraldine. </w:t>
            </w:r>
            <w:r>
              <w:rPr>
                <w:rFonts w:ascii="Times New Roman" w:hAnsi="Times New Roman" w:eastAsia="Times New Roman" w:cs="Times New Roman"/>
                <w:color w:val="000000"/>
                <w:u w:val="single"/>
              </w:rPr>
              <w:t>The Global Middle Ages: An Experiment in Collaborative Humanities, or Imagining the World, 500–1500 C.E</w:t>
            </w:r>
            <w:r>
              <w:rPr>
                <w:rFonts w:ascii="Times New Roman" w:hAnsi="Times New Roman" w:eastAsia="Times New Roman" w:cs="Times New Roman"/>
                <w:color w:val="000000"/>
              </w:rPr>
              <w:t xml:space="preserve">. In: </w:t>
            </w:r>
            <w:r>
              <w:rPr>
                <w:rFonts w:ascii="Times New Roman" w:hAnsi="Times New Roman" w:eastAsia="Times New Roman" w:cs="Times New Roman"/>
                <w:b/>
                <w:color w:val="000000"/>
                <w:highlight w:val="white"/>
              </w:rPr>
              <w:t>English Language Notes</w:t>
            </w:r>
            <w:r>
              <w:rPr>
                <w:rFonts w:ascii="Times New Roman" w:hAnsi="Times New Roman" w:eastAsia="Times New Roman" w:cs="Times New Roman"/>
                <w:color w:val="000000"/>
                <w:highlight w:val="white"/>
              </w:rPr>
              <w:t>. N</w:t>
            </w:r>
            <w:r>
              <w:rPr>
                <w:rFonts w:ascii="Times New Roman" w:hAnsi="Times New Roman" w:eastAsia="Times New Roman" w:cs="Times New Roman"/>
                <w:color w:val="000000"/>
                <w:highlight w:val="white"/>
                <w:vertAlign w:val="superscript"/>
              </w:rPr>
              <w:t>o</w:t>
            </w:r>
            <w:r>
              <w:rPr>
                <w:rFonts w:ascii="Times New Roman" w:hAnsi="Times New Roman" w:eastAsia="Times New Roman" w:cs="Times New Roman"/>
                <w:color w:val="000000"/>
                <w:highlight w:val="white"/>
              </w:rPr>
              <w:t>. 47 (1), 2009, p. 205-216. Disponível em:</w:t>
            </w:r>
            <w:r>
              <w:rPr>
                <w:rFonts w:ascii="Times New Roman" w:hAnsi="Times New Roman" w:eastAsia="Times New Roman" w:cs="Times New Roman"/>
                <w:color w:val="000000"/>
              </w:rPr>
              <w:t xml:space="preserve"> </w:t>
            </w:r>
            <w:r>
              <w:fldChar w:fldCharType="begin"/>
            </w:r>
            <w:r>
              <w:instrText xml:space="preserve"> HYPERLINK "http://globalmiddleages.org/sites/default/files/Heng-Geraldine-Global-Middle-Ages.pdf" \h </w:instrText>
            </w:r>
            <w:r>
              <w:fldChar w:fldCharType="separate"/>
            </w:r>
            <w:r>
              <w:rPr>
                <w:rFonts w:ascii="Times New Roman" w:hAnsi="Times New Roman" w:eastAsia="Times New Roman" w:cs="Times New Roman"/>
                <w:color w:val="0000FF"/>
                <w:highlight w:val="white"/>
                <w:u w:val="single"/>
              </w:rPr>
              <w:t>http://globalmiddleages.org/sites/default/files/Heng-Geraldine-Global-Middle-Ages.pdf</w:t>
            </w:r>
            <w:r>
              <w:rPr>
                <w:rFonts w:ascii="Times New Roman" w:hAnsi="Times New Roman" w:eastAsia="Times New Roman" w:cs="Times New Roman"/>
                <w:color w:val="0000FF"/>
                <w:highlight w:val="white"/>
                <w:u w:val="single"/>
              </w:rPr>
              <w:fldChar w:fldCharType="end"/>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highlight w:val="white"/>
              </w:rPr>
              <w:t>LE GOFF, Jacques; SCHMITT, Jean-Claude. </w:t>
            </w:r>
            <w:r>
              <w:rPr>
                <w:rFonts w:ascii="Times New Roman" w:hAnsi="Times New Roman" w:eastAsia="Times New Roman" w:cs="Times New Roman"/>
                <w:b/>
                <w:color w:val="000000"/>
                <w:highlight w:val="white"/>
              </w:rPr>
              <w:t>Dicionário Temático do Ocidente Medieval. </w:t>
            </w:r>
            <w:r>
              <w:rPr>
                <w:rFonts w:ascii="Times New Roman" w:hAnsi="Times New Roman" w:eastAsia="Times New Roman" w:cs="Times New Roman"/>
                <w:color w:val="000000"/>
                <w:highlight w:val="white"/>
              </w:rPr>
              <w:t xml:space="preserve"> Sao Paulo: EDUSC, 2006.</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MCKITTERICK, Rosamond; REUTER, Timothy; LUSCOMBRE, David; RILEY-SMITH, Jonathan; ABULAFIA, David; JONES, Michael; ALLMAND, Christopher. </w:t>
            </w:r>
            <w:r>
              <w:rPr>
                <w:rFonts w:ascii="Times New Roman" w:hAnsi="Times New Roman" w:eastAsia="Times New Roman" w:cs="Times New Roman"/>
                <w:b/>
                <w:color w:val="000000"/>
              </w:rPr>
              <w:t>The New Cambridge Medieval History</w:t>
            </w:r>
            <w:r>
              <w:rPr>
                <w:rFonts w:ascii="Times New Roman" w:hAnsi="Times New Roman" w:eastAsia="Times New Roman" w:cs="Times New Roman"/>
                <w:color w:val="000000"/>
              </w:rPr>
              <w:t>. Cambridge: Cambridge University Press 1995-2005.</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ZOUACHE, Abbès. </w:t>
            </w:r>
            <w:r>
              <w:rPr>
                <w:rFonts w:ascii="Times New Roman" w:hAnsi="Times New Roman" w:eastAsia="Times New Roman" w:cs="Times New Roman"/>
                <w:b/>
              </w:rPr>
              <w:t>Armées et Combats en Syrie de 491/1098 à 569/1174</w:t>
            </w:r>
            <w:r>
              <w:rPr>
                <w:rFonts w:ascii="Times New Roman" w:hAnsi="Times New Roman" w:eastAsia="Times New Roman" w:cs="Times New Roman"/>
              </w:rPr>
              <w:t xml:space="preserve">: analyse comparée des chroniques médiévales latines et arabes. Damas: IFPO, 2008. </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Disponível em: </w:t>
            </w:r>
            <w:r>
              <w:fldChar w:fldCharType="begin"/>
            </w:r>
            <w:r>
              <w:instrText xml:space="preserve"> HYPERLINK "https://www.academia.edu/1509362/Arm%C3%A9es_et_combats_en_Syrie_de_1098_%C3%A01174._Analyse_compar%C3%A9e_des_sources_latines_et_arabes_m%C3%A9di%C3%A9vales" \h </w:instrText>
            </w:r>
            <w:r>
              <w:fldChar w:fldCharType="separate"/>
            </w:r>
            <w:r>
              <w:rPr>
                <w:rFonts w:ascii="Times New Roman" w:hAnsi="Times New Roman" w:eastAsia="Times New Roman" w:cs="Times New Roman"/>
                <w:color w:val="0000FF"/>
                <w:u w:val="single"/>
              </w:rPr>
              <w:t>https://www.academia.edu/1509362/Arm%C3%A9es_et_combats_en_Syrie_de_1098_%C3%A01174._Analyse_compar%C3%A9e_des_sources_latines_et_arabes_m%C3%A9di%C3%A9vales</w:t>
            </w:r>
            <w:r>
              <w:rPr>
                <w:rFonts w:ascii="Times New Roman" w:hAnsi="Times New Roman" w:eastAsia="Times New Roman" w:cs="Times New Roman"/>
                <w:color w:val="0000FF"/>
                <w:u w:val="single"/>
              </w:rPr>
              <w:fldChar w:fldCharType="end"/>
            </w:r>
            <w:r>
              <w:rPr>
                <w:rFonts w:ascii="Times New Roman" w:hAnsi="Times New Roman" w:eastAsia="Times New Roman" w:cs="Times New Roman"/>
                <w:color w:val="0563C1"/>
                <w:u w:val="single"/>
              </w:rPr>
              <w:t>.</w:t>
            </w:r>
          </w:p>
          <w:p>
            <w:pPr>
              <w:spacing w:line="360" w:lineRule="auto"/>
              <w:ind w:left="0" w:hanging="2"/>
              <w:jc w:val="both"/>
              <w:rPr>
                <w:rFonts w:ascii="Times New Roman" w:hAnsi="Times New Roman" w:eastAsia="Times New Roman" w:cs="Times New Roman"/>
              </w:rPr>
            </w:pP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596"/>
        <w:tblW w:w="8878" w:type="dxa"/>
        <w:tblInd w:w="65" w:type="dxa"/>
        <w:tblLayout w:type="fixed"/>
        <w:tblCellMar>
          <w:top w:w="0" w:type="dxa"/>
          <w:left w:w="108" w:type="dxa"/>
          <w:bottom w:w="0" w:type="dxa"/>
          <w:right w:w="108" w:type="dxa"/>
        </w:tblCellMar>
      </w:tblPr>
      <w:tblGrid>
        <w:gridCol w:w="3030"/>
        <w:gridCol w:w="3205"/>
        <w:gridCol w:w="2643"/>
      </w:tblGrid>
      <w:tr>
        <w:tblPrEx>
          <w:tblCellMar>
            <w:top w:w="0" w:type="dxa"/>
            <w:left w:w="108" w:type="dxa"/>
            <w:bottom w:w="0" w:type="dxa"/>
            <w:right w:w="108" w:type="dxa"/>
          </w:tblCellMar>
        </w:tblPrEx>
        <w:tc>
          <w:tcPr>
            <w:tcW w:w="6235" w:type="dxa"/>
            <w:gridSpan w:val="2"/>
            <w:tcBorders>
              <w:top w:val="single" w:color="000000" w:sz="18" w:space="0"/>
              <w:left w:val="single" w:color="000000" w:sz="18"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Nome do Componente Curricular em português:</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Seminário de Formação em Teoria da História e História da Historiografia I</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Nome do Componente Curricular em inglês:</w:t>
            </w:r>
          </w:p>
          <w:p>
            <w:pPr>
              <w:pBdr>
                <w:top w:val="none" w:color="auto" w:sz="0" w:space="0"/>
                <w:left w:val="none" w:color="auto" w:sz="0" w:space="0"/>
                <w:bottom w:val="none" w:color="auto" w:sz="0" w:space="0"/>
                <w:right w:val="none" w:color="auto" w:sz="0" w:space="0"/>
                <w:between w:val="none" w:color="auto" w:sz="0" w:space="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212121"/>
              </w:rPr>
              <w:t>Seminar in Theory of History and History of Historiography I</w:t>
            </w:r>
          </w:p>
        </w:tc>
        <w:tc>
          <w:tcPr>
            <w:tcW w:w="2643" w:type="dxa"/>
            <w:tcBorders>
              <w:top w:val="single" w:color="000000" w:sz="18" w:space="0"/>
              <w:left w:val="single" w:color="000000" w:sz="4"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Código: HIS925</w:t>
            </w:r>
          </w:p>
        </w:tc>
      </w:tr>
      <w:tr>
        <w:tblPrEx>
          <w:tblCellMar>
            <w:top w:w="0" w:type="dxa"/>
            <w:left w:w="108" w:type="dxa"/>
            <w:bottom w:w="0" w:type="dxa"/>
            <w:right w:w="108" w:type="dxa"/>
          </w:tblCellMar>
        </w:tblPrEx>
        <w:trPr>
          <w:trHeight w:val="641" w:hRule="atLeast"/>
        </w:trPr>
        <w:tc>
          <w:tcPr>
            <w:tcW w:w="6235" w:type="dxa"/>
            <w:gridSpan w:val="2"/>
            <w:tcBorders>
              <w:top w:val="single" w:color="000000" w:sz="4" w:space="0"/>
              <w:left w:val="single" w:color="000000" w:sz="18"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 xml:space="preserve">Nome e sigla do departamento: Departamento de História - DEHIS </w:t>
            </w:r>
          </w:p>
        </w:tc>
        <w:tc>
          <w:tcPr>
            <w:tcW w:w="2643" w:type="dxa"/>
            <w:tcBorders>
              <w:top w:val="single" w:color="000000" w:sz="4" w:space="0"/>
              <w:left w:val="single" w:color="000000" w:sz="4"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Unidade acadêmica: ICHS</w:t>
            </w:r>
          </w:p>
        </w:tc>
      </w:tr>
      <w:tr>
        <w:tblPrEx>
          <w:tblCellMar>
            <w:top w:w="0" w:type="dxa"/>
            <w:left w:w="108" w:type="dxa"/>
            <w:bottom w:w="0" w:type="dxa"/>
            <w:right w:w="108" w:type="dxa"/>
          </w:tblCellMar>
        </w:tblPrEx>
        <w:trPr>
          <w:trHeight w:val="641" w:hRule="atLeast"/>
        </w:trPr>
        <w:tc>
          <w:tcPr>
            <w:tcW w:w="3030" w:type="dxa"/>
            <w:tcBorders>
              <w:top w:val="single" w:color="000000" w:sz="4" w:space="0"/>
              <w:left w:val="single" w:color="000000" w:sz="18"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76"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Carga horária semestral</w:t>
            </w:r>
          </w:p>
          <w:p>
            <w:pPr>
              <w:pBdr>
                <w:top w:val="none" w:color="auto" w:sz="0" w:space="0"/>
                <w:left w:val="none" w:color="auto" w:sz="0" w:space="0"/>
                <w:bottom w:val="none" w:color="auto" w:sz="0" w:space="0"/>
                <w:right w:val="none" w:color="auto" w:sz="0" w:space="0"/>
                <w:between w:val="none" w:color="auto" w:sz="0" w:space="0"/>
              </w:pBdr>
              <w:spacing w:line="276"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60 horas</w:t>
            </w:r>
          </w:p>
        </w:tc>
        <w:tc>
          <w:tcPr>
            <w:tcW w:w="3205"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76"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 xml:space="preserve">Carga horária semanal teórica </w:t>
            </w:r>
          </w:p>
          <w:p>
            <w:pPr>
              <w:pBdr>
                <w:top w:val="none" w:color="auto" w:sz="0" w:space="0"/>
                <w:left w:val="none" w:color="auto" w:sz="0" w:space="0"/>
                <w:bottom w:val="none" w:color="auto" w:sz="0" w:space="0"/>
                <w:right w:val="none" w:color="auto" w:sz="0" w:space="0"/>
                <w:between w:val="none" w:color="auto" w:sz="0" w:space="0"/>
              </w:pBdr>
              <w:spacing w:line="276"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04 horas/aula</w:t>
            </w:r>
          </w:p>
        </w:tc>
        <w:tc>
          <w:tcPr>
            <w:tcW w:w="2643" w:type="dxa"/>
            <w:tcBorders>
              <w:top w:val="single" w:color="000000" w:sz="4" w:space="0"/>
              <w:left w:val="single" w:color="000000" w:sz="4"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276"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Carga horária semanal prática</w:t>
            </w:r>
          </w:p>
          <w:p>
            <w:pPr>
              <w:pBdr>
                <w:top w:val="none" w:color="auto" w:sz="0" w:space="0"/>
                <w:left w:val="none" w:color="auto" w:sz="0" w:space="0"/>
                <w:bottom w:val="none" w:color="auto" w:sz="0" w:space="0"/>
                <w:right w:val="none" w:color="auto" w:sz="0" w:space="0"/>
                <w:between w:val="none" w:color="auto" w:sz="0" w:space="0"/>
              </w:pBdr>
              <w:spacing w:line="276"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00 horas/aula</w:t>
            </w:r>
          </w:p>
        </w:tc>
      </w:tr>
      <w:tr>
        <w:tblPrEx>
          <w:tblCellMar>
            <w:top w:w="0" w:type="dxa"/>
            <w:left w:w="108" w:type="dxa"/>
            <w:bottom w:w="0" w:type="dxa"/>
            <w:right w:w="108" w:type="dxa"/>
          </w:tblCellMar>
        </w:tblPrEx>
        <w:tc>
          <w:tcPr>
            <w:tcW w:w="8878" w:type="dxa"/>
            <w:gridSpan w:val="3"/>
            <w:tcBorders>
              <w:top w:val="single" w:color="000000" w:sz="4" w:space="0"/>
              <w:left w:val="single" w:color="000000" w:sz="18"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Ementa: A emergência e significado das principais filosofias da história entre os séculos XX-XXI.</w:t>
            </w:r>
            <w:r>
              <w:rPr>
                <w:rFonts w:ascii="Times New Roman" w:hAnsi="Times New Roman" w:eastAsia="Times New Roman" w:cs="Times New Roman"/>
                <w:color w:val="FF0000"/>
              </w:rPr>
              <w:tab/>
            </w:r>
          </w:p>
        </w:tc>
      </w:tr>
      <w:tr>
        <w:tblPrEx>
          <w:tblCellMar>
            <w:top w:w="0" w:type="dxa"/>
            <w:left w:w="108" w:type="dxa"/>
            <w:bottom w:w="0" w:type="dxa"/>
            <w:right w:w="108" w:type="dxa"/>
          </w:tblCellMar>
        </w:tblPrEx>
        <w:tc>
          <w:tcPr>
            <w:tcW w:w="8878" w:type="dxa"/>
            <w:gridSpan w:val="3"/>
            <w:tcBorders>
              <w:top w:val="single" w:color="000000" w:sz="4" w:space="0"/>
              <w:left w:val="single" w:color="000000" w:sz="18"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 xml:space="preserve">Conteúdo programático: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Módulo I: O giro hermenêutico de Dilthey a Gadamer</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Módulo II: Heidegger pensador da história e da historiografia.</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Módulo III: De Benedetto Croce a Collingwood</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Módulo IV: Do estruturalismo ao giro-linguístico</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Módulo V: Do giro ético-político ao giro ontológico.</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Módulo VI: Do pós-modernismo aos presentismos</w:t>
            </w:r>
          </w:p>
        </w:tc>
      </w:tr>
      <w:tr>
        <w:tblPrEx>
          <w:tblCellMar>
            <w:top w:w="0" w:type="dxa"/>
            <w:left w:w="108" w:type="dxa"/>
            <w:bottom w:w="0" w:type="dxa"/>
            <w:right w:w="108" w:type="dxa"/>
          </w:tblCellMar>
        </w:tblPrEx>
        <w:tc>
          <w:tcPr>
            <w:tcW w:w="8878" w:type="dxa"/>
            <w:gridSpan w:val="3"/>
            <w:tcBorders>
              <w:top w:val="single" w:color="000000" w:sz="4" w:space="0"/>
              <w:left w:val="single" w:color="000000" w:sz="18"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 xml:space="preserve">Bibliografia básica: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HEIDEGGER, Martin. </w:t>
            </w:r>
            <w:r>
              <w:rPr>
                <w:rFonts w:ascii="Times New Roman" w:hAnsi="Times New Roman" w:eastAsia="Times New Roman" w:cs="Times New Roman"/>
                <w:i/>
                <w:color w:val="000000"/>
              </w:rPr>
              <w:t>Ser e Tempo</w:t>
            </w:r>
            <w:r>
              <w:rPr>
                <w:rFonts w:ascii="Times New Roman" w:hAnsi="Times New Roman" w:eastAsia="Times New Roman" w:cs="Times New Roman"/>
                <w:color w:val="000000"/>
              </w:rPr>
              <w:t>. 4a. Petrópolis: Vozes, 1993.</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HARTOG, François. </w:t>
            </w:r>
            <w:r>
              <w:rPr>
                <w:rFonts w:ascii="Times New Roman" w:hAnsi="Times New Roman" w:eastAsia="Times New Roman" w:cs="Times New Roman"/>
                <w:i/>
                <w:color w:val="000000"/>
              </w:rPr>
              <w:t>Regimes de Historicidade: Presentismo e Experiências Do Tempo</w:t>
            </w:r>
            <w:r>
              <w:rPr>
                <w:rFonts w:ascii="Times New Roman" w:hAnsi="Times New Roman" w:eastAsia="Times New Roman" w:cs="Times New Roman"/>
                <w:color w:val="000000"/>
              </w:rPr>
              <w:t>. Belo Horizonte: Autêntica Editora, 2013.</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 xml:space="preserve">GADAMER, Hans Georg. </w:t>
            </w:r>
            <w:r>
              <w:rPr>
                <w:rFonts w:ascii="Times New Roman" w:hAnsi="Times New Roman" w:eastAsia="Times New Roman" w:cs="Times New Roman"/>
                <w:b/>
                <w:color w:val="000000"/>
              </w:rPr>
              <w:t>Verdade e Método</w:t>
            </w:r>
            <w:r>
              <w:rPr>
                <w:rFonts w:ascii="Times New Roman" w:hAnsi="Times New Roman" w:eastAsia="Times New Roman" w:cs="Times New Roman"/>
                <w:color w:val="000000"/>
              </w:rPr>
              <w:t>: traços fundamentais de uma hermenêutica filosófica. Petrópolis: Vozes, 1997.</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GUMBRECHT, Hans Ulrich. </w:t>
            </w:r>
            <w:r>
              <w:rPr>
                <w:rFonts w:ascii="Times New Roman" w:hAnsi="Times New Roman" w:eastAsia="Times New Roman" w:cs="Times New Roman"/>
                <w:i/>
                <w:color w:val="000000"/>
              </w:rPr>
              <w:t>Nosso Amplo Presente</w:t>
            </w:r>
            <w:r>
              <w:rPr>
                <w:rFonts w:ascii="Times New Roman" w:hAnsi="Times New Roman" w:eastAsia="Times New Roman" w:cs="Times New Roman"/>
                <w:color w:val="000000"/>
              </w:rPr>
              <w:t>. São Paulo: Unesp, 2015.</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RICOUER, Paul. </w:t>
            </w:r>
            <w:r>
              <w:rPr>
                <w:rFonts w:ascii="Times New Roman" w:hAnsi="Times New Roman" w:eastAsia="Times New Roman" w:cs="Times New Roman"/>
                <w:i/>
                <w:color w:val="000000"/>
              </w:rPr>
              <w:t>A Memória, a História, o Esquecimento</w:t>
            </w:r>
            <w:r>
              <w:rPr>
                <w:rFonts w:ascii="Times New Roman" w:hAnsi="Times New Roman" w:eastAsia="Times New Roman" w:cs="Times New Roman"/>
                <w:color w:val="000000"/>
              </w:rPr>
              <w:t>. Campinas: Editora da Unicamp, 2007.</w:t>
            </w:r>
          </w:p>
        </w:tc>
      </w:tr>
      <w:tr>
        <w:tblPrEx>
          <w:tblCellMar>
            <w:top w:w="0" w:type="dxa"/>
            <w:left w:w="108" w:type="dxa"/>
            <w:bottom w:w="0" w:type="dxa"/>
            <w:right w:w="108" w:type="dxa"/>
          </w:tblCellMar>
        </w:tblPrEx>
        <w:tc>
          <w:tcPr>
            <w:tcW w:w="8878" w:type="dxa"/>
            <w:gridSpan w:val="3"/>
            <w:tcBorders>
              <w:top w:val="single" w:color="000000" w:sz="4" w:space="0"/>
              <w:left w:val="single" w:color="000000" w:sz="18"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Bibliografia complementar:</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CEZAR, Temístocles. “Hamlet Brasileiro: Ensaio Sobre o Giro-Linguístico e Indeterminação Historiográfica (1970-1980).” História Da Historiografia abril, no. 17 (2015): 440–61.</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PEREIRA, Mateus Henrique de Faria; Valdei Lopes de Araujo. Atualismo 1.0 - Como a Ideia de Atualização Mudou o Século XXI. 2a. Mariana: SBTHH; Milfontes, 2018.</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RANGEL, Marcelo de Mello. 2013. “Justiça e História em Derrida e Benjamin.” Sapere Aude - Revista de Filosofia 4(7): 347–59.</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 xml:space="preserve">SETH, Sanjay, Lewisham Way, New Cross, and United Kingdon. “Razão Ou Raciocínio? Clio Ou Shiva?” História Da Historiografia 22, no. 1 (2013).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SARLO, Beatriz. Cenas Da Vida Pós-Moderna. Rio de Janeiro: Editora da UFRJ, 1997.</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TURIN, Rodrigo. 2017. “A Polifonia Do Tempo: Ficção, Trauma E Aceleração No Brasil Contemporâneo.” ArtCultura(UFU) 19(35): 55–70.</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WHITE, Hayden. Trópicos Do Discurso: Ensaios Sobre a Crítica Da Cultura., 97–116. São Paulo: Edusp, 1994.</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597"/>
        <w:tblW w:w="8799" w:type="dxa"/>
        <w:tblInd w:w="0" w:type="dxa"/>
        <w:tblLayout w:type="fixed"/>
        <w:tblCellMar>
          <w:top w:w="0" w:type="dxa"/>
          <w:left w:w="108" w:type="dxa"/>
          <w:bottom w:w="0" w:type="dxa"/>
          <w:right w:w="108" w:type="dxa"/>
        </w:tblCellMar>
      </w:tblPr>
      <w:tblGrid>
        <w:gridCol w:w="2655"/>
        <w:gridCol w:w="3265"/>
        <w:gridCol w:w="2879"/>
      </w:tblGrid>
      <w:tr>
        <w:tblPrEx>
          <w:tblCellMar>
            <w:top w:w="0" w:type="dxa"/>
            <w:left w:w="108" w:type="dxa"/>
            <w:bottom w:w="0" w:type="dxa"/>
            <w:right w:w="108" w:type="dxa"/>
          </w:tblCellMar>
        </w:tblPrEx>
        <w:tc>
          <w:tcPr>
            <w:tcW w:w="5920" w:type="dxa"/>
            <w:gridSpan w:val="2"/>
            <w:tcBorders>
              <w:top w:val="single" w:color="000000" w:sz="18" w:space="0"/>
              <w:left w:val="single" w:color="000000" w:sz="18"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Nome do Componente Curricular em português: Seminário de Formação em Teoria da História e História da Historiografia II</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Nome do Componente Curricular em inglês: Advanced Seminar on Theory of History and History of Historiography II</w:t>
            </w:r>
          </w:p>
        </w:tc>
        <w:tc>
          <w:tcPr>
            <w:tcW w:w="2879" w:type="dxa"/>
            <w:tcBorders>
              <w:top w:val="single" w:color="000000" w:sz="18" w:space="0"/>
              <w:left w:val="single" w:color="000000" w:sz="4"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Código: HIS926</w:t>
            </w:r>
          </w:p>
        </w:tc>
      </w:tr>
      <w:tr>
        <w:tblPrEx>
          <w:tblCellMar>
            <w:top w:w="0" w:type="dxa"/>
            <w:left w:w="108" w:type="dxa"/>
            <w:bottom w:w="0" w:type="dxa"/>
            <w:right w:w="108" w:type="dxa"/>
          </w:tblCellMar>
        </w:tblPrEx>
        <w:trPr>
          <w:trHeight w:val="641" w:hRule="atLeast"/>
        </w:trPr>
        <w:tc>
          <w:tcPr>
            <w:tcW w:w="5920" w:type="dxa"/>
            <w:gridSpan w:val="2"/>
            <w:tcBorders>
              <w:top w:val="single" w:color="000000" w:sz="4" w:space="0"/>
              <w:left w:val="single" w:color="000000" w:sz="18"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Nome e sigla do departamento: Departamento de História</w:t>
            </w:r>
          </w:p>
        </w:tc>
        <w:tc>
          <w:tcPr>
            <w:tcW w:w="2879" w:type="dxa"/>
            <w:tcBorders>
              <w:top w:val="single" w:color="000000" w:sz="4" w:space="0"/>
              <w:left w:val="single" w:color="000000" w:sz="4"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Unidade acadêmica: ICHS</w:t>
            </w:r>
          </w:p>
        </w:tc>
      </w:tr>
      <w:tr>
        <w:tblPrEx>
          <w:tblCellMar>
            <w:top w:w="0" w:type="dxa"/>
            <w:left w:w="108" w:type="dxa"/>
            <w:bottom w:w="0" w:type="dxa"/>
            <w:right w:w="108" w:type="dxa"/>
          </w:tblCellMar>
        </w:tblPrEx>
        <w:trPr>
          <w:trHeight w:val="641" w:hRule="atLeast"/>
        </w:trPr>
        <w:tc>
          <w:tcPr>
            <w:tcW w:w="2655" w:type="dxa"/>
            <w:tcBorders>
              <w:top w:val="single" w:color="000000" w:sz="4" w:space="0"/>
              <w:left w:val="single" w:color="000000" w:sz="18"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76"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Carga horária semestral</w:t>
            </w:r>
          </w:p>
          <w:p>
            <w:pPr>
              <w:pBdr>
                <w:top w:val="none" w:color="auto" w:sz="0" w:space="0"/>
                <w:left w:val="none" w:color="auto" w:sz="0" w:space="0"/>
                <w:bottom w:val="none" w:color="auto" w:sz="0" w:space="0"/>
                <w:right w:val="none" w:color="auto" w:sz="0" w:space="0"/>
                <w:between w:val="none" w:color="auto" w:sz="0" w:space="0"/>
              </w:pBdr>
              <w:spacing w:line="276"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60 horas</w:t>
            </w:r>
          </w:p>
        </w:tc>
        <w:tc>
          <w:tcPr>
            <w:tcW w:w="3265"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76"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 xml:space="preserve">Carga horária semanal teórica </w:t>
            </w:r>
          </w:p>
          <w:p>
            <w:pPr>
              <w:pBdr>
                <w:top w:val="none" w:color="auto" w:sz="0" w:space="0"/>
                <w:left w:val="none" w:color="auto" w:sz="0" w:space="0"/>
                <w:bottom w:val="none" w:color="auto" w:sz="0" w:space="0"/>
                <w:right w:val="none" w:color="auto" w:sz="0" w:space="0"/>
                <w:between w:val="none" w:color="auto" w:sz="0" w:space="0"/>
              </w:pBdr>
              <w:spacing w:line="276"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04 horas/aula</w:t>
            </w:r>
          </w:p>
        </w:tc>
        <w:tc>
          <w:tcPr>
            <w:tcW w:w="2879" w:type="dxa"/>
            <w:tcBorders>
              <w:top w:val="single" w:color="000000" w:sz="4" w:space="0"/>
              <w:left w:val="single" w:color="000000" w:sz="4"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276"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Carga horária semanal prática</w:t>
            </w:r>
          </w:p>
          <w:p>
            <w:pPr>
              <w:pBdr>
                <w:top w:val="none" w:color="auto" w:sz="0" w:space="0"/>
                <w:left w:val="none" w:color="auto" w:sz="0" w:space="0"/>
                <w:bottom w:val="none" w:color="auto" w:sz="0" w:space="0"/>
                <w:right w:val="none" w:color="auto" w:sz="0" w:space="0"/>
                <w:between w:val="none" w:color="auto" w:sz="0" w:space="0"/>
              </w:pBdr>
              <w:spacing w:line="276"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00 horas/aula</w:t>
            </w:r>
          </w:p>
        </w:tc>
      </w:tr>
      <w:tr>
        <w:tblPrEx>
          <w:tblCellMar>
            <w:top w:w="0" w:type="dxa"/>
            <w:left w:w="108" w:type="dxa"/>
            <w:bottom w:w="0" w:type="dxa"/>
            <w:right w:w="108" w:type="dxa"/>
          </w:tblCellMar>
        </w:tblPrEx>
        <w:tc>
          <w:tcPr>
            <w:tcW w:w="8799" w:type="dxa"/>
            <w:gridSpan w:val="3"/>
            <w:tcBorders>
              <w:top w:val="single" w:color="000000" w:sz="4" w:space="0"/>
              <w:left w:val="single" w:color="000000" w:sz="18"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Ementa: A disciplina aborda o pensamento histórico e a teoria da história da Antiguidade aos inícios da modernidade.</w:t>
            </w:r>
          </w:p>
        </w:tc>
      </w:tr>
      <w:tr>
        <w:tblPrEx>
          <w:tblCellMar>
            <w:top w:w="0" w:type="dxa"/>
            <w:left w:w="108" w:type="dxa"/>
            <w:bottom w:w="0" w:type="dxa"/>
            <w:right w:w="108" w:type="dxa"/>
          </w:tblCellMar>
        </w:tblPrEx>
        <w:tc>
          <w:tcPr>
            <w:tcW w:w="8799" w:type="dxa"/>
            <w:gridSpan w:val="3"/>
            <w:tcBorders>
              <w:top w:val="single" w:color="000000" w:sz="4" w:space="0"/>
              <w:left w:val="single" w:color="000000" w:sz="18"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Conteúdo programático.</w:t>
            </w:r>
          </w:p>
          <w:p>
            <w:pPr>
              <w:numPr>
                <w:ilvl w:val="0"/>
                <w:numId w:val="91"/>
              </w:numPr>
              <w:pBdr>
                <w:top w:val="none" w:color="auto" w:sz="0" w:space="0"/>
                <w:left w:val="none" w:color="auto" w:sz="0" w:space="0"/>
                <w:bottom w:val="none" w:color="auto" w:sz="0" w:space="0"/>
                <w:right w:val="none" w:color="auto" w:sz="0" w:space="0"/>
                <w:between w:val="none" w:color="auto" w:sz="0" w:space="0"/>
              </w:pBdr>
              <w:tabs>
                <w:tab w:val="left" w:pos="0"/>
              </w:tabs>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 Historiografia Antiga</w:t>
            </w:r>
          </w:p>
          <w:p>
            <w:pPr>
              <w:numPr>
                <w:ilvl w:val="0"/>
                <w:numId w:val="91"/>
              </w:numPr>
              <w:pBdr>
                <w:top w:val="none" w:color="auto" w:sz="0" w:space="0"/>
                <w:left w:val="none" w:color="auto" w:sz="0" w:space="0"/>
                <w:bottom w:val="none" w:color="auto" w:sz="0" w:space="0"/>
                <w:right w:val="none" w:color="auto" w:sz="0" w:space="0"/>
                <w:between w:val="none" w:color="auto" w:sz="0" w:space="0"/>
              </w:pBdr>
              <w:tabs>
                <w:tab w:val="left" w:pos="0"/>
              </w:tabs>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 Historiografia Medieval</w:t>
            </w:r>
          </w:p>
          <w:p>
            <w:pPr>
              <w:numPr>
                <w:ilvl w:val="0"/>
                <w:numId w:val="91"/>
              </w:numPr>
              <w:pBdr>
                <w:top w:val="none" w:color="auto" w:sz="0" w:space="0"/>
                <w:left w:val="none" w:color="auto" w:sz="0" w:space="0"/>
                <w:bottom w:val="none" w:color="auto" w:sz="0" w:space="0"/>
                <w:right w:val="none" w:color="auto" w:sz="0" w:space="0"/>
                <w:between w:val="none" w:color="auto" w:sz="0" w:space="0"/>
              </w:pBdr>
              <w:tabs>
                <w:tab w:val="left" w:pos="0"/>
              </w:tabs>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 Historiografia nos primórdios da Modernidade.</w:t>
            </w:r>
          </w:p>
        </w:tc>
      </w:tr>
      <w:tr>
        <w:tblPrEx>
          <w:tblCellMar>
            <w:top w:w="0" w:type="dxa"/>
            <w:left w:w="108" w:type="dxa"/>
            <w:bottom w:w="0" w:type="dxa"/>
            <w:right w:w="108" w:type="dxa"/>
          </w:tblCellMar>
        </w:tblPrEx>
        <w:tc>
          <w:tcPr>
            <w:tcW w:w="8799" w:type="dxa"/>
            <w:gridSpan w:val="3"/>
            <w:tcBorders>
              <w:top w:val="single" w:color="000000" w:sz="4" w:space="0"/>
              <w:left w:val="single" w:color="000000" w:sz="18"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 xml:space="preserve">Bibliografia básica: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KOSELLECK, Reinhart; MEIER, Christian; GÜNTHER, Horst; ENGELS, Odilo; MATA, Sérgio da. </w:t>
            </w:r>
            <w:r>
              <w:rPr>
                <w:rFonts w:ascii="Times New Roman" w:hAnsi="Times New Roman" w:eastAsia="Times New Roman" w:cs="Times New Roman"/>
                <w:i/>
                <w:color w:val="000000"/>
              </w:rPr>
              <w:t>O conceito de história</w:t>
            </w:r>
            <w:r>
              <w:rPr>
                <w:rFonts w:ascii="Times New Roman" w:hAnsi="Times New Roman" w:eastAsia="Times New Roman" w:cs="Times New Roman"/>
                <w:color w:val="000000"/>
              </w:rPr>
              <w:t>. Belo Horizonte (MG): Autêntica, 2013.</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HARTOG, François; GUIMARÃES, José Otávio. </w:t>
            </w:r>
            <w:r>
              <w:rPr>
                <w:rFonts w:ascii="Times New Roman" w:hAnsi="Times New Roman" w:eastAsia="Times New Roman" w:cs="Times New Roman"/>
                <w:i/>
                <w:color w:val="000000"/>
              </w:rPr>
              <w:t>Os antigos, o passado e o passado e o presente</w:t>
            </w:r>
            <w:r>
              <w:rPr>
                <w:rFonts w:ascii="Times New Roman" w:hAnsi="Times New Roman" w:eastAsia="Times New Roman" w:cs="Times New Roman"/>
                <w:color w:val="000000"/>
              </w:rPr>
              <w:t>. Brasília: Editora UnB 2003.</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MOMIGLIANO, Arnaldo. </w:t>
            </w:r>
            <w:r>
              <w:rPr>
                <w:rFonts w:ascii="Times New Roman" w:hAnsi="Times New Roman" w:eastAsia="Times New Roman" w:cs="Times New Roman"/>
                <w:i/>
                <w:color w:val="000000"/>
              </w:rPr>
              <w:t>As raízes clássicas da historiografia moderna.</w:t>
            </w:r>
            <w:r>
              <w:rPr>
                <w:rFonts w:ascii="Times New Roman" w:hAnsi="Times New Roman" w:eastAsia="Times New Roman" w:cs="Times New Roman"/>
                <w:color w:val="000000"/>
              </w:rPr>
              <w:t> Bauru, SP: EDUSC 2004. </w:t>
            </w:r>
          </w:p>
        </w:tc>
      </w:tr>
      <w:tr>
        <w:tblPrEx>
          <w:tblCellMar>
            <w:top w:w="0" w:type="dxa"/>
            <w:left w:w="108" w:type="dxa"/>
            <w:bottom w:w="0" w:type="dxa"/>
            <w:right w:w="108" w:type="dxa"/>
          </w:tblCellMar>
        </w:tblPrEx>
        <w:tc>
          <w:tcPr>
            <w:tcW w:w="8799" w:type="dxa"/>
            <w:gridSpan w:val="3"/>
            <w:tcBorders>
              <w:top w:val="single" w:color="000000" w:sz="4" w:space="0"/>
              <w:left w:val="single" w:color="000000" w:sz="18"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 xml:space="preserve">Bibliografia complementar: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KOSELLECK, Reinhart. </w:t>
            </w:r>
            <w:r>
              <w:rPr>
                <w:rFonts w:ascii="Times New Roman" w:hAnsi="Times New Roman" w:eastAsia="Times New Roman" w:cs="Times New Roman"/>
                <w:i/>
                <w:color w:val="000000"/>
              </w:rPr>
              <w:t>Futuro passado:  para una semántica de los tiempos hsitóricos</w:t>
            </w:r>
            <w:r>
              <w:rPr>
                <w:rFonts w:ascii="Times New Roman" w:hAnsi="Times New Roman" w:eastAsia="Times New Roman" w:cs="Times New Roman"/>
                <w:color w:val="000000"/>
              </w:rPr>
              <w:t>. Barcelona: Paidos 1993.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HARTOG, François; BRANDÃO, Jacyntho Jose Lins. </w:t>
            </w:r>
            <w:r>
              <w:rPr>
                <w:rFonts w:ascii="Times New Roman" w:hAnsi="Times New Roman" w:eastAsia="Times New Roman" w:cs="Times New Roman"/>
                <w:i/>
                <w:color w:val="000000"/>
              </w:rPr>
              <w:t>Memória de Ulisses: narrativas sobre a fronteira na Grécia Antiga</w:t>
            </w:r>
            <w:r>
              <w:rPr>
                <w:rFonts w:ascii="Times New Roman" w:hAnsi="Times New Roman" w:eastAsia="Times New Roman" w:cs="Times New Roman"/>
                <w:color w:val="000000"/>
              </w:rPr>
              <w:t>. Belo Horizonte (MG): Ed. UFMG 2004.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LUCIANO de Samosata; BRANDÃO, Jacyntho Lins. </w:t>
            </w:r>
            <w:r>
              <w:rPr>
                <w:rFonts w:ascii="Times New Roman" w:hAnsi="Times New Roman" w:eastAsia="Times New Roman" w:cs="Times New Roman"/>
                <w:i/>
                <w:color w:val="000000"/>
              </w:rPr>
              <w:t>Como se deve escrever a história</w:t>
            </w:r>
            <w:r>
              <w:rPr>
                <w:rFonts w:ascii="Times New Roman" w:hAnsi="Times New Roman" w:eastAsia="Times New Roman" w:cs="Times New Roman"/>
                <w:color w:val="000000"/>
              </w:rPr>
              <w:t>. Ed. bilíngue. Belo Horizonte (MG): Tessitura 2009.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TEIXEIRA, Felipe Charbel. </w:t>
            </w:r>
            <w:r>
              <w:rPr>
                <w:rFonts w:ascii="Times New Roman" w:hAnsi="Times New Roman" w:eastAsia="Times New Roman" w:cs="Times New Roman"/>
                <w:i/>
                <w:color w:val="000000"/>
              </w:rPr>
              <w:t>Timoneiros:  retórica, prudência e história em Maquiavel e Guicciardini</w:t>
            </w:r>
            <w:r>
              <w:rPr>
                <w:rFonts w:ascii="Times New Roman" w:hAnsi="Times New Roman" w:eastAsia="Times New Roman" w:cs="Times New Roman"/>
                <w:color w:val="000000"/>
              </w:rPr>
              <w:t xml:space="preserve"> . Campinas, SP: UNICAMP c2010.</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JOLY, Fábio Duarte. </w:t>
            </w:r>
            <w:r>
              <w:rPr>
                <w:rFonts w:ascii="Times New Roman" w:hAnsi="Times New Roman" w:eastAsia="Times New Roman" w:cs="Times New Roman"/>
                <w:i/>
                <w:color w:val="000000"/>
              </w:rPr>
              <w:t>História e retórica:  ensaios sobre historiografia antiga</w:t>
            </w:r>
            <w:r>
              <w:rPr>
                <w:rFonts w:ascii="Times New Roman" w:hAnsi="Times New Roman" w:eastAsia="Times New Roman" w:cs="Times New Roman"/>
                <w:color w:val="000000"/>
              </w:rPr>
              <w:t xml:space="preserve"> . São Paulo: Alameda 2007. </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598"/>
        <w:tblW w:w="8813" w:type="dxa"/>
        <w:tblInd w:w="65" w:type="dxa"/>
        <w:tblLayout w:type="fixed"/>
        <w:tblCellMar>
          <w:top w:w="0" w:type="dxa"/>
          <w:left w:w="108" w:type="dxa"/>
          <w:bottom w:w="0" w:type="dxa"/>
          <w:right w:w="108" w:type="dxa"/>
        </w:tblCellMar>
      </w:tblPr>
      <w:tblGrid>
        <w:gridCol w:w="2827"/>
        <w:gridCol w:w="3119"/>
        <w:gridCol w:w="2867"/>
      </w:tblGrid>
      <w:tr>
        <w:tblPrEx>
          <w:tblCellMar>
            <w:top w:w="0" w:type="dxa"/>
            <w:left w:w="108" w:type="dxa"/>
            <w:bottom w:w="0" w:type="dxa"/>
            <w:right w:w="108" w:type="dxa"/>
          </w:tblCellMar>
        </w:tblPrEx>
        <w:tc>
          <w:tcPr>
            <w:tcW w:w="5946" w:type="dxa"/>
            <w:gridSpan w:val="2"/>
            <w:tcBorders>
              <w:top w:val="single" w:color="000000" w:sz="18" w:space="0"/>
              <w:left w:val="single" w:color="000000" w:sz="18"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Nome do Componente Curricular em português:</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Seminário de Formação em Teoria da História e História da Historiografia III</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Nome do Componente Curricular em inglês:</w:t>
            </w:r>
          </w:p>
          <w:p>
            <w:pPr>
              <w:pBdr>
                <w:top w:val="none" w:color="auto" w:sz="0" w:space="0"/>
                <w:left w:val="none" w:color="auto" w:sz="0" w:space="0"/>
                <w:bottom w:val="none" w:color="auto" w:sz="0" w:space="0"/>
                <w:right w:val="none" w:color="auto" w:sz="0" w:space="0"/>
                <w:between w:val="none" w:color="auto" w:sz="0" w:space="0"/>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212121"/>
              </w:rPr>
              <w:t>Seminar in Theory of History and History of Historiography III</w:t>
            </w:r>
          </w:p>
        </w:tc>
        <w:tc>
          <w:tcPr>
            <w:tcW w:w="2867" w:type="dxa"/>
            <w:tcBorders>
              <w:top w:val="single" w:color="000000" w:sz="18" w:space="0"/>
              <w:left w:val="single" w:color="000000" w:sz="4"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Código: HIS927</w:t>
            </w:r>
          </w:p>
        </w:tc>
      </w:tr>
      <w:tr>
        <w:tblPrEx>
          <w:tblCellMar>
            <w:top w:w="0" w:type="dxa"/>
            <w:left w:w="108" w:type="dxa"/>
            <w:bottom w:w="0" w:type="dxa"/>
            <w:right w:w="108" w:type="dxa"/>
          </w:tblCellMar>
        </w:tblPrEx>
        <w:trPr>
          <w:trHeight w:val="641" w:hRule="atLeast"/>
        </w:trPr>
        <w:tc>
          <w:tcPr>
            <w:tcW w:w="5946" w:type="dxa"/>
            <w:gridSpan w:val="2"/>
            <w:tcBorders>
              <w:top w:val="single" w:color="000000" w:sz="4" w:space="0"/>
              <w:left w:val="single" w:color="000000" w:sz="18"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 xml:space="preserve">Nome e sigla do departamento: Departamento de História - DEHIS </w:t>
            </w:r>
          </w:p>
        </w:tc>
        <w:tc>
          <w:tcPr>
            <w:tcW w:w="2867" w:type="dxa"/>
            <w:tcBorders>
              <w:top w:val="single" w:color="000000" w:sz="4" w:space="0"/>
              <w:left w:val="single" w:color="000000" w:sz="4"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Unidade acadêmica: ICHS</w:t>
            </w:r>
          </w:p>
        </w:tc>
      </w:tr>
      <w:tr>
        <w:tblPrEx>
          <w:tblCellMar>
            <w:top w:w="0" w:type="dxa"/>
            <w:left w:w="108" w:type="dxa"/>
            <w:bottom w:w="0" w:type="dxa"/>
            <w:right w:w="108" w:type="dxa"/>
          </w:tblCellMar>
        </w:tblPrEx>
        <w:trPr>
          <w:trHeight w:val="641" w:hRule="atLeast"/>
        </w:trPr>
        <w:tc>
          <w:tcPr>
            <w:tcW w:w="2827" w:type="dxa"/>
            <w:tcBorders>
              <w:top w:val="single" w:color="000000" w:sz="4" w:space="0"/>
              <w:left w:val="single" w:color="000000" w:sz="18"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Carga horária semestral</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60 horas</w:t>
            </w:r>
          </w:p>
        </w:tc>
        <w:tc>
          <w:tcPr>
            <w:tcW w:w="3119"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 xml:space="preserve">Carga horária semanal teórica </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04 horas/aula</w:t>
            </w:r>
          </w:p>
        </w:tc>
        <w:tc>
          <w:tcPr>
            <w:tcW w:w="2867" w:type="dxa"/>
            <w:tcBorders>
              <w:top w:val="single" w:color="000000" w:sz="4" w:space="0"/>
              <w:left w:val="single" w:color="000000" w:sz="4"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Carga horária semanal prática</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00</w:t>
            </w:r>
          </w:p>
        </w:tc>
      </w:tr>
      <w:tr>
        <w:tblPrEx>
          <w:tblCellMar>
            <w:top w:w="0" w:type="dxa"/>
            <w:left w:w="108" w:type="dxa"/>
            <w:bottom w:w="0" w:type="dxa"/>
            <w:right w:w="108" w:type="dxa"/>
          </w:tblCellMar>
        </w:tblPrEx>
        <w:tc>
          <w:tcPr>
            <w:tcW w:w="8813" w:type="dxa"/>
            <w:gridSpan w:val="3"/>
            <w:tcBorders>
              <w:top w:val="single" w:color="000000" w:sz="4" w:space="0"/>
              <w:left w:val="single" w:color="000000" w:sz="18"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Ementa: A emergência e significado das principais filosofias da história entre os séculos XVIII-XIX.</w:t>
            </w:r>
            <w:r>
              <w:rPr>
                <w:rFonts w:ascii="Times New Roman" w:hAnsi="Times New Roman" w:eastAsia="Times New Roman" w:cs="Times New Roman"/>
                <w:color w:val="FF0000"/>
              </w:rPr>
              <w:tab/>
            </w:r>
          </w:p>
        </w:tc>
      </w:tr>
      <w:tr>
        <w:tblPrEx>
          <w:tblCellMar>
            <w:top w:w="0" w:type="dxa"/>
            <w:left w:w="108" w:type="dxa"/>
            <w:bottom w:w="0" w:type="dxa"/>
            <w:right w:w="108" w:type="dxa"/>
          </w:tblCellMar>
        </w:tblPrEx>
        <w:tc>
          <w:tcPr>
            <w:tcW w:w="8813" w:type="dxa"/>
            <w:gridSpan w:val="3"/>
            <w:tcBorders>
              <w:top w:val="single" w:color="000000" w:sz="4" w:space="0"/>
              <w:left w:val="single" w:color="000000" w:sz="18"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 xml:space="preserve">Conteúdo programático: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Módulo I: Hume, Adam Smith, Robertson, Gibbon: a ilustração britânica</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Módulo II: Filosofias da história e os filósofos franceses do século XVIII.</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Módulo III: De Herder a Kant</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Módulo IV: Hegel</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Módulo V: Filosofias da história e escrita da história nacional do século XIX.</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Módulo VI: Entre o cientificismo e a crise do historicismo</w:t>
            </w:r>
          </w:p>
        </w:tc>
      </w:tr>
      <w:tr>
        <w:tblPrEx>
          <w:tblCellMar>
            <w:top w:w="0" w:type="dxa"/>
            <w:left w:w="108" w:type="dxa"/>
            <w:bottom w:w="0" w:type="dxa"/>
            <w:right w:w="108" w:type="dxa"/>
          </w:tblCellMar>
        </w:tblPrEx>
        <w:tc>
          <w:tcPr>
            <w:tcW w:w="8813" w:type="dxa"/>
            <w:gridSpan w:val="3"/>
            <w:tcBorders>
              <w:top w:val="single" w:color="000000" w:sz="4" w:space="0"/>
              <w:left w:val="single" w:color="000000" w:sz="18"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 xml:space="preserve">Bibliografia básica: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 xml:space="preserve">GARDINER, Patrick. </w:t>
            </w:r>
            <w:r>
              <w:rPr>
                <w:rFonts w:ascii="Times New Roman" w:hAnsi="Times New Roman" w:eastAsia="Times New Roman" w:cs="Times New Roman"/>
                <w:i/>
                <w:color w:val="000000"/>
              </w:rPr>
              <w:t xml:space="preserve">Teorias da história. </w:t>
            </w:r>
            <w:r>
              <w:rPr>
                <w:rFonts w:ascii="Times New Roman" w:hAnsi="Times New Roman" w:eastAsia="Times New Roman" w:cs="Times New Roman"/>
                <w:color w:val="000000"/>
              </w:rPr>
              <w:t xml:space="preserve">Lisboa: Calouste Gulbenkian, 1996HEGEL, G. W. G. </w:t>
            </w:r>
            <w:r>
              <w:rPr>
                <w:rFonts w:ascii="Times New Roman" w:hAnsi="Times New Roman" w:eastAsia="Times New Roman" w:cs="Times New Roman"/>
                <w:b/>
                <w:color w:val="000000"/>
              </w:rPr>
              <w:t xml:space="preserve">Fenomenologia do Espírito. </w:t>
            </w:r>
            <w:r>
              <w:rPr>
                <w:rFonts w:ascii="Times New Roman" w:hAnsi="Times New Roman" w:eastAsia="Times New Roman" w:cs="Times New Roman"/>
                <w:color w:val="000000"/>
              </w:rPr>
              <w:t xml:space="preserve">Partes I e II. Petrópolis (RJ): Vozes, 1999.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 xml:space="preserve">HEGEL, G. W. F. </w:t>
            </w:r>
            <w:r>
              <w:rPr>
                <w:rFonts w:ascii="Times New Roman" w:hAnsi="Times New Roman" w:eastAsia="Times New Roman" w:cs="Times New Roman"/>
                <w:b/>
                <w:color w:val="000000"/>
              </w:rPr>
              <w:t>A Razão na História</w:t>
            </w:r>
            <w:r>
              <w:rPr>
                <w:rFonts w:ascii="Times New Roman" w:hAnsi="Times New Roman" w:eastAsia="Times New Roman" w:cs="Times New Roman"/>
                <w:color w:val="000000"/>
              </w:rPr>
              <w:t>. São Paulo: Moraes, 1990. [Introdução geral á Filosofia da História].</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 xml:space="preserve">KANT, Immanuel. “Resposta à pergunta: o que é o Esclarecimento”. In </w:t>
            </w:r>
            <w:r>
              <w:rPr>
                <w:rFonts w:ascii="Times New Roman" w:hAnsi="Times New Roman" w:eastAsia="Times New Roman" w:cs="Times New Roman"/>
                <w:i/>
                <w:color w:val="000000"/>
              </w:rPr>
              <w:t>Textos seletos.</w:t>
            </w:r>
            <w:r>
              <w:rPr>
                <w:rFonts w:ascii="Times New Roman" w:hAnsi="Times New Roman" w:eastAsia="Times New Roman" w:cs="Times New Roman"/>
                <w:color w:val="000000"/>
              </w:rPr>
              <w:t xml:space="preserve"> Edição Bilíngüe. Petrópolis, Vozes Ed., 1985.</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NIETSZCHE, F.</w:t>
            </w:r>
            <w:r>
              <w:rPr>
                <w:rFonts w:ascii="Times New Roman" w:hAnsi="Times New Roman" w:eastAsia="Times New Roman" w:cs="Times New Roman"/>
                <w:b/>
                <w:color w:val="000000"/>
              </w:rPr>
              <w:t xml:space="preserve"> Segunda consideração intempestiva</w:t>
            </w:r>
            <w:r>
              <w:rPr>
                <w:rFonts w:ascii="Times New Roman" w:hAnsi="Times New Roman" w:eastAsia="Times New Roman" w:cs="Times New Roman"/>
                <w:color w:val="000000"/>
              </w:rPr>
              <w:t xml:space="preserve">. Rio de Janeiro; Relume-Dumara, 2004. </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599"/>
        <w:tblW w:w="8736" w:type="dxa"/>
        <w:tblInd w:w="65" w:type="dxa"/>
        <w:tblLayout w:type="fixed"/>
        <w:tblCellMar>
          <w:top w:w="0" w:type="dxa"/>
          <w:left w:w="108" w:type="dxa"/>
          <w:bottom w:w="0" w:type="dxa"/>
          <w:right w:w="108" w:type="dxa"/>
        </w:tblCellMar>
      </w:tblPr>
      <w:tblGrid>
        <w:gridCol w:w="2809"/>
        <w:gridCol w:w="3121"/>
        <w:gridCol w:w="2806"/>
      </w:tblGrid>
      <w:tr>
        <w:tblPrEx>
          <w:tblCellMar>
            <w:top w:w="0" w:type="dxa"/>
            <w:left w:w="108" w:type="dxa"/>
            <w:bottom w:w="0" w:type="dxa"/>
            <w:right w:w="108" w:type="dxa"/>
          </w:tblCellMar>
        </w:tblPrEx>
        <w:tc>
          <w:tcPr>
            <w:tcW w:w="5930" w:type="dxa"/>
            <w:gridSpan w:val="2"/>
            <w:tcBorders>
              <w:top w:val="single" w:color="000000" w:sz="18" w:space="0"/>
              <w:left w:val="single" w:color="000000" w:sz="18"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Nome do Componente Curricular em português:</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Seminário de Formação em Teoria da História e História da Historiografia X</w:t>
            </w:r>
          </w:p>
          <w:p>
            <w:pPr>
              <w:pBdr>
                <w:top w:val="none" w:color="auto" w:sz="0" w:space="0"/>
                <w:left w:val="none" w:color="auto" w:sz="0" w:space="0"/>
                <w:bottom w:val="none" w:color="auto" w:sz="0" w:space="0"/>
                <w:right w:val="none" w:color="auto" w:sz="0" w:space="0"/>
                <w:between w:val="none" w:color="auto" w:sz="0" w:space="0"/>
              </w:pBdr>
              <w:spacing w:before="240"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Nome do Componente Curricular em inglês: Seminar on Theory of History and History of Historiography X</w:t>
            </w:r>
          </w:p>
        </w:tc>
        <w:tc>
          <w:tcPr>
            <w:tcW w:w="2806" w:type="dxa"/>
            <w:tcBorders>
              <w:top w:val="single" w:color="000000" w:sz="18" w:space="0"/>
              <w:left w:val="single" w:color="000000" w:sz="4"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Código: HIS928</w:t>
            </w:r>
          </w:p>
        </w:tc>
      </w:tr>
      <w:tr>
        <w:tblPrEx>
          <w:tblCellMar>
            <w:top w:w="0" w:type="dxa"/>
            <w:left w:w="108" w:type="dxa"/>
            <w:bottom w:w="0" w:type="dxa"/>
            <w:right w:w="108" w:type="dxa"/>
          </w:tblCellMar>
        </w:tblPrEx>
        <w:trPr>
          <w:trHeight w:val="641" w:hRule="atLeast"/>
        </w:trPr>
        <w:tc>
          <w:tcPr>
            <w:tcW w:w="5930" w:type="dxa"/>
            <w:gridSpan w:val="2"/>
            <w:tcBorders>
              <w:top w:val="single" w:color="000000" w:sz="4" w:space="0"/>
              <w:left w:val="single" w:color="000000" w:sz="18"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Nome e sigla do departamento:</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Departamento de História - DEHIS</w:t>
            </w:r>
          </w:p>
        </w:tc>
        <w:tc>
          <w:tcPr>
            <w:tcW w:w="2806" w:type="dxa"/>
            <w:tcBorders>
              <w:top w:val="single" w:color="000000" w:sz="4" w:space="0"/>
              <w:left w:val="single" w:color="000000" w:sz="4"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Unidade acadêmica: ICHS</w:t>
            </w:r>
          </w:p>
        </w:tc>
      </w:tr>
      <w:tr>
        <w:tblPrEx>
          <w:tblCellMar>
            <w:top w:w="0" w:type="dxa"/>
            <w:left w:w="108" w:type="dxa"/>
            <w:bottom w:w="0" w:type="dxa"/>
            <w:right w:w="108" w:type="dxa"/>
          </w:tblCellMar>
        </w:tblPrEx>
        <w:trPr>
          <w:trHeight w:val="641" w:hRule="atLeast"/>
        </w:trPr>
        <w:tc>
          <w:tcPr>
            <w:tcW w:w="2809" w:type="dxa"/>
            <w:tcBorders>
              <w:top w:val="single" w:color="000000" w:sz="4" w:space="0"/>
              <w:left w:val="single" w:color="000000" w:sz="18"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Carga horária semestral</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60 horas</w:t>
            </w:r>
          </w:p>
        </w:tc>
        <w:tc>
          <w:tcPr>
            <w:tcW w:w="3121"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 xml:space="preserve">Carga horária semanal teórica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04 horas/aula</w:t>
            </w:r>
          </w:p>
        </w:tc>
        <w:tc>
          <w:tcPr>
            <w:tcW w:w="2806" w:type="dxa"/>
            <w:tcBorders>
              <w:top w:val="single" w:color="000000" w:sz="4" w:space="0"/>
              <w:left w:val="single" w:color="000000" w:sz="4"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Carga horária semanal prática</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0 horas/aula</w:t>
            </w:r>
          </w:p>
        </w:tc>
      </w:tr>
      <w:tr>
        <w:tblPrEx>
          <w:tblCellMar>
            <w:top w:w="0" w:type="dxa"/>
            <w:left w:w="108" w:type="dxa"/>
            <w:bottom w:w="0" w:type="dxa"/>
            <w:right w:w="108" w:type="dxa"/>
          </w:tblCellMar>
        </w:tblPrEx>
        <w:tc>
          <w:tcPr>
            <w:tcW w:w="8736" w:type="dxa"/>
            <w:gridSpan w:val="3"/>
            <w:tcBorders>
              <w:top w:val="single" w:color="000000" w:sz="4" w:space="0"/>
              <w:left w:val="single" w:color="000000" w:sz="18"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Ementa: Principais conceitos e problemas da Historiografia e Teoria da História francesa do século XX.</w:t>
            </w:r>
          </w:p>
        </w:tc>
      </w:tr>
      <w:tr>
        <w:tblPrEx>
          <w:tblCellMar>
            <w:top w:w="0" w:type="dxa"/>
            <w:left w:w="108" w:type="dxa"/>
            <w:bottom w:w="0" w:type="dxa"/>
            <w:right w:w="108" w:type="dxa"/>
          </w:tblCellMar>
        </w:tblPrEx>
        <w:tc>
          <w:tcPr>
            <w:tcW w:w="8736" w:type="dxa"/>
            <w:gridSpan w:val="3"/>
            <w:tcBorders>
              <w:top w:val="single" w:color="000000" w:sz="4" w:space="0"/>
              <w:left w:val="single" w:color="000000" w:sz="18"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 xml:space="preserve">Conteúdo programático: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A historiografia francesa novecentista, e suas propostas e desafios. O papel dos periódicos para a consolidação e divulgação da historiografia francesa.  Os caminhos seguidos pelos editores revista Annales e a sua relação com a historiografia francesa oitocentista. A cientificidade da história diante da herança do século XIX e o desafio colocado pelas ciências sociais. A interdisciplinaridade como um dos relevos importantes da historiografia de língua francesa. A mobilização do tempo histórico e a experiência humana.</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Módulos:</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Módulo I:    O mapa da historiografia francesa no início do século XX.</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Módulo II: A narrativa historiográfica: o papel da síntese e a territorialidade</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Módulo III: A temporalidade e o estruturalismo</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 xml:space="preserve">Módulo </w:t>
            </w:r>
            <w:r>
              <w:rPr>
                <w:rFonts w:ascii="Times New Roman" w:hAnsi="Times New Roman" w:eastAsia="Times New Roman" w:cs="Times New Roman"/>
              </w:rPr>
              <w:t>IV</w:t>
            </w:r>
            <w:r>
              <w:rPr>
                <w:rFonts w:ascii="Times New Roman" w:hAnsi="Times New Roman" w:eastAsia="Times New Roman" w:cs="Times New Roman"/>
                <w:color w:val="000000"/>
              </w:rPr>
              <w:t>: Fragmentação da História Social</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 xml:space="preserve">Módulo </w:t>
            </w:r>
            <w:r>
              <w:rPr>
                <w:rFonts w:ascii="Times New Roman" w:hAnsi="Times New Roman" w:eastAsia="Times New Roman" w:cs="Times New Roman"/>
              </w:rPr>
              <w:t>V</w:t>
            </w:r>
            <w:r>
              <w:rPr>
                <w:rFonts w:ascii="Times New Roman" w:hAnsi="Times New Roman" w:eastAsia="Times New Roman" w:cs="Times New Roman"/>
                <w:color w:val="000000"/>
              </w:rPr>
              <w:t>: A História Cultural</w:t>
            </w:r>
          </w:p>
        </w:tc>
      </w:tr>
      <w:tr>
        <w:tblPrEx>
          <w:tblCellMar>
            <w:top w:w="0" w:type="dxa"/>
            <w:left w:w="108" w:type="dxa"/>
            <w:bottom w:w="0" w:type="dxa"/>
            <w:right w:w="108" w:type="dxa"/>
          </w:tblCellMar>
        </w:tblPrEx>
        <w:trPr>
          <w:trHeight w:val="1610" w:hRule="atLeast"/>
        </w:trPr>
        <w:tc>
          <w:tcPr>
            <w:tcW w:w="8736" w:type="dxa"/>
            <w:gridSpan w:val="3"/>
            <w:tcBorders>
              <w:top w:val="single" w:color="000000" w:sz="4" w:space="0"/>
              <w:left w:val="single" w:color="000000" w:sz="18"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 xml:space="preserve">Bibliografia básica: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 xml:space="preserve">BLOCH, Marc Leopold. </w:t>
            </w:r>
            <w:r>
              <w:rPr>
                <w:rFonts w:ascii="Times New Roman" w:hAnsi="Times New Roman" w:eastAsia="Times New Roman" w:cs="Times New Roman"/>
                <w:b/>
                <w:color w:val="000000"/>
              </w:rPr>
              <w:t>Apologia da História, ou, O ofício de historiador</w:t>
            </w:r>
            <w:r>
              <w:rPr>
                <w:rFonts w:ascii="Times New Roman" w:hAnsi="Times New Roman" w:eastAsia="Times New Roman" w:cs="Times New Roman"/>
                <w:color w:val="000000"/>
              </w:rPr>
              <w:t>. Rio de Janeiro: Zahar, 2002, 159p.</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 xml:space="preserve">BRAUDEL, Fernand. </w:t>
            </w:r>
            <w:r>
              <w:rPr>
                <w:rFonts w:ascii="Times New Roman" w:hAnsi="Times New Roman" w:eastAsia="Times New Roman" w:cs="Times New Roman"/>
                <w:b/>
                <w:color w:val="000000"/>
              </w:rPr>
              <w:t>Reflexões sobre a história</w:t>
            </w:r>
            <w:r>
              <w:rPr>
                <w:rFonts w:ascii="Times New Roman" w:hAnsi="Times New Roman" w:eastAsia="Times New Roman" w:cs="Times New Roman"/>
                <w:color w:val="000000"/>
              </w:rPr>
              <w:t>. São Paulo: Martins Fontes, 1992, 400p.</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 xml:space="preserve">BRAUDEL, Fernand. </w:t>
            </w:r>
            <w:r>
              <w:rPr>
                <w:rFonts w:ascii="Times New Roman" w:hAnsi="Times New Roman" w:eastAsia="Times New Roman" w:cs="Times New Roman"/>
                <w:b/>
                <w:color w:val="000000"/>
              </w:rPr>
              <w:t>O Mediterrâneo e o mundo mediterrânico na época de Felipe II</w:t>
            </w:r>
            <w:r>
              <w:rPr>
                <w:rFonts w:ascii="Times New Roman" w:hAnsi="Times New Roman" w:eastAsia="Times New Roman" w:cs="Times New Roman"/>
                <w:color w:val="000000"/>
              </w:rPr>
              <w:t>. Lisboa: Martins Fontes, 1983, 3 vs.</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 xml:space="preserve">CHARTIER, Roger. </w:t>
            </w:r>
            <w:r>
              <w:rPr>
                <w:rFonts w:ascii="Times New Roman" w:hAnsi="Times New Roman" w:eastAsia="Times New Roman" w:cs="Times New Roman"/>
                <w:b/>
                <w:color w:val="000000"/>
              </w:rPr>
              <w:t>A história cultural:</w:t>
            </w:r>
            <w:r>
              <w:rPr>
                <w:rFonts w:ascii="Times New Roman" w:hAnsi="Times New Roman" w:eastAsia="Times New Roman" w:cs="Times New Roman"/>
                <w:color w:val="000000"/>
              </w:rPr>
              <w:t xml:space="preserve"> entre práticas e representações. Lisboa: Difel, Rio de Janeiro: Bertrand Brasil, 1990, 244p.</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 xml:space="preserve">DUBY, Georges. </w:t>
            </w:r>
            <w:r>
              <w:rPr>
                <w:rFonts w:ascii="Times New Roman" w:hAnsi="Times New Roman" w:eastAsia="Times New Roman" w:cs="Times New Roman"/>
                <w:b/>
                <w:color w:val="000000"/>
              </w:rPr>
              <w:t>História e nova história</w:t>
            </w:r>
            <w:r>
              <w:rPr>
                <w:rFonts w:ascii="Times New Roman" w:hAnsi="Times New Roman" w:eastAsia="Times New Roman" w:cs="Times New Roman"/>
                <w:color w:val="000000"/>
              </w:rPr>
              <w:t>. 2 ed. Lisboa: Teorema, 1989, 119p.</w:t>
            </w:r>
          </w:p>
        </w:tc>
      </w:tr>
      <w:tr>
        <w:tblPrEx>
          <w:tblCellMar>
            <w:top w:w="0" w:type="dxa"/>
            <w:left w:w="108" w:type="dxa"/>
            <w:bottom w:w="0" w:type="dxa"/>
            <w:right w:w="108" w:type="dxa"/>
          </w:tblCellMar>
        </w:tblPrEx>
        <w:trPr>
          <w:trHeight w:val="1610" w:hRule="atLeast"/>
        </w:trPr>
        <w:tc>
          <w:tcPr>
            <w:tcW w:w="8736" w:type="dxa"/>
            <w:gridSpan w:val="3"/>
            <w:tcBorders>
              <w:top w:val="single" w:color="000000" w:sz="4" w:space="0"/>
              <w:left w:val="single" w:color="000000" w:sz="18"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Bibliografia complementar:</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CHARTIER, Roger, REVEL, Jacques. A nova história. Coimbra: Almedina, c. 1978, 591p.</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CHARTIER, Roger. A força das representações: história e ficção. Chapecó: Argos, 2011, 291p.</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 xml:space="preserve">FEBVRE, Lucien Paul Victor. </w:t>
            </w:r>
            <w:r>
              <w:rPr>
                <w:rFonts w:ascii="Times New Roman" w:hAnsi="Times New Roman" w:eastAsia="Times New Roman" w:cs="Times New Roman"/>
                <w:b/>
                <w:color w:val="000000"/>
              </w:rPr>
              <w:t>Combates pela história</w:t>
            </w:r>
            <w:r>
              <w:rPr>
                <w:rFonts w:ascii="Times New Roman" w:hAnsi="Times New Roman" w:eastAsia="Times New Roman" w:cs="Times New Roman"/>
                <w:color w:val="000000"/>
              </w:rPr>
              <w:t>. Lisboa: Presença [19--] 2vs</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 xml:space="preserve">PERROT, Michelle; BRESCIANI, Maria Stella Martins. </w:t>
            </w:r>
            <w:r>
              <w:rPr>
                <w:rFonts w:ascii="Times New Roman" w:hAnsi="Times New Roman" w:eastAsia="Times New Roman" w:cs="Times New Roman"/>
                <w:b/>
                <w:color w:val="000000"/>
              </w:rPr>
              <w:t xml:space="preserve">Os excluídos da história: </w:t>
            </w:r>
            <w:r>
              <w:rPr>
                <w:rFonts w:ascii="Times New Roman" w:hAnsi="Times New Roman" w:eastAsia="Times New Roman" w:cs="Times New Roman"/>
                <w:color w:val="000000"/>
              </w:rPr>
              <w:t>operários, mulheres e prisioneiros. 2 ed. Rio de Janeiro: Paz e Terra, 1992, 332p.</w:t>
            </w:r>
          </w:p>
        </w:tc>
      </w:tr>
    </w:tbl>
    <w:p>
      <w:pPr>
        <w:ind w:left="0" w:hanging="2"/>
        <w:rPr>
          <w:rFonts w:ascii="Times New Roman" w:hAnsi="Times New Roman" w:eastAsia="Times New Roman" w:cs="Times New Roman"/>
        </w:rPr>
      </w:pPr>
    </w:p>
    <w:p>
      <w:pPr>
        <w:ind w:left="0" w:leftChars="0" w:firstLine="0" w:firstLineChars="0"/>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00"/>
        <w:tblW w:w="8878" w:type="dxa"/>
        <w:tblInd w:w="65" w:type="dxa"/>
        <w:tblLayout w:type="fixed"/>
        <w:tblCellMar>
          <w:top w:w="0" w:type="dxa"/>
          <w:left w:w="108" w:type="dxa"/>
          <w:bottom w:w="0" w:type="dxa"/>
          <w:right w:w="108" w:type="dxa"/>
        </w:tblCellMar>
      </w:tblPr>
      <w:tblGrid>
        <w:gridCol w:w="2692"/>
        <w:gridCol w:w="3403"/>
        <w:gridCol w:w="2783"/>
      </w:tblGrid>
      <w:tr>
        <w:tblPrEx>
          <w:tblCellMar>
            <w:top w:w="0" w:type="dxa"/>
            <w:left w:w="108" w:type="dxa"/>
            <w:bottom w:w="0" w:type="dxa"/>
            <w:right w:w="108" w:type="dxa"/>
          </w:tblCellMar>
        </w:tblPrEx>
        <w:tc>
          <w:tcPr>
            <w:tcW w:w="6095" w:type="dxa"/>
            <w:gridSpan w:val="2"/>
            <w:tcBorders>
              <w:top w:val="single" w:color="000000" w:sz="18" w:space="0"/>
              <w:left w:val="single" w:color="000000" w:sz="18"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Nome do Componente Curricular em português:</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Seminário de Formação em Teoria da História e História da Historiografia XI</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Nome do Componente Curricular em inglês:</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Seminar on Theory of History and History of historiography XI</w:t>
            </w:r>
          </w:p>
        </w:tc>
        <w:tc>
          <w:tcPr>
            <w:tcW w:w="2783" w:type="dxa"/>
            <w:tcBorders>
              <w:top w:val="single" w:color="000000" w:sz="18" w:space="0"/>
              <w:left w:val="single" w:color="000000" w:sz="4"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Código: HIS929</w:t>
            </w:r>
          </w:p>
        </w:tc>
      </w:tr>
      <w:tr>
        <w:tblPrEx>
          <w:tblCellMar>
            <w:top w:w="0" w:type="dxa"/>
            <w:left w:w="108" w:type="dxa"/>
            <w:bottom w:w="0" w:type="dxa"/>
            <w:right w:w="108" w:type="dxa"/>
          </w:tblCellMar>
        </w:tblPrEx>
        <w:trPr>
          <w:trHeight w:val="641" w:hRule="atLeast"/>
        </w:trPr>
        <w:tc>
          <w:tcPr>
            <w:tcW w:w="6095" w:type="dxa"/>
            <w:gridSpan w:val="2"/>
            <w:tcBorders>
              <w:top w:val="single" w:color="000000" w:sz="4" w:space="0"/>
              <w:left w:val="single" w:color="000000" w:sz="18"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Nome e sigla do departamento: Departamento de História - DEHIS</w:t>
            </w:r>
          </w:p>
        </w:tc>
        <w:tc>
          <w:tcPr>
            <w:tcW w:w="2783" w:type="dxa"/>
            <w:tcBorders>
              <w:top w:val="single" w:color="000000" w:sz="4" w:space="0"/>
              <w:left w:val="single" w:color="000000" w:sz="4"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Unidade acadêmica: ICHS</w:t>
            </w:r>
          </w:p>
        </w:tc>
      </w:tr>
      <w:tr>
        <w:tblPrEx>
          <w:tblCellMar>
            <w:top w:w="0" w:type="dxa"/>
            <w:left w:w="108" w:type="dxa"/>
            <w:bottom w:w="0" w:type="dxa"/>
            <w:right w:w="108" w:type="dxa"/>
          </w:tblCellMar>
        </w:tblPrEx>
        <w:trPr>
          <w:trHeight w:val="641" w:hRule="atLeast"/>
        </w:trPr>
        <w:tc>
          <w:tcPr>
            <w:tcW w:w="2692" w:type="dxa"/>
            <w:tcBorders>
              <w:top w:val="single" w:color="000000" w:sz="4" w:space="0"/>
              <w:left w:val="single" w:color="000000" w:sz="18"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76"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Carga horária semestral</w:t>
            </w:r>
          </w:p>
          <w:p>
            <w:pPr>
              <w:pBdr>
                <w:top w:val="none" w:color="auto" w:sz="0" w:space="0"/>
                <w:left w:val="none" w:color="auto" w:sz="0" w:space="0"/>
                <w:bottom w:val="none" w:color="auto" w:sz="0" w:space="0"/>
                <w:right w:val="none" w:color="auto" w:sz="0" w:space="0"/>
                <w:between w:val="none" w:color="auto" w:sz="0" w:space="0"/>
              </w:pBdr>
              <w:spacing w:line="276"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60 horas</w:t>
            </w:r>
          </w:p>
        </w:tc>
        <w:tc>
          <w:tcPr>
            <w:tcW w:w="3403"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76"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Carga horária semanal teórica</w:t>
            </w:r>
          </w:p>
          <w:p>
            <w:pPr>
              <w:pBdr>
                <w:top w:val="none" w:color="auto" w:sz="0" w:space="0"/>
                <w:left w:val="none" w:color="auto" w:sz="0" w:space="0"/>
                <w:bottom w:val="none" w:color="auto" w:sz="0" w:space="0"/>
                <w:right w:val="none" w:color="auto" w:sz="0" w:space="0"/>
                <w:between w:val="none" w:color="auto" w:sz="0" w:space="0"/>
              </w:pBdr>
              <w:spacing w:line="276"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04 horas/aula</w:t>
            </w:r>
          </w:p>
        </w:tc>
        <w:tc>
          <w:tcPr>
            <w:tcW w:w="2783" w:type="dxa"/>
            <w:tcBorders>
              <w:top w:val="single" w:color="000000" w:sz="4" w:space="0"/>
              <w:left w:val="single" w:color="000000" w:sz="4"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276"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Carga horária semanal prática</w:t>
            </w:r>
          </w:p>
          <w:p>
            <w:pPr>
              <w:pBdr>
                <w:top w:val="none" w:color="auto" w:sz="0" w:space="0"/>
                <w:left w:val="none" w:color="auto" w:sz="0" w:space="0"/>
                <w:bottom w:val="none" w:color="auto" w:sz="0" w:space="0"/>
                <w:right w:val="none" w:color="auto" w:sz="0" w:space="0"/>
                <w:between w:val="none" w:color="auto" w:sz="0" w:space="0"/>
              </w:pBdr>
              <w:spacing w:line="276"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00 horas/aula</w:t>
            </w:r>
          </w:p>
        </w:tc>
      </w:tr>
      <w:tr>
        <w:tblPrEx>
          <w:tblCellMar>
            <w:top w:w="0" w:type="dxa"/>
            <w:left w:w="108" w:type="dxa"/>
            <w:bottom w:w="0" w:type="dxa"/>
            <w:right w:w="108" w:type="dxa"/>
          </w:tblCellMar>
        </w:tblPrEx>
        <w:tc>
          <w:tcPr>
            <w:tcW w:w="8878" w:type="dxa"/>
            <w:gridSpan w:val="3"/>
            <w:tcBorders>
              <w:top w:val="single" w:color="000000" w:sz="4" w:space="0"/>
              <w:left w:val="single" w:color="000000" w:sz="18"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Ementa: Abordagem das filosofias da história e das teorias do tempo histórico no período moderno e contemporâneo.</w:t>
            </w:r>
          </w:p>
        </w:tc>
      </w:tr>
      <w:tr>
        <w:tblPrEx>
          <w:tblCellMar>
            <w:top w:w="0" w:type="dxa"/>
            <w:left w:w="108" w:type="dxa"/>
            <w:bottom w:w="0" w:type="dxa"/>
            <w:right w:w="108" w:type="dxa"/>
          </w:tblCellMar>
        </w:tblPrEx>
        <w:tc>
          <w:tcPr>
            <w:tcW w:w="8878" w:type="dxa"/>
            <w:gridSpan w:val="3"/>
            <w:tcBorders>
              <w:top w:val="single" w:color="000000" w:sz="4" w:space="0"/>
              <w:left w:val="single" w:color="000000" w:sz="18"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Conteúdo programático:</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Esta disciplina apresenta e analisa as filosofias da história do ocidente moderno e contemporâneo. Autores como Kant, Herder, Hume, Hegel, Gibbon, Marx, Comte, Spengler, Toynbee fazem parte do arco de proposições para o entendimento do sentido da história.</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Módulo I- Herder, Voltaire e Kant</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Módulo II- Gibbon</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Módulo III- Hegel</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 xml:space="preserve">Módulo IV- Spengler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Módulo V- Toynbee</w:t>
            </w:r>
          </w:p>
        </w:tc>
      </w:tr>
      <w:tr>
        <w:tblPrEx>
          <w:tblCellMar>
            <w:top w:w="0" w:type="dxa"/>
            <w:left w:w="108" w:type="dxa"/>
            <w:bottom w:w="0" w:type="dxa"/>
            <w:right w:w="108" w:type="dxa"/>
          </w:tblCellMar>
        </w:tblPrEx>
        <w:trPr>
          <w:trHeight w:val="3105" w:hRule="atLeast"/>
        </w:trPr>
        <w:tc>
          <w:tcPr>
            <w:tcW w:w="8878" w:type="dxa"/>
            <w:gridSpan w:val="3"/>
            <w:tcBorders>
              <w:top w:val="single" w:color="000000" w:sz="4" w:space="0"/>
              <w:left w:val="single" w:color="000000" w:sz="18"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b/>
                <w:color w:val="000000"/>
              </w:rPr>
              <w:t xml:space="preserve">Bibliografia básica: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 xml:space="preserve">GARDINER, Patrick L. </w:t>
            </w:r>
            <w:r>
              <w:rPr>
                <w:rFonts w:ascii="Times New Roman" w:hAnsi="Times New Roman" w:eastAsia="Times New Roman" w:cs="Times New Roman"/>
                <w:b/>
                <w:color w:val="000000"/>
              </w:rPr>
              <w:t>Teorias da História</w:t>
            </w:r>
            <w:r>
              <w:rPr>
                <w:rFonts w:ascii="Times New Roman" w:hAnsi="Times New Roman" w:eastAsia="Times New Roman" w:cs="Times New Roman"/>
                <w:color w:val="000000"/>
              </w:rPr>
              <w:t>. 3 ed. Lisboa: Calouste Goulbenkian, 1984, 679p.</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 xml:space="preserve">KANT, Immanuel, LEBRUN, Gérard, GIANOTTI, José Arthur. </w:t>
            </w:r>
            <w:r>
              <w:rPr>
                <w:rFonts w:ascii="Times New Roman" w:hAnsi="Times New Roman" w:eastAsia="Times New Roman" w:cs="Times New Roman"/>
                <w:b/>
                <w:color w:val="000000"/>
              </w:rPr>
              <w:t xml:space="preserve">Ideia de uma história de um  ponto de vista cosmopolita. </w:t>
            </w:r>
            <w:r>
              <w:rPr>
                <w:rFonts w:ascii="Times New Roman" w:hAnsi="Times New Roman" w:eastAsia="Times New Roman" w:cs="Times New Roman"/>
                <w:color w:val="000000"/>
              </w:rPr>
              <w:t>São Paulo: Brasiliense, 1986, 150p. (Elogio da Filosofia)</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HEGEL, Georg Wilhelm  Friedrich. Filosofia da História. 2ª.edição. Brasília: UnB, 1999, 373p.</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 xml:space="preserve">MARX, Karl. </w:t>
            </w:r>
            <w:r>
              <w:rPr>
                <w:rFonts w:ascii="Times New Roman" w:hAnsi="Times New Roman" w:eastAsia="Times New Roman" w:cs="Times New Roman"/>
                <w:b/>
                <w:color w:val="000000"/>
              </w:rPr>
              <w:t>O dezoito Brumário de Louis Bonaparte</w:t>
            </w:r>
            <w:r>
              <w:rPr>
                <w:rFonts w:ascii="Times New Roman" w:hAnsi="Times New Roman" w:eastAsia="Times New Roman" w:cs="Times New Roman"/>
                <w:color w:val="000000"/>
              </w:rPr>
              <w:t>. [6. Ed]. São Paulo: Centauro, 2008, 144p</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 xml:space="preserve">SPENGLER, Oswald. </w:t>
            </w:r>
            <w:r>
              <w:rPr>
                <w:rFonts w:ascii="Times New Roman" w:hAnsi="Times New Roman" w:eastAsia="Times New Roman" w:cs="Times New Roman"/>
                <w:b/>
                <w:color w:val="000000"/>
              </w:rPr>
              <w:t>La decadencia de occidente:</w:t>
            </w:r>
            <w:r>
              <w:rPr>
                <w:rFonts w:ascii="Times New Roman" w:hAnsi="Times New Roman" w:eastAsia="Times New Roman" w:cs="Times New Roman"/>
                <w:color w:val="000000"/>
              </w:rPr>
              <w:t xml:space="preserve"> bosquejo de uma morfologia de La historia universal, 7 ed. Madrid: Espasa-Calpe, 1949.</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TOYNBEE, Arnold; CAPLAN, Jane. Um estudo da história. Ed ver e condensada por Arnold Toynbee e Jane Caplan. São Paulo: Martins Fontes, Brasília: UnB, 1986, 592p.</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 xml:space="preserve">VOLTAIRE. </w:t>
            </w:r>
            <w:r>
              <w:rPr>
                <w:rFonts w:ascii="Times New Roman" w:hAnsi="Times New Roman" w:eastAsia="Times New Roman" w:cs="Times New Roman"/>
                <w:b/>
                <w:color w:val="000000"/>
              </w:rPr>
              <w:t>A filosofia da História</w:t>
            </w:r>
            <w:r>
              <w:rPr>
                <w:rFonts w:ascii="Times New Roman" w:hAnsi="Times New Roman" w:eastAsia="Times New Roman" w:cs="Times New Roman"/>
                <w:color w:val="000000"/>
              </w:rPr>
              <w:t>. São Paulo: Martins Fontes, 2007, xxix, 316p.</w:t>
            </w:r>
          </w:p>
        </w:tc>
      </w:tr>
      <w:tr>
        <w:tblPrEx>
          <w:tblCellMar>
            <w:top w:w="0" w:type="dxa"/>
            <w:left w:w="108" w:type="dxa"/>
            <w:bottom w:w="0" w:type="dxa"/>
            <w:right w:w="108" w:type="dxa"/>
          </w:tblCellMar>
        </w:tblPrEx>
        <w:trPr>
          <w:trHeight w:val="3105" w:hRule="atLeast"/>
        </w:trPr>
        <w:tc>
          <w:tcPr>
            <w:tcW w:w="8878" w:type="dxa"/>
            <w:gridSpan w:val="3"/>
            <w:tcBorders>
              <w:top w:val="single" w:color="000000" w:sz="4" w:space="0"/>
              <w:left w:val="single" w:color="000000" w:sz="18"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b/>
                <w:color w:val="000000"/>
              </w:rPr>
              <w:t>Bibliografia complementar</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ARENDT, Hannah. A condição humana. Rio de Janeiro: Forense Universitária, 2016.</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ARENDT, Hannah; BARBOSA, Mauro W. Entre o passado e o futuro. São Paulo: Perspectiva, 2007, 348p.</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MEINECKE, Friedrich. El historicismo y su Genesis. Mexico, DF: Fondo de Cultura Econômica, 1943, 524p.</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VARELLA, Flávia, MOLLO, Helena; MATA, Sérgio; ARAUJO, Valdei. A dinâmica do historicismo. Belo Horizonte: Argumentum, 2008,  247p.</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01"/>
        <w:tblW w:w="8878" w:type="dxa"/>
        <w:tblInd w:w="65" w:type="dxa"/>
        <w:tblLayout w:type="fixed"/>
        <w:tblCellMar>
          <w:top w:w="0" w:type="dxa"/>
          <w:left w:w="108" w:type="dxa"/>
          <w:bottom w:w="0" w:type="dxa"/>
          <w:right w:w="108" w:type="dxa"/>
        </w:tblCellMar>
      </w:tblPr>
      <w:tblGrid>
        <w:gridCol w:w="2828"/>
        <w:gridCol w:w="3122"/>
        <w:gridCol w:w="2928"/>
      </w:tblGrid>
      <w:tr>
        <w:tblPrEx>
          <w:tblCellMar>
            <w:top w:w="0" w:type="dxa"/>
            <w:left w:w="108" w:type="dxa"/>
            <w:bottom w:w="0" w:type="dxa"/>
            <w:right w:w="108" w:type="dxa"/>
          </w:tblCellMar>
        </w:tblPrEx>
        <w:tc>
          <w:tcPr>
            <w:tcW w:w="5951" w:type="dxa"/>
            <w:gridSpan w:val="2"/>
            <w:tcBorders>
              <w:top w:val="single" w:color="000000" w:sz="18"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do Componente Curricular em português:</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Seminário de Formação em Teoria da História e História da Historiografia XII</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Nome do Componente Curricular em inglês:</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Seminar on Theory of History and History of Historiography XII</w:t>
            </w:r>
          </w:p>
        </w:tc>
        <w:tc>
          <w:tcPr>
            <w:tcW w:w="2928" w:type="dxa"/>
            <w:tcBorders>
              <w:top w:val="single" w:color="000000" w:sz="18"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Código: HIS930</w:t>
            </w:r>
          </w:p>
        </w:tc>
      </w:tr>
      <w:tr>
        <w:tblPrEx>
          <w:tblCellMar>
            <w:top w:w="0" w:type="dxa"/>
            <w:left w:w="108" w:type="dxa"/>
            <w:bottom w:w="0" w:type="dxa"/>
            <w:right w:w="108" w:type="dxa"/>
          </w:tblCellMar>
        </w:tblPrEx>
        <w:trPr>
          <w:trHeight w:val="641" w:hRule="atLeast"/>
        </w:trPr>
        <w:tc>
          <w:tcPr>
            <w:tcW w:w="5951" w:type="dxa"/>
            <w:gridSpan w:val="2"/>
            <w:tcBorders>
              <w:top w:val="single" w:color="000000" w:sz="4"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e sigla do departamento:</w:t>
            </w:r>
          </w:p>
          <w:p>
            <w:pPr>
              <w:spacing w:line="360" w:lineRule="auto"/>
              <w:ind w:left="0" w:hanging="2"/>
              <w:rPr>
                <w:rFonts w:ascii="Times New Roman" w:hAnsi="Times New Roman" w:cs="Times New Roman"/>
              </w:rPr>
            </w:pPr>
            <w:r>
              <w:rPr>
                <w:rFonts w:ascii="Times New Roman" w:hAnsi="Times New Roman" w:eastAsia="Times New Roman" w:cs="Times New Roman"/>
              </w:rPr>
              <w:t>Departamento de História - DEHIS</w:t>
            </w:r>
          </w:p>
        </w:tc>
        <w:tc>
          <w:tcPr>
            <w:tcW w:w="2928" w:type="dxa"/>
            <w:tcBorders>
              <w:top w:val="single" w:color="000000" w:sz="4"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Unidade acadêmica: ICHS</w:t>
            </w:r>
          </w:p>
        </w:tc>
      </w:tr>
      <w:tr>
        <w:tblPrEx>
          <w:tblCellMar>
            <w:top w:w="0" w:type="dxa"/>
            <w:left w:w="108" w:type="dxa"/>
            <w:bottom w:w="0" w:type="dxa"/>
            <w:right w:w="108" w:type="dxa"/>
          </w:tblCellMar>
        </w:tblPrEx>
        <w:trPr>
          <w:trHeight w:val="641" w:hRule="atLeast"/>
        </w:trPr>
        <w:tc>
          <w:tcPr>
            <w:tcW w:w="2829" w:type="dxa"/>
            <w:tcBorders>
              <w:top w:val="single" w:color="000000" w:sz="4" w:space="0"/>
              <w:left w:val="single" w:color="000000" w:sz="18" w:space="0"/>
              <w:bottom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Carga horária semestral</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60 horas</w:t>
            </w:r>
          </w:p>
        </w:tc>
        <w:tc>
          <w:tcPr>
            <w:tcW w:w="3122" w:type="dxa"/>
            <w:tcBorders>
              <w:top w:val="single" w:color="000000" w:sz="4" w:space="0"/>
              <w:left w:val="single" w:color="000000" w:sz="4" w:space="0"/>
              <w:bottom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 xml:space="preserve">Carga horária semanal teórica </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04 horas/aula</w:t>
            </w:r>
          </w:p>
        </w:tc>
        <w:tc>
          <w:tcPr>
            <w:tcW w:w="2928" w:type="dxa"/>
            <w:tcBorders>
              <w:top w:val="single" w:color="000000" w:sz="4" w:space="0"/>
              <w:left w:val="single" w:color="000000" w:sz="4" w:space="0"/>
              <w:bottom w:val="single" w:color="000000" w:sz="4" w:space="0"/>
              <w:right w:val="single" w:color="000000" w:sz="18"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Carga horária semanal prática</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00 horas/aula</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Ementa: </w:t>
            </w:r>
            <w:r>
              <w:rPr>
                <w:rFonts w:ascii="Times New Roman" w:hAnsi="Times New Roman" w:eastAsia="Times New Roman" w:cs="Times New Roman"/>
                <w:color w:val="222222"/>
              </w:rPr>
              <w:t>Leituras sobre a Modernidade: proposição do mundo, o lugar do homem e o sentido da história.</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Conteúdo programático: </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Os primeiros séculos da Modernidade ocidental e sua leitura sobre o mundo. O lugar da matéria, as primeiras impressões sobre o ambiente natural e qual o lugar do homem no mundo. </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Módulo I: Bacon</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Módulo II: Espinoza </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Módulo III: Leibniz</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Módulo IV: Vico</w:t>
            </w:r>
          </w:p>
        </w:tc>
      </w:tr>
      <w:tr>
        <w:tblPrEx>
          <w:tblCellMar>
            <w:top w:w="0" w:type="dxa"/>
            <w:left w:w="108" w:type="dxa"/>
            <w:bottom w:w="0" w:type="dxa"/>
            <w:right w:w="108" w:type="dxa"/>
          </w:tblCellMar>
        </w:tblPrEx>
        <w:trPr>
          <w:trHeight w:val="2108" w:hRule="atLeast"/>
        </w:trPr>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Bibliografia básica: </w:t>
            </w:r>
          </w:p>
          <w:p>
            <w:pPr>
              <w:spacing w:line="360" w:lineRule="auto"/>
              <w:ind w:left="0" w:hanging="2"/>
              <w:rPr>
                <w:rFonts w:ascii="Times New Roman" w:hAnsi="Times New Roman" w:cs="Times New Roman"/>
              </w:rPr>
            </w:pPr>
            <w:r>
              <w:rPr>
                <w:rFonts w:ascii="Times New Roman" w:hAnsi="Times New Roman" w:eastAsia="Times New Roman" w:cs="Times New Roman"/>
              </w:rPr>
              <w:t>BACON, Francis. Novum Organum ou verdadeiras indicações acerca da interpretação da natureza: Nova Atlântida. São Paulo: Abril Cultural, 1979</w:t>
            </w:r>
          </w:p>
          <w:p>
            <w:pPr>
              <w:spacing w:line="360" w:lineRule="auto"/>
              <w:ind w:left="0" w:hanging="2"/>
              <w:rPr>
                <w:rFonts w:ascii="Times New Roman" w:hAnsi="Times New Roman" w:cs="Times New Roman"/>
              </w:rPr>
            </w:pPr>
            <w:r>
              <w:rPr>
                <w:rFonts w:ascii="Times New Roman" w:hAnsi="Times New Roman" w:eastAsia="Times New Roman" w:cs="Times New Roman"/>
              </w:rPr>
              <w:t>BERLIN, Isaiah. Vico e Herder. Brasília:UnB, 1982, 215p</w:t>
            </w:r>
          </w:p>
          <w:p>
            <w:pPr>
              <w:spacing w:line="360" w:lineRule="auto"/>
              <w:ind w:left="0" w:hanging="2"/>
              <w:rPr>
                <w:rFonts w:ascii="Times New Roman" w:hAnsi="Times New Roman" w:cs="Times New Roman"/>
              </w:rPr>
            </w:pPr>
            <w:r>
              <w:rPr>
                <w:rFonts w:ascii="Times New Roman" w:hAnsi="Times New Roman" w:eastAsia="Times New Roman" w:cs="Times New Roman"/>
              </w:rPr>
              <w:t>CHAUÍ, Marilena. A nervura do real: imanência e liberdade em Espinoza. São Paulo: Cia das Letras, 1999.</w:t>
            </w:r>
          </w:p>
          <w:p>
            <w:pPr>
              <w:spacing w:line="360" w:lineRule="auto"/>
              <w:ind w:left="0" w:hanging="2"/>
              <w:rPr>
                <w:rFonts w:ascii="Times New Roman" w:hAnsi="Times New Roman" w:cs="Times New Roman"/>
              </w:rPr>
            </w:pPr>
            <w:r>
              <w:rPr>
                <w:rFonts w:ascii="Times New Roman" w:hAnsi="Times New Roman" w:eastAsia="Times New Roman" w:cs="Times New Roman"/>
              </w:rPr>
              <w:t>ROSSI, Paolo. Os sinais do tempo: história da terra e história das nações de Hooke a Vico. São Paulo: Companhia das Letras, 1992, 387p.</w:t>
            </w:r>
          </w:p>
          <w:p>
            <w:pPr>
              <w:spacing w:line="360" w:lineRule="auto"/>
              <w:ind w:left="0" w:hanging="2"/>
              <w:rPr>
                <w:rFonts w:ascii="Times New Roman" w:hAnsi="Times New Roman" w:cs="Times New Roman"/>
              </w:rPr>
            </w:pPr>
            <w:r>
              <w:rPr>
                <w:rFonts w:ascii="Times New Roman" w:hAnsi="Times New Roman" w:eastAsia="Times New Roman" w:cs="Times New Roman"/>
              </w:rPr>
              <w:t>ROSSI, Paolo. A chave universal: artes da memorização e lógica combinatória desde Lúlio até Leibniz. Bauru: EDUSC, 2004, 421 p.</w:t>
            </w:r>
          </w:p>
          <w:p>
            <w:pPr>
              <w:spacing w:line="360" w:lineRule="auto"/>
              <w:ind w:left="0" w:hanging="2"/>
              <w:rPr>
                <w:rFonts w:ascii="Times New Roman" w:hAnsi="Times New Roman" w:cs="Times New Roman"/>
              </w:rPr>
            </w:pPr>
            <w:r>
              <w:rPr>
                <w:rFonts w:ascii="Times New Roman" w:hAnsi="Times New Roman" w:eastAsia="Times New Roman" w:cs="Times New Roman"/>
              </w:rPr>
              <w:t>VICO, Giambattista; PRADO, Antonio Lázaro Almeida. Princípios de (uma) ciência nova: (acerca da natureza comum das nações) 2 ed. São Paulo: Abril Cultural, 1979, 183p.</w:t>
            </w:r>
          </w:p>
        </w:tc>
      </w:tr>
      <w:tr>
        <w:tblPrEx>
          <w:tblCellMar>
            <w:top w:w="0" w:type="dxa"/>
            <w:left w:w="108" w:type="dxa"/>
            <w:bottom w:w="0" w:type="dxa"/>
            <w:right w:w="108" w:type="dxa"/>
          </w:tblCellMar>
        </w:tblPrEx>
        <w:trPr>
          <w:trHeight w:val="2445" w:hRule="atLeast"/>
        </w:trPr>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Bibliografia complementar</w:t>
            </w:r>
          </w:p>
          <w:p>
            <w:pPr>
              <w:spacing w:line="360" w:lineRule="auto"/>
              <w:ind w:left="0" w:hanging="2"/>
              <w:rPr>
                <w:rFonts w:ascii="Times New Roman" w:hAnsi="Times New Roman" w:cs="Times New Roman"/>
              </w:rPr>
            </w:pPr>
            <w:r>
              <w:rPr>
                <w:rFonts w:ascii="Times New Roman" w:hAnsi="Times New Roman" w:eastAsia="Times New Roman" w:cs="Times New Roman"/>
              </w:rPr>
              <w:t>ARENDT, Hannah. A condição humana. Rio de Janeiro: Forense Universitária, 2016.</w:t>
            </w:r>
          </w:p>
          <w:p>
            <w:pPr>
              <w:spacing w:line="360" w:lineRule="auto"/>
              <w:ind w:left="0" w:hanging="2"/>
              <w:rPr>
                <w:rFonts w:ascii="Times New Roman" w:hAnsi="Times New Roman" w:cs="Times New Roman"/>
              </w:rPr>
            </w:pPr>
            <w:r>
              <w:rPr>
                <w:rFonts w:ascii="Times New Roman" w:hAnsi="Times New Roman" w:eastAsia="Times New Roman" w:cs="Times New Roman"/>
              </w:rPr>
              <w:t>ARENDT, Hannah; BARBOSA, Mauro W. Entre o passado e o futuro. São Paulo: Perspectiva, 2007, 348p.</w:t>
            </w:r>
          </w:p>
          <w:p>
            <w:pPr>
              <w:spacing w:line="360" w:lineRule="auto"/>
              <w:ind w:left="0" w:hanging="2"/>
              <w:rPr>
                <w:rFonts w:ascii="Times New Roman" w:hAnsi="Times New Roman" w:cs="Times New Roman"/>
              </w:rPr>
            </w:pPr>
            <w:r>
              <w:rPr>
                <w:rFonts w:ascii="Times New Roman" w:hAnsi="Times New Roman" w:eastAsia="Times New Roman" w:cs="Times New Roman"/>
              </w:rPr>
              <w:t>MEINECKE, Friedrich. El historicismo y su Genesis. Mexico, DF: Fondo de Cultura Econômica, 1943, 524p.</w:t>
            </w:r>
          </w:p>
          <w:p>
            <w:pPr>
              <w:spacing w:line="360" w:lineRule="auto"/>
              <w:ind w:left="0" w:hanging="2"/>
              <w:rPr>
                <w:rFonts w:ascii="Times New Roman" w:hAnsi="Times New Roman" w:cs="Times New Roman"/>
              </w:rPr>
            </w:pPr>
            <w:r>
              <w:rPr>
                <w:rFonts w:ascii="Times New Roman" w:hAnsi="Times New Roman" w:eastAsia="Times New Roman" w:cs="Times New Roman"/>
              </w:rPr>
              <w:t>VARELLA, Flávia, MOLLO, Helena; MATA, Sérgio; ARAUJO, Valdei. A dinâmica do historicismo. Belo Horizonte: Argumentum, 2008, 247p.</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02"/>
        <w:tblW w:w="8879" w:type="dxa"/>
        <w:tblInd w:w="65" w:type="dxa"/>
        <w:tblLayout w:type="fixed"/>
        <w:tblCellMar>
          <w:top w:w="0" w:type="dxa"/>
          <w:left w:w="108" w:type="dxa"/>
          <w:bottom w:w="0" w:type="dxa"/>
          <w:right w:w="108" w:type="dxa"/>
        </w:tblCellMar>
      </w:tblPr>
      <w:tblGrid>
        <w:gridCol w:w="2786"/>
        <w:gridCol w:w="3122"/>
        <w:gridCol w:w="2971"/>
      </w:tblGrid>
      <w:tr>
        <w:tblPrEx>
          <w:tblCellMar>
            <w:top w:w="0" w:type="dxa"/>
            <w:left w:w="108" w:type="dxa"/>
            <w:bottom w:w="0" w:type="dxa"/>
            <w:right w:w="108" w:type="dxa"/>
          </w:tblCellMar>
        </w:tblPrEx>
        <w:tc>
          <w:tcPr>
            <w:tcW w:w="5908" w:type="dxa"/>
            <w:gridSpan w:val="2"/>
            <w:tcBorders>
              <w:top w:val="single" w:color="000000" w:sz="18"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do Componente Curricular em português:</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Seminário de Teoria da História e História da Historiografia I</w:t>
            </w:r>
          </w:p>
          <w:p>
            <w:pPr>
              <w:spacing w:before="240" w:line="360" w:lineRule="auto"/>
              <w:ind w:left="0" w:hanging="2"/>
              <w:jc w:val="both"/>
              <w:rPr>
                <w:rFonts w:ascii="Times New Roman" w:hAnsi="Times New Roman" w:cs="Times New Roman"/>
              </w:rPr>
            </w:pPr>
            <w:r>
              <w:rPr>
                <w:rFonts w:ascii="Times New Roman" w:hAnsi="Times New Roman" w:eastAsia="Times New Roman" w:cs="Times New Roman"/>
              </w:rPr>
              <w:t>Nome do Componente Curricular em inglês:</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Seminar on Teory and History of Historiography I</w:t>
            </w:r>
          </w:p>
        </w:tc>
        <w:tc>
          <w:tcPr>
            <w:tcW w:w="2971" w:type="dxa"/>
            <w:tcBorders>
              <w:top w:val="single" w:color="000000" w:sz="18"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Código: HIS931</w:t>
            </w:r>
          </w:p>
        </w:tc>
      </w:tr>
      <w:tr>
        <w:tblPrEx>
          <w:tblCellMar>
            <w:top w:w="0" w:type="dxa"/>
            <w:left w:w="108" w:type="dxa"/>
            <w:bottom w:w="0" w:type="dxa"/>
            <w:right w:w="108" w:type="dxa"/>
          </w:tblCellMar>
        </w:tblPrEx>
        <w:trPr>
          <w:trHeight w:val="641" w:hRule="atLeast"/>
        </w:trPr>
        <w:tc>
          <w:tcPr>
            <w:tcW w:w="5908" w:type="dxa"/>
            <w:gridSpan w:val="2"/>
            <w:tcBorders>
              <w:top w:val="single" w:color="000000" w:sz="4"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e sigla do departamento:</w:t>
            </w:r>
          </w:p>
          <w:p>
            <w:pPr>
              <w:spacing w:line="360" w:lineRule="auto"/>
              <w:ind w:left="0" w:hanging="2"/>
              <w:rPr>
                <w:rFonts w:ascii="Times New Roman" w:hAnsi="Times New Roman" w:cs="Times New Roman"/>
              </w:rPr>
            </w:pPr>
            <w:r>
              <w:rPr>
                <w:rFonts w:ascii="Times New Roman" w:hAnsi="Times New Roman" w:eastAsia="Times New Roman" w:cs="Times New Roman"/>
              </w:rPr>
              <w:t>Departamento de História - DEHIS</w:t>
            </w:r>
          </w:p>
        </w:tc>
        <w:tc>
          <w:tcPr>
            <w:tcW w:w="2971" w:type="dxa"/>
            <w:tcBorders>
              <w:top w:val="single" w:color="000000" w:sz="4"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Unidade acadêmica: ICHS</w:t>
            </w:r>
          </w:p>
        </w:tc>
      </w:tr>
      <w:tr>
        <w:tblPrEx>
          <w:tblCellMar>
            <w:top w:w="0" w:type="dxa"/>
            <w:left w:w="108" w:type="dxa"/>
            <w:bottom w:w="0" w:type="dxa"/>
            <w:right w:w="108" w:type="dxa"/>
          </w:tblCellMar>
        </w:tblPrEx>
        <w:trPr>
          <w:trHeight w:val="641" w:hRule="atLeast"/>
        </w:trPr>
        <w:tc>
          <w:tcPr>
            <w:tcW w:w="2786" w:type="dxa"/>
            <w:tcBorders>
              <w:top w:val="single" w:color="000000" w:sz="4" w:space="0"/>
              <w:left w:val="single" w:color="000000" w:sz="18" w:space="0"/>
              <w:bottom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Carga horária semestral</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45 horas</w:t>
            </w:r>
          </w:p>
        </w:tc>
        <w:tc>
          <w:tcPr>
            <w:tcW w:w="3122" w:type="dxa"/>
            <w:tcBorders>
              <w:top w:val="single" w:color="000000" w:sz="4" w:space="0"/>
              <w:left w:val="single" w:color="000000" w:sz="4" w:space="0"/>
              <w:bottom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 xml:space="preserve">Carga horária semanal teórica </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02 horas/aula</w:t>
            </w:r>
          </w:p>
        </w:tc>
        <w:tc>
          <w:tcPr>
            <w:tcW w:w="2971" w:type="dxa"/>
            <w:tcBorders>
              <w:top w:val="single" w:color="000000" w:sz="4" w:space="0"/>
              <w:left w:val="single" w:color="000000" w:sz="4" w:space="0"/>
              <w:bottom w:val="single" w:color="000000" w:sz="4" w:space="0"/>
              <w:right w:val="single" w:color="000000" w:sz="18"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Carga horária semanal prática</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01 horas/aula</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Ementa: A construção do tempo histórico na modernidade</w:t>
            </w:r>
            <w:r>
              <w:rPr>
                <w:rFonts w:ascii="Times New Roman" w:hAnsi="Times New Roman" w:eastAsia="Times New Roman" w:cs="Times New Roman"/>
                <w:color w:val="FF0000"/>
              </w:rPr>
              <w:t>.</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Conteúdo programático: </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Módulo I: Leitura do tempo</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Módulo II: A experiência nos séculos XVII e XVIII</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Módulo III: A natureza e o tempo</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Módulo IV: A construção científica na modernidade ilustrada</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Bibliografia básica: </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ARENDT, Hannah. </w:t>
            </w:r>
            <w:r>
              <w:rPr>
                <w:rFonts w:ascii="Times New Roman" w:hAnsi="Times New Roman" w:eastAsia="Times New Roman" w:cs="Times New Roman"/>
                <w:b/>
              </w:rPr>
              <w:t>A condição humana</w:t>
            </w:r>
            <w:r>
              <w:rPr>
                <w:rFonts w:ascii="Times New Roman" w:hAnsi="Times New Roman" w:eastAsia="Times New Roman" w:cs="Times New Roman"/>
              </w:rPr>
              <w:t>.11 ed. Rio de Janeiro: Forense Universitária, 2010, 407p.</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FOUCAULT, Michel; MOTTA, Manoel Barros da. </w:t>
            </w:r>
            <w:r>
              <w:rPr>
                <w:rFonts w:ascii="Times New Roman" w:hAnsi="Times New Roman" w:eastAsia="Times New Roman" w:cs="Times New Roman"/>
                <w:b/>
              </w:rPr>
              <w:t>Arqueologia das ciências e histórias dos sistemas de pensamento</w:t>
            </w:r>
            <w:r>
              <w:rPr>
                <w:rFonts w:ascii="Times New Roman" w:hAnsi="Times New Roman" w:eastAsia="Times New Roman" w:cs="Times New Roman"/>
              </w:rPr>
              <w:t>. 3 ed. Rio de Janeiro: Forense Universitária, 2013, 402p.</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ROSSI, Paolo. </w:t>
            </w:r>
            <w:r>
              <w:rPr>
                <w:rFonts w:ascii="Times New Roman" w:hAnsi="Times New Roman" w:eastAsia="Times New Roman" w:cs="Times New Roman"/>
                <w:b/>
              </w:rPr>
              <w:t>A chave universal:</w:t>
            </w:r>
            <w:r>
              <w:rPr>
                <w:rFonts w:ascii="Times New Roman" w:hAnsi="Times New Roman" w:eastAsia="Times New Roman" w:cs="Times New Roman"/>
              </w:rPr>
              <w:t xml:space="preserve"> artes da memorização e lógica combinatória desde Lúlio até Leibniz. Bauru: EDUSC 2004, 421p.</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GUMBRECHT, Hans Ulrich. </w:t>
            </w:r>
            <w:r>
              <w:rPr>
                <w:rFonts w:ascii="Times New Roman" w:hAnsi="Times New Roman" w:eastAsia="Times New Roman" w:cs="Times New Roman"/>
                <w:b/>
              </w:rPr>
              <w:t>Modernização dos sentidos</w:t>
            </w:r>
            <w:r>
              <w:rPr>
                <w:rFonts w:ascii="Times New Roman" w:hAnsi="Times New Roman" w:eastAsia="Times New Roman" w:cs="Times New Roman"/>
              </w:rPr>
              <w:t>. São Paulo: Ed 34, 1998, 319p.</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Bibliografia complementar:</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ROSSI, Paolo. </w:t>
            </w:r>
            <w:r>
              <w:rPr>
                <w:rFonts w:ascii="Times New Roman" w:hAnsi="Times New Roman" w:eastAsia="Times New Roman" w:cs="Times New Roman"/>
                <w:b/>
              </w:rPr>
              <w:t>A ciência e a filosofia dos modernos:</w:t>
            </w:r>
            <w:r>
              <w:rPr>
                <w:rFonts w:ascii="Times New Roman" w:hAnsi="Times New Roman" w:eastAsia="Times New Roman" w:cs="Times New Roman"/>
              </w:rPr>
              <w:t xml:space="preserve"> aspectos da revolução científica. São Paulo: Editora UNESP, 1992, 389p</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ROSSI, Paolo, BERNARDINI, Aurora. </w:t>
            </w:r>
            <w:r>
              <w:rPr>
                <w:rFonts w:ascii="Times New Roman" w:hAnsi="Times New Roman" w:eastAsia="Times New Roman" w:cs="Times New Roman"/>
                <w:b/>
              </w:rPr>
              <w:t>Francis Bacon:</w:t>
            </w:r>
            <w:r>
              <w:rPr>
                <w:rFonts w:ascii="Times New Roman" w:hAnsi="Times New Roman" w:eastAsia="Times New Roman" w:cs="Times New Roman"/>
              </w:rPr>
              <w:t xml:space="preserve"> da magia à ciência. Londrina: EdUEL. Curitiba: Ed da UFPR, 2006, 477p</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ROSSI, Paolo. </w:t>
            </w:r>
            <w:r>
              <w:rPr>
                <w:rFonts w:ascii="Times New Roman" w:hAnsi="Times New Roman" w:eastAsia="Times New Roman" w:cs="Times New Roman"/>
                <w:b/>
              </w:rPr>
              <w:t>Os sinais do tempo:</w:t>
            </w:r>
            <w:r>
              <w:rPr>
                <w:rFonts w:ascii="Times New Roman" w:hAnsi="Times New Roman" w:eastAsia="Times New Roman" w:cs="Times New Roman"/>
              </w:rPr>
              <w:t xml:space="preserve"> história da terra e história das nações de Hooke a Vico. São Paulo: Companhia das Letras, 1992</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ROSSI, Paolo; ANGONESE, Antonio. </w:t>
            </w:r>
            <w:r>
              <w:rPr>
                <w:rFonts w:ascii="Times New Roman" w:hAnsi="Times New Roman" w:eastAsia="Times New Roman" w:cs="Times New Roman"/>
                <w:b/>
              </w:rPr>
              <w:t>O nascimento da ciência moderna na Europa</w:t>
            </w:r>
            <w:r>
              <w:rPr>
                <w:rFonts w:ascii="Times New Roman" w:hAnsi="Times New Roman" w:eastAsia="Times New Roman" w:cs="Times New Roman"/>
              </w:rPr>
              <w:t>. Bauru: EDUSC, 2001.</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GUMBRECHT, Hans Ulrich. </w:t>
            </w:r>
            <w:r>
              <w:rPr>
                <w:rFonts w:ascii="Times New Roman" w:hAnsi="Times New Roman" w:eastAsia="Times New Roman" w:cs="Times New Roman"/>
                <w:b/>
              </w:rPr>
              <w:t>Nosso amplo presente:</w:t>
            </w:r>
            <w:r>
              <w:rPr>
                <w:rFonts w:ascii="Times New Roman" w:hAnsi="Times New Roman" w:eastAsia="Times New Roman" w:cs="Times New Roman"/>
              </w:rPr>
              <w:t xml:space="preserve"> o tempo e a cultura contemporânea. São Paulo: UNESP</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MACHADO, Roberto. </w:t>
            </w:r>
            <w:r>
              <w:rPr>
                <w:rFonts w:ascii="Times New Roman" w:hAnsi="Times New Roman" w:eastAsia="Times New Roman" w:cs="Times New Roman"/>
                <w:b/>
              </w:rPr>
              <w:t>Ciência e saber:</w:t>
            </w:r>
            <w:r>
              <w:rPr>
                <w:rFonts w:ascii="Times New Roman" w:hAnsi="Times New Roman" w:eastAsia="Times New Roman" w:cs="Times New Roman"/>
              </w:rPr>
              <w:t xml:space="preserve"> a trajetória da arqueologia de Michel Foucault. Rio de Janeiro: Graal, 1982, 218p.</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03"/>
        <w:tblW w:w="8879" w:type="dxa"/>
        <w:tblInd w:w="65" w:type="dxa"/>
        <w:tblLayout w:type="fixed"/>
        <w:tblCellMar>
          <w:top w:w="0" w:type="dxa"/>
          <w:left w:w="108" w:type="dxa"/>
          <w:bottom w:w="0" w:type="dxa"/>
          <w:right w:w="108" w:type="dxa"/>
        </w:tblCellMar>
      </w:tblPr>
      <w:tblGrid>
        <w:gridCol w:w="2789"/>
        <w:gridCol w:w="3114"/>
        <w:gridCol w:w="2976"/>
      </w:tblGrid>
      <w:tr>
        <w:tblPrEx>
          <w:tblCellMar>
            <w:top w:w="0" w:type="dxa"/>
            <w:left w:w="108" w:type="dxa"/>
            <w:bottom w:w="0" w:type="dxa"/>
            <w:right w:w="108" w:type="dxa"/>
          </w:tblCellMar>
        </w:tblPrEx>
        <w:tc>
          <w:tcPr>
            <w:tcW w:w="5903" w:type="dxa"/>
            <w:gridSpan w:val="2"/>
            <w:tcBorders>
              <w:top w:val="single" w:color="000000" w:sz="18" w:space="0"/>
              <w:left w:val="single" w:color="000000" w:sz="18" w:space="0"/>
              <w:bottom w:val="single" w:color="000000" w:sz="4"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Nome do Componente Curricular em português:</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Seminário de Teoria da História e História da Historiografia II</w:t>
            </w:r>
          </w:p>
          <w:p>
            <w:pPr>
              <w:spacing w:before="240" w:line="360" w:lineRule="auto"/>
              <w:ind w:left="0" w:hanging="2"/>
              <w:jc w:val="both"/>
              <w:rPr>
                <w:rFonts w:ascii="Times New Roman" w:hAnsi="Times New Roman" w:cs="Times New Roman"/>
              </w:rPr>
            </w:pPr>
            <w:r>
              <w:rPr>
                <w:rFonts w:ascii="Times New Roman" w:hAnsi="Times New Roman" w:eastAsia="Times New Roman" w:cs="Times New Roman"/>
              </w:rPr>
              <w:t>Nome do Componente Curricular em inglês: Seminar on Teory and History of Historiography II</w:t>
            </w:r>
          </w:p>
        </w:tc>
        <w:tc>
          <w:tcPr>
            <w:tcW w:w="2976" w:type="dxa"/>
            <w:tcBorders>
              <w:top w:val="single" w:color="000000" w:sz="18"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Código: HIS932</w:t>
            </w:r>
          </w:p>
        </w:tc>
      </w:tr>
      <w:tr>
        <w:tblPrEx>
          <w:tblCellMar>
            <w:top w:w="0" w:type="dxa"/>
            <w:left w:w="108" w:type="dxa"/>
            <w:bottom w:w="0" w:type="dxa"/>
            <w:right w:w="108" w:type="dxa"/>
          </w:tblCellMar>
        </w:tblPrEx>
        <w:trPr>
          <w:trHeight w:val="641" w:hRule="atLeast"/>
        </w:trPr>
        <w:tc>
          <w:tcPr>
            <w:tcW w:w="5903" w:type="dxa"/>
            <w:gridSpan w:val="2"/>
            <w:tcBorders>
              <w:top w:val="single" w:color="000000" w:sz="4"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e sigla do departamento:</w:t>
            </w:r>
          </w:p>
          <w:p>
            <w:pPr>
              <w:spacing w:line="360" w:lineRule="auto"/>
              <w:ind w:left="0" w:hanging="2"/>
              <w:rPr>
                <w:rFonts w:ascii="Times New Roman" w:hAnsi="Times New Roman" w:cs="Times New Roman"/>
              </w:rPr>
            </w:pPr>
            <w:r>
              <w:rPr>
                <w:rFonts w:ascii="Times New Roman" w:hAnsi="Times New Roman" w:eastAsia="Times New Roman" w:cs="Times New Roman"/>
              </w:rPr>
              <w:t>Departamento de História - DEHIS</w:t>
            </w:r>
          </w:p>
        </w:tc>
        <w:tc>
          <w:tcPr>
            <w:tcW w:w="2976" w:type="dxa"/>
            <w:tcBorders>
              <w:top w:val="single" w:color="000000" w:sz="4"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Unidade acadêmica: ICHS</w:t>
            </w:r>
          </w:p>
        </w:tc>
      </w:tr>
      <w:tr>
        <w:tblPrEx>
          <w:tblCellMar>
            <w:top w:w="0" w:type="dxa"/>
            <w:left w:w="108" w:type="dxa"/>
            <w:bottom w:w="0" w:type="dxa"/>
            <w:right w:w="108" w:type="dxa"/>
          </w:tblCellMar>
        </w:tblPrEx>
        <w:trPr>
          <w:trHeight w:val="641" w:hRule="atLeast"/>
        </w:trPr>
        <w:tc>
          <w:tcPr>
            <w:tcW w:w="2789" w:type="dxa"/>
            <w:tcBorders>
              <w:top w:val="single" w:color="000000" w:sz="4" w:space="0"/>
              <w:left w:val="single" w:color="000000" w:sz="18" w:space="0"/>
              <w:bottom w:val="single" w:color="000000" w:sz="4" w:space="0"/>
            </w:tcBorders>
          </w:tcPr>
          <w:p>
            <w:pPr>
              <w:spacing w:line="276" w:lineRule="auto"/>
              <w:ind w:left="0" w:hanging="2"/>
              <w:jc w:val="center"/>
              <w:rPr>
                <w:rFonts w:ascii="Times New Roman" w:hAnsi="Times New Roman" w:cs="Times New Roman"/>
              </w:rPr>
            </w:pPr>
            <w:r>
              <w:rPr>
                <w:rFonts w:ascii="Times New Roman" w:hAnsi="Times New Roman" w:eastAsia="Times New Roman" w:cs="Times New Roman"/>
              </w:rPr>
              <w:t>Carga horária semestral</w:t>
            </w:r>
          </w:p>
          <w:p>
            <w:pPr>
              <w:spacing w:line="276" w:lineRule="auto"/>
              <w:ind w:left="0" w:hanging="2"/>
              <w:jc w:val="center"/>
              <w:rPr>
                <w:rFonts w:ascii="Times New Roman" w:hAnsi="Times New Roman" w:cs="Times New Roman"/>
              </w:rPr>
            </w:pPr>
            <w:r>
              <w:rPr>
                <w:rFonts w:ascii="Times New Roman" w:hAnsi="Times New Roman" w:eastAsia="Times New Roman" w:cs="Times New Roman"/>
              </w:rPr>
              <w:t>45 horas</w:t>
            </w:r>
          </w:p>
        </w:tc>
        <w:tc>
          <w:tcPr>
            <w:tcW w:w="3114" w:type="dxa"/>
            <w:tcBorders>
              <w:top w:val="single" w:color="000000" w:sz="4" w:space="0"/>
              <w:left w:val="single" w:color="000000" w:sz="4" w:space="0"/>
              <w:bottom w:val="single" w:color="000000" w:sz="4" w:space="0"/>
            </w:tcBorders>
          </w:tcPr>
          <w:p>
            <w:pPr>
              <w:spacing w:line="276" w:lineRule="auto"/>
              <w:ind w:left="0" w:hanging="2"/>
              <w:jc w:val="center"/>
              <w:rPr>
                <w:rFonts w:ascii="Times New Roman" w:hAnsi="Times New Roman" w:cs="Times New Roman"/>
              </w:rPr>
            </w:pPr>
            <w:r>
              <w:rPr>
                <w:rFonts w:ascii="Times New Roman" w:hAnsi="Times New Roman" w:eastAsia="Times New Roman" w:cs="Times New Roman"/>
              </w:rPr>
              <w:t xml:space="preserve">Carga horária semanal teórica </w:t>
            </w:r>
          </w:p>
          <w:p>
            <w:pPr>
              <w:spacing w:line="276" w:lineRule="auto"/>
              <w:ind w:left="0" w:hanging="2"/>
              <w:jc w:val="center"/>
              <w:rPr>
                <w:rFonts w:ascii="Times New Roman" w:hAnsi="Times New Roman" w:cs="Times New Roman"/>
              </w:rPr>
            </w:pPr>
            <w:r>
              <w:rPr>
                <w:rFonts w:ascii="Times New Roman" w:hAnsi="Times New Roman" w:eastAsia="Times New Roman" w:cs="Times New Roman"/>
              </w:rPr>
              <w:t>02 horas/aula</w:t>
            </w:r>
          </w:p>
        </w:tc>
        <w:tc>
          <w:tcPr>
            <w:tcW w:w="2976" w:type="dxa"/>
            <w:tcBorders>
              <w:top w:val="single" w:color="000000" w:sz="4" w:space="0"/>
              <w:left w:val="single" w:color="000000" w:sz="4" w:space="0"/>
              <w:bottom w:val="single" w:color="000000" w:sz="4" w:space="0"/>
              <w:right w:val="single" w:color="000000" w:sz="18" w:space="0"/>
            </w:tcBorders>
          </w:tcPr>
          <w:p>
            <w:pPr>
              <w:spacing w:line="276" w:lineRule="auto"/>
              <w:ind w:left="0" w:hanging="2"/>
              <w:jc w:val="center"/>
              <w:rPr>
                <w:rFonts w:ascii="Times New Roman" w:hAnsi="Times New Roman" w:cs="Times New Roman"/>
              </w:rPr>
            </w:pPr>
            <w:r>
              <w:rPr>
                <w:rFonts w:ascii="Times New Roman" w:hAnsi="Times New Roman" w:eastAsia="Times New Roman" w:cs="Times New Roman"/>
              </w:rPr>
              <w:t>Carga horária semanal prática</w:t>
            </w:r>
          </w:p>
          <w:p>
            <w:pPr>
              <w:spacing w:line="276" w:lineRule="auto"/>
              <w:ind w:left="0" w:hanging="2"/>
              <w:jc w:val="center"/>
              <w:rPr>
                <w:rFonts w:ascii="Times New Roman" w:hAnsi="Times New Roman" w:cs="Times New Roman"/>
              </w:rPr>
            </w:pPr>
            <w:r>
              <w:rPr>
                <w:rFonts w:ascii="Times New Roman" w:hAnsi="Times New Roman" w:eastAsia="Times New Roman" w:cs="Times New Roman"/>
              </w:rPr>
              <w:t>01 horas/aula</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Ementa: A construção do tempo histórico na modernidade</w:t>
            </w:r>
            <w:r>
              <w:rPr>
                <w:rFonts w:ascii="Times New Roman" w:hAnsi="Times New Roman" w:eastAsia="Times New Roman" w:cs="Times New Roman"/>
                <w:color w:val="FF0000"/>
              </w:rPr>
              <w:t>.</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Conteúdo programático: </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Módulo I: Leitura do tempo</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Módulo II: A experiência do século XIX</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Módulo III: A natureza e o tempo</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Módulo IV: A construção científica oitocentista</w:t>
            </w:r>
          </w:p>
        </w:tc>
      </w:tr>
      <w:tr>
        <w:tblPrEx>
          <w:tblCellMar>
            <w:top w:w="0" w:type="dxa"/>
            <w:left w:w="108" w:type="dxa"/>
            <w:bottom w:w="0" w:type="dxa"/>
            <w:right w:w="108" w:type="dxa"/>
          </w:tblCellMar>
        </w:tblPrEx>
        <w:trPr>
          <w:trHeight w:val="2070" w:hRule="atLeast"/>
        </w:trPr>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Bibliografia básica: </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ARENDT, Hannah. </w:t>
            </w:r>
            <w:r>
              <w:rPr>
                <w:rFonts w:ascii="Times New Roman" w:hAnsi="Times New Roman" w:eastAsia="Times New Roman" w:cs="Times New Roman"/>
                <w:b/>
              </w:rPr>
              <w:t>A condição humana</w:t>
            </w:r>
            <w:r>
              <w:rPr>
                <w:rFonts w:ascii="Times New Roman" w:hAnsi="Times New Roman" w:eastAsia="Times New Roman" w:cs="Times New Roman"/>
              </w:rPr>
              <w:t>.11 ed. Rio de Janeiro: Forense Universitária, 2010, 407p.</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FOUCAULT, Michel; MOTTA, Manoel Barros da. </w:t>
            </w:r>
            <w:r>
              <w:rPr>
                <w:rFonts w:ascii="Times New Roman" w:hAnsi="Times New Roman" w:eastAsia="Times New Roman" w:cs="Times New Roman"/>
                <w:b/>
              </w:rPr>
              <w:t>Arqueologia das ciências e histórias dos sistemas de pensamento</w:t>
            </w:r>
            <w:r>
              <w:rPr>
                <w:rFonts w:ascii="Times New Roman" w:hAnsi="Times New Roman" w:eastAsia="Times New Roman" w:cs="Times New Roman"/>
              </w:rPr>
              <w:t>. 3 ed. Rio de Janeiro: Forense Universitária, 2013, 402p.</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ROSSI, Paolo. </w:t>
            </w:r>
            <w:r>
              <w:rPr>
                <w:rFonts w:ascii="Times New Roman" w:hAnsi="Times New Roman" w:eastAsia="Times New Roman" w:cs="Times New Roman"/>
                <w:b/>
              </w:rPr>
              <w:t>A chave universal:</w:t>
            </w:r>
            <w:r>
              <w:rPr>
                <w:rFonts w:ascii="Times New Roman" w:hAnsi="Times New Roman" w:eastAsia="Times New Roman" w:cs="Times New Roman"/>
              </w:rPr>
              <w:t xml:space="preserve"> artes da memorização e lógica combinatória desde Lúlio até Leibniz. Bauru: EDUSC 2004, 421p.</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GUMBRECHT, Hans Ulrich. </w:t>
            </w:r>
            <w:r>
              <w:rPr>
                <w:rFonts w:ascii="Times New Roman" w:hAnsi="Times New Roman" w:eastAsia="Times New Roman" w:cs="Times New Roman"/>
                <w:b/>
              </w:rPr>
              <w:t>Modernização dos sentidos</w:t>
            </w:r>
            <w:r>
              <w:rPr>
                <w:rFonts w:ascii="Times New Roman" w:hAnsi="Times New Roman" w:eastAsia="Times New Roman" w:cs="Times New Roman"/>
              </w:rPr>
              <w:t>. São Paulo: Ed 34, 1998, 319p.</w:t>
            </w:r>
          </w:p>
        </w:tc>
      </w:tr>
      <w:tr>
        <w:tblPrEx>
          <w:tblCellMar>
            <w:top w:w="0" w:type="dxa"/>
            <w:left w:w="108" w:type="dxa"/>
            <w:bottom w:w="0" w:type="dxa"/>
            <w:right w:w="108" w:type="dxa"/>
          </w:tblCellMar>
        </w:tblPrEx>
        <w:trPr>
          <w:trHeight w:val="486" w:hRule="atLeast"/>
        </w:trPr>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Bibliografia complementar:</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ROSSI, Paolo. </w:t>
            </w:r>
            <w:r>
              <w:rPr>
                <w:rFonts w:ascii="Times New Roman" w:hAnsi="Times New Roman" w:eastAsia="Times New Roman" w:cs="Times New Roman"/>
                <w:b/>
              </w:rPr>
              <w:t>A ciência e a filosofia dos modernos:</w:t>
            </w:r>
            <w:r>
              <w:rPr>
                <w:rFonts w:ascii="Times New Roman" w:hAnsi="Times New Roman" w:eastAsia="Times New Roman" w:cs="Times New Roman"/>
              </w:rPr>
              <w:t xml:space="preserve"> aspectos da revolução científica. São Paulo: Editora UNESP, 1992, 389p</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ROSSI, Paolo, BERNARDINI, Aurora. </w:t>
            </w:r>
            <w:r>
              <w:rPr>
                <w:rFonts w:ascii="Times New Roman" w:hAnsi="Times New Roman" w:eastAsia="Times New Roman" w:cs="Times New Roman"/>
                <w:b/>
              </w:rPr>
              <w:t>Francis Bacon:</w:t>
            </w:r>
            <w:r>
              <w:rPr>
                <w:rFonts w:ascii="Times New Roman" w:hAnsi="Times New Roman" w:eastAsia="Times New Roman" w:cs="Times New Roman"/>
              </w:rPr>
              <w:t xml:space="preserve"> da magia à ciência. Londrina: EdUEL. Curitiba: Ed da UFPR, 2006, 477p</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ROSSI, Paolo. </w:t>
            </w:r>
            <w:r>
              <w:rPr>
                <w:rFonts w:ascii="Times New Roman" w:hAnsi="Times New Roman" w:eastAsia="Times New Roman" w:cs="Times New Roman"/>
                <w:b/>
              </w:rPr>
              <w:t>Os sinais do tempo:</w:t>
            </w:r>
            <w:r>
              <w:rPr>
                <w:rFonts w:ascii="Times New Roman" w:hAnsi="Times New Roman" w:eastAsia="Times New Roman" w:cs="Times New Roman"/>
              </w:rPr>
              <w:t xml:space="preserve"> história da terra e história das nações de Hooke a Vico. São Paulo: Companhia das Letras, 1992</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ROSSI, Paolo; ANGONESE, Antonio. </w:t>
            </w:r>
            <w:r>
              <w:rPr>
                <w:rFonts w:ascii="Times New Roman" w:hAnsi="Times New Roman" w:eastAsia="Times New Roman" w:cs="Times New Roman"/>
                <w:b/>
              </w:rPr>
              <w:t>O nascimento da ciência moderna na Europa</w:t>
            </w:r>
            <w:r>
              <w:rPr>
                <w:rFonts w:ascii="Times New Roman" w:hAnsi="Times New Roman" w:eastAsia="Times New Roman" w:cs="Times New Roman"/>
              </w:rPr>
              <w:t>. Bauru: EDUSC, 2001.</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GUMBRECHT, Hans Ulrich. </w:t>
            </w:r>
            <w:r>
              <w:rPr>
                <w:rFonts w:ascii="Times New Roman" w:hAnsi="Times New Roman" w:eastAsia="Times New Roman" w:cs="Times New Roman"/>
                <w:b/>
              </w:rPr>
              <w:t>Nosso amplo presente:</w:t>
            </w:r>
            <w:r>
              <w:rPr>
                <w:rFonts w:ascii="Times New Roman" w:hAnsi="Times New Roman" w:eastAsia="Times New Roman" w:cs="Times New Roman"/>
              </w:rPr>
              <w:t xml:space="preserve"> o tempo e a cultura contemporânea. São Paulo: UNESP</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MACHADO, Roberto. </w:t>
            </w:r>
            <w:r>
              <w:rPr>
                <w:rFonts w:ascii="Times New Roman" w:hAnsi="Times New Roman" w:eastAsia="Times New Roman" w:cs="Times New Roman"/>
                <w:b/>
              </w:rPr>
              <w:t>Ciência e saber:</w:t>
            </w:r>
            <w:r>
              <w:rPr>
                <w:rFonts w:ascii="Times New Roman" w:hAnsi="Times New Roman" w:eastAsia="Times New Roman" w:cs="Times New Roman"/>
              </w:rPr>
              <w:t xml:space="preserve"> a trajetória da arqueologia de Michel Foucault. Rio de Janeiro: Graal, 1982, 218p.</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04"/>
        <w:tblW w:w="8926" w:type="dxa"/>
        <w:tblInd w:w="65" w:type="dxa"/>
        <w:tblLayout w:type="fixed"/>
        <w:tblCellMar>
          <w:top w:w="0" w:type="dxa"/>
          <w:left w:w="108" w:type="dxa"/>
          <w:bottom w:w="0" w:type="dxa"/>
          <w:right w:w="108" w:type="dxa"/>
        </w:tblCellMar>
      </w:tblPr>
      <w:tblGrid>
        <w:gridCol w:w="2779"/>
        <w:gridCol w:w="3118"/>
        <w:gridCol w:w="3029"/>
      </w:tblGrid>
      <w:tr>
        <w:tblPrEx>
          <w:tblCellMar>
            <w:top w:w="0" w:type="dxa"/>
            <w:left w:w="108" w:type="dxa"/>
            <w:bottom w:w="0" w:type="dxa"/>
            <w:right w:w="108" w:type="dxa"/>
          </w:tblCellMar>
        </w:tblPrEx>
        <w:tc>
          <w:tcPr>
            <w:tcW w:w="5897" w:type="dxa"/>
            <w:gridSpan w:val="2"/>
            <w:tcBorders>
              <w:top w:val="single" w:color="000000" w:sz="18" w:space="0"/>
              <w:left w:val="single" w:color="000000" w:sz="18" w:space="0"/>
              <w:bottom w:val="single" w:color="000000" w:sz="4"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Nome do Componente Curricular em português:</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Seminário de Teoria da História e História da Historiografia III</w:t>
            </w:r>
          </w:p>
          <w:p>
            <w:pPr>
              <w:spacing w:before="240" w:line="360" w:lineRule="auto"/>
              <w:ind w:left="0" w:hanging="2"/>
              <w:jc w:val="both"/>
              <w:rPr>
                <w:rFonts w:ascii="Times New Roman" w:hAnsi="Times New Roman" w:cs="Times New Roman"/>
              </w:rPr>
            </w:pPr>
            <w:r>
              <w:rPr>
                <w:rFonts w:ascii="Times New Roman" w:hAnsi="Times New Roman" w:eastAsia="Times New Roman" w:cs="Times New Roman"/>
              </w:rPr>
              <w:t>Nome do Componente Curricular em inglês:</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Seminar on Teory and History of Historiography III</w:t>
            </w:r>
          </w:p>
        </w:tc>
        <w:tc>
          <w:tcPr>
            <w:tcW w:w="3029" w:type="dxa"/>
            <w:tcBorders>
              <w:top w:val="single" w:color="000000" w:sz="18"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Código: HIS933</w:t>
            </w:r>
          </w:p>
        </w:tc>
      </w:tr>
      <w:tr>
        <w:tblPrEx>
          <w:tblCellMar>
            <w:top w:w="0" w:type="dxa"/>
            <w:left w:w="108" w:type="dxa"/>
            <w:bottom w:w="0" w:type="dxa"/>
            <w:right w:w="108" w:type="dxa"/>
          </w:tblCellMar>
        </w:tblPrEx>
        <w:trPr>
          <w:trHeight w:val="641" w:hRule="atLeast"/>
        </w:trPr>
        <w:tc>
          <w:tcPr>
            <w:tcW w:w="5897" w:type="dxa"/>
            <w:gridSpan w:val="2"/>
            <w:tcBorders>
              <w:top w:val="single" w:color="000000" w:sz="4"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e sigla do departamento:</w:t>
            </w:r>
          </w:p>
          <w:p>
            <w:pPr>
              <w:spacing w:line="360" w:lineRule="auto"/>
              <w:ind w:left="0" w:hanging="2"/>
              <w:rPr>
                <w:rFonts w:ascii="Times New Roman" w:hAnsi="Times New Roman" w:cs="Times New Roman"/>
              </w:rPr>
            </w:pPr>
            <w:r>
              <w:rPr>
                <w:rFonts w:ascii="Times New Roman" w:hAnsi="Times New Roman" w:eastAsia="Times New Roman" w:cs="Times New Roman"/>
              </w:rPr>
              <w:t>Departamento de História - DEHIS</w:t>
            </w:r>
          </w:p>
        </w:tc>
        <w:tc>
          <w:tcPr>
            <w:tcW w:w="3029" w:type="dxa"/>
            <w:tcBorders>
              <w:top w:val="single" w:color="000000" w:sz="4"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Unidade acadêmica: ICHS</w:t>
            </w:r>
          </w:p>
        </w:tc>
      </w:tr>
      <w:tr>
        <w:tblPrEx>
          <w:tblCellMar>
            <w:top w:w="0" w:type="dxa"/>
            <w:left w:w="108" w:type="dxa"/>
            <w:bottom w:w="0" w:type="dxa"/>
            <w:right w:w="108" w:type="dxa"/>
          </w:tblCellMar>
        </w:tblPrEx>
        <w:trPr>
          <w:trHeight w:val="641" w:hRule="atLeast"/>
        </w:trPr>
        <w:tc>
          <w:tcPr>
            <w:tcW w:w="2779" w:type="dxa"/>
            <w:tcBorders>
              <w:top w:val="single" w:color="000000" w:sz="4" w:space="0"/>
              <w:left w:val="single" w:color="000000" w:sz="18" w:space="0"/>
              <w:bottom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Carga horária semestral</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45 horas</w:t>
            </w:r>
          </w:p>
        </w:tc>
        <w:tc>
          <w:tcPr>
            <w:tcW w:w="3118" w:type="dxa"/>
            <w:tcBorders>
              <w:top w:val="single" w:color="000000" w:sz="4" w:space="0"/>
              <w:left w:val="single" w:color="000000" w:sz="4" w:space="0"/>
              <w:bottom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 xml:space="preserve">Carga horária semanal teórica </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02 horas/aula</w:t>
            </w:r>
          </w:p>
        </w:tc>
        <w:tc>
          <w:tcPr>
            <w:tcW w:w="3029" w:type="dxa"/>
            <w:tcBorders>
              <w:top w:val="single" w:color="000000" w:sz="4" w:space="0"/>
              <w:left w:val="single" w:color="000000" w:sz="4" w:space="0"/>
              <w:bottom w:val="single" w:color="000000" w:sz="4" w:space="0"/>
              <w:right w:val="single" w:color="000000" w:sz="18"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Carga horária semanal prática</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01 horas/aula</w:t>
            </w:r>
          </w:p>
        </w:tc>
      </w:tr>
      <w:tr>
        <w:tblPrEx>
          <w:tblCellMar>
            <w:top w:w="0" w:type="dxa"/>
            <w:left w:w="108" w:type="dxa"/>
            <w:bottom w:w="0" w:type="dxa"/>
            <w:right w:w="108" w:type="dxa"/>
          </w:tblCellMar>
        </w:tblPrEx>
        <w:tc>
          <w:tcPr>
            <w:tcW w:w="8926"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Ementa: A construção do tempo histórico na modernidade</w:t>
            </w:r>
            <w:r>
              <w:rPr>
                <w:rFonts w:ascii="Times New Roman" w:hAnsi="Times New Roman" w:eastAsia="Times New Roman" w:cs="Times New Roman"/>
                <w:color w:val="FF0000"/>
              </w:rPr>
              <w:t>.</w:t>
            </w:r>
          </w:p>
        </w:tc>
      </w:tr>
      <w:tr>
        <w:tblPrEx>
          <w:tblCellMar>
            <w:top w:w="0" w:type="dxa"/>
            <w:left w:w="108" w:type="dxa"/>
            <w:bottom w:w="0" w:type="dxa"/>
            <w:right w:w="108" w:type="dxa"/>
          </w:tblCellMar>
        </w:tblPrEx>
        <w:tc>
          <w:tcPr>
            <w:tcW w:w="8926"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Conteúdo programático: </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Módulo I: Leitura do tempo</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Módulo II: A experiência do século XX</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Módulo III: A natureza e o tempo</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Módulo IV: A construção científica novecentista</w:t>
            </w:r>
          </w:p>
        </w:tc>
      </w:tr>
      <w:tr>
        <w:tblPrEx>
          <w:tblCellMar>
            <w:top w:w="0" w:type="dxa"/>
            <w:left w:w="108" w:type="dxa"/>
            <w:bottom w:w="0" w:type="dxa"/>
            <w:right w:w="108" w:type="dxa"/>
          </w:tblCellMar>
        </w:tblPrEx>
        <w:tc>
          <w:tcPr>
            <w:tcW w:w="8926"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Bibliografia básica: </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ARENDT, Hannah. </w:t>
            </w:r>
            <w:r>
              <w:rPr>
                <w:rFonts w:ascii="Times New Roman" w:hAnsi="Times New Roman" w:eastAsia="Times New Roman" w:cs="Times New Roman"/>
                <w:b/>
              </w:rPr>
              <w:t>A condição humana</w:t>
            </w:r>
            <w:r>
              <w:rPr>
                <w:rFonts w:ascii="Times New Roman" w:hAnsi="Times New Roman" w:eastAsia="Times New Roman" w:cs="Times New Roman"/>
              </w:rPr>
              <w:t>.11 ed. Rio de Janeiro: Forense Universitária, 2010, 407p.</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FOUCAULT, Michel; MOTTA, Manoel Barros da. </w:t>
            </w:r>
            <w:r>
              <w:rPr>
                <w:rFonts w:ascii="Times New Roman" w:hAnsi="Times New Roman" w:eastAsia="Times New Roman" w:cs="Times New Roman"/>
                <w:b/>
              </w:rPr>
              <w:t>Arqueologia das ciências e histórias dos sistemas de pensamento</w:t>
            </w:r>
            <w:r>
              <w:rPr>
                <w:rFonts w:ascii="Times New Roman" w:hAnsi="Times New Roman" w:eastAsia="Times New Roman" w:cs="Times New Roman"/>
              </w:rPr>
              <w:t>. 3 ed. Rio de Janeiro: Forense Universitária, 2013, 402p.</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ROSSI, Paolo. </w:t>
            </w:r>
            <w:r>
              <w:rPr>
                <w:rFonts w:ascii="Times New Roman" w:hAnsi="Times New Roman" w:eastAsia="Times New Roman" w:cs="Times New Roman"/>
                <w:b/>
              </w:rPr>
              <w:t>A chave universal:</w:t>
            </w:r>
            <w:r>
              <w:rPr>
                <w:rFonts w:ascii="Times New Roman" w:hAnsi="Times New Roman" w:eastAsia="Times New Roman" w:cs="Times New Roman"/>
              </w:rPr>
              <w:t xml:space="preserve"> artes da memorização e lógica combinatória desde Lúlio até Leibniz. Bauru: EDUSC 2004, 421p.</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GUMBRECHT, Hans Ulrich. </w:t>
            </w:r>
            <w:r>
              <w:rPr>
                <w:rFonts w:ascii="Times New Roman" w:hAnsi="Times New Roman" w:eastAsia="Times New Roman" w:cs="Times New Roman"/>
                <w:b/>
              </w:rPr>
              <w:t>Modernização dos sentidos</w:t>
            </w:r>
            <w:r>
              <w:rPr>
                <w:rFonts w:ascii="Times New Roman" w:hAnsi="Times New Roman" w:eastAsia="Times New Roman" w:cs="Times New Roman"/>
              </w:rPr>
              <w:t>. São Paulo: Ed 34, 1998, 319p</w:t>
            </w:r>
          </w:p>
        </w:tc>
      </w:tr>
      <w:tr>
        <w:tblPrEx>
          <w:tblCellMar>
            <w:top w:w="0" w:type="dxa"/>
            <w:left w:w="108" w:type="dxa"/>
            <w:bottom w:w="0" w:type="dxa"/>
            <w:right w:w="108" w:type="dxa"/>
          </w:tblCellMar>
        </w:tblPrEx>
        <w:tc>
          <w:tcPr>
            <w:tcW w:w="8926"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Bibliografia complementar:</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ROSSI, Paolo. </w:t>
            </w:r>
            <w:r>
              <w:rPr>
                <w:rFonts w:ascii="Times New Roman" w:hAnsi="Times New Roman" w:eastAsia="Times New Roman" w:cs="Times New Roman"/>
                <w:b/>
              </w:rPr>
              <w:t>A ciência e a filosofia dos modernos:</w:t>
            </w:r>
            <w:r>
              <w:rPr>
                <w:rFonts w:ascii="Times New Roman" w:hAnsi="Times New Roman" w:eastAsia="Times New Roman" w:cs="Times New Roman"/>
              </w:rPr>
              <w:t xml:space="preserve"> aspectos da revolução científica. São Paulo: Editora UNESP, 1992, 389p</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ROSSI, Paolo, BERNARDINI, Aurora. </w:t>
            </w:r>
            <w:r>
              <w:rPr>
                <w:rFonts w:ascii="Times New Roman" w:hAnsi="Times New Roman" w:eastAsia="Times New Roman" w:cs="Times New Roman"/>
                <w:b/>
              </w:rPr>
              <w:t>Francis Bacon:</w:t>
            </w:r>
            <w:r>
              <w:rPr>
                <w:rFonts w:ascii="Times New Roman" w:hAnsi="Times New Roman" w:eastAsia="Times New Roman" w:cs="Times New Roman"/>
              </w:rPr>
              <w:t xml:space="preserve"> da magia à ciência. Londrina: EdUEL. Curitiba: Ed da UFPR, 2006, 477p</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ROSSI, Paolo. </w:t>
            </w:r>
            <w:r>
              <w:rPr>
                <w:rFonts w:ascii="Times New Roman" w:hAnsi="Times New Roman" w:eastAsia="Times New Roman" w:cs="Times New Roman"/>
                <w:b/>
              </w:rPr>
              <w:t>Os sinais do tempo:</w:t>
            </w:r>
            <w:r>
              <w:rPr>
                <w:rFonts w:ascii="Times New Roman" w:hAnsi="Times New Roman" w:eastAsia="Times New Roman" w:cs="Times New Roman"/>
              </w:rPr>
              <w:t xml:space="preserve"> história da terra e história das nações de Hooke a Vico. São Paulo: Companhia das Letras, 1992</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ROSSI, Paolo; ANGONESE, Antonio. </w:t>
            </w:r>
            <w:r>
              <w:rPr>
                <w:rFonts w:ascii="Times New Roman" w:hAnsi="Times New Roman" w:eastAsia="Times New Roman" w:cs="Times New Roman"/>
                <w:b/>
              </w:rPr>
              <w:t>O nascimento da ciência moderna na Europa</w:t>
            </w:r>
            <w:r>
              <w:rPr>
                <w:rFonts w:ascii="Times New Roman" w:hAnsi="Times New Roman" w:eastAsia="Times New Roman" w:cs="Times New Roman"/>
              </w:rPr>
              <w:t>. Bauru: EDUSC, 2001.</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GUMBRECHT, Hans Ulrich. </w:t>
            </w:r>
            <w:r>
              <w:rPr>
                <w:rFonts w:ascii="Times New Roman" w:hAnsi="Times New Roman" w:eastAsia="Times New Roman" w:cs="Times New Roman"/>
                <w:b/>
              </w:rPr>
              <w:t>Nosso amplo presente:</w:t>
            </w:r>
            <w:r>
              <w:rPr>
                <w:rFonts w:ascii="Times New Roman" w:hAnsi="Times New Roman" w:eastAsia="Times New Roman" w:cs="Times New Roman"/>
              </w:rPr>
              <w:t xml:space="preserve"> o tempo e a cultura contemporânea. São Paulo: UNESP</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MACHADO, Roberto. </w:t>
            </w:r>
            <w:r>
              <w:rPr>
                <w:rFonts w:ascii="Times New Roman" w:hAnsi="Times New Roman" w:eastAsia="Times New Roman" w:cs="Times New Roman"/>
                <w:b/>
              </w:rPr>
              <w:t>Ciência e saber:</w:t>
            </w:r>
            <w:r>
              <w:rPr>
                <w:rFonts w:ascii="Times New Roman" w:hAnsi="Times New Roman" w:eastAsia="Times New Roman" w:cs="Times New Roman"/>
              </w:rPr>
              <w:t xml:space="preserve"> a trajetória da arqueologia de Michel Foucault. Rio de Janeiro: Graal, 1982, 218p.</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05"/>
        <w:tblW w:w="8879" w:type="dxa"/>
        <w:tblInd w:w="65" w:type="dxa"/>
        <w:tblLayout w:type="fixed"/>
        <w:tblCellMar>
          <w:top w:w="0" w:type="dxa"/>
          <w:left w:w="108" w:type="dxa"/>
          <w:bottom w:w="0" w:type="dxa"/>
          <w:right w:w="108" w:type="dxa"/>
        </w:tblCellMar>
      </w:tblPr>
      <w:tblGrid>
        <w:gridCol w:w="2747"/>
        <w:gridCol w:w="3118"/>
        <w:gridCol w:w="3014"/>
      </w:tblGrid>
      <w:tr>
        <w:tblPrEx>
          <w:tblCellMar>
            <w:top w:w="0" w:type="dxa"/>
            <w:left w:w="108" w:type="dxa"/>
            <w:bottom w:w="0" w:type="dxa"/>
            <w:right w:w="108" w:type="dxa"/>
          </w:tblCellMar>
        </w:tblPrEx>
        <w:tc>
          <w:tcPr>
            <w:tcW w:w="5865" w:type="dxa"/>
            <w:gridSpan w:val="2"/>
            <w:tcBorders>
              <w:top w:val="single" w:color="000000" w:sz="18" w:space="0"/>
              <w:left w:val="single" w:color="000000" w:sz="18" w:space="0"/>
              <w:bottom w:val="single" w:color="000000" w:sz="4"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Nome do Componente Curricular em português: Seminário de Teoria da História e História da Historiografia IV</w:t>
            </w:r>
          </w:p>
          <w:p>
            <w:pPr>
              <w:spacing w:before="240" w:line="360" w:lineRule="auto"/>
              <w:ind w:left="0" w:hanging="2"/>
              <w:jc w:val="both"/>
              <w:rPr>
                <w:rFonts w:ascii="Times New Roman" w:hAnsi="Times New Roman" w:cs="Times New Roman"/>
              </w:rPr>
            </w:pPr>
            <w:r>
              <w:rPr>
                <w:rFonts w:ascii="Times New Roman" w:hAnsi="Times New Roman" w:eastAsia="Times New Roman" w:cs="Times New Roman"/>
              </w:rPr>
              <w:t>Nome do Componente Curricular em inglês:</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Seminar on Teory and History of Historiography IV</w:t>
            </w:r>
          </w:p>
        </w:tc>
        <w:tc>
          <w:tcPr>
            <w:tcW w:w="3014" w:type="dxa"/>
            <w:tcBorders>
              <w:top w:val="single" w:color="000000" w:sz="18"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Código: HIS934</w:t>
            </w:r>
          </w:p>
        </w:tc>
      </w:tr>
      <w:tr>
        <w:tblPrEx>
          <w:tblCellMar>
            <w:top w:w="0" w:type="dxa"/>
            <w:left w:w="108" w:type="dxa"/>
            <w:bottom w:w="0" w:type="dxa"/>
            <w:right w:w="108" w:type="dxa"/>
          </w:tblCellMar>
        </w:tblPrEx>
        <w:trPr>
          <w:trHeight w:val="641" w:hRule="atLeast"/>
        </w:trPr>
        <w:tc>
          <w:tcPr>
            <w:tcW w:w="5865" w:type="dxa"/>
            <w:gridSpan w:val="2"/>
            <w:tcBorders>
              <w:top w:val="single" w:color="000000" w:sz="4"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e sigla do departamento:</w:t>
            </w:r>
          </w:p>
          <w:p>
            <w:pPr>
              <w:spacing w:line="360" w:lineRule="auto"/>
              <w:ind w:left="0" w:hanging="2"/>
              <w:rPr>
                <w:rFonts w:ascii="Times New Roman" w:hAnsi="Times New Roman" w:cs="Times New Roman"/>
              </w:rPr>
            </w:pPr>
            <w:r>
              <w:rPr>
                <w:rFonts w:ascii="Times New Roman" w:hAnsi="Times New Roman" w:eastAsia="Times New Roman" w:cs="Times New Roman"/>
              </w:rPr>
              <w:t>Departamento de História - DEHIS</w:t>
            </w:r>
          </w:p>
        </w:tc>
        <w:tc>
          <w:tcPr>
            <w:tcW w:w="3014" w:type="dxa"/>
            <w:tcBorders>
              <w:top w:val="single" w:color="000000" w:sz="4"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Unidade acadêmica: ICHS</w:t>
            </w:r>
          </w:p>
        </w:tc>
      </w:tr>
      <w:tr>
        <w:tblPrEx>
          <w:tblCellMar>
            <w:top w:w="0" w:type="dxa"/>
            <w:left w:w="108" w:type="dxa"/>
            <w:bottom w:w="0" w:type="dxa"/>
            <w:right w:w="108" w:type="dxa"/>
          </w:tblCellMar>
        </w:tblPrEx>
        <w:trPr>
          <w:trHeight w:val="641" w:hRule="atLeast"/>
        </w:trPr>
        <w:tc>
          <w:tcPr>
            <w:tcW w:w="2747" w:type="dxa"/>
            <w:tcBorders>
              <w:top w:val="single" w:color="000000" w:sz="4" w:space="0"/>
              <w:left w:val="single" w:color="000000" w:sz="18" w:space="0"/>
              <w:bottom w:val="single" w:color="000000" w:sz="4" w:space="0"/>
            </w:tcBorders>
          </w:tcPr>
          <w:p>
            <w:pPr>
              <w:spacing w:line="276" w:lineRule="auto"/>
              <w:ind w:left="0" w:hanging="2"/>
              <w:jc w:val="center"/>
              <w:rPr>
                <w:rFonts w:ascii="Times New Roman" w:hAnsi="Times New Roman" w:cs="Times New Roman"/>
              </w:rPr>
            </w:pPr>
            <w:r>
              <w:rPr>
                <w:rFonts w:ascii="Times New Roman" w:hAnsi="Times New Roman" w:eastAsia="Times New Roman" w:cs="Times New Roman"/>
              </w:rPr>
              <w:t>Carga horária semestral</w:t>
            </w:r>
          </w:p>
          <w:p>
            <w:pPr>
              <w:spacing w:line="276" w:lineRule="auto"/>
              <w:ind w:left="0" w:hanging="2"/>
              <w:jc w:val="center"/>
              <w:rPr>
                <w:rFonts w:ascii="Times New Roman" w:hAnsi="Times New Roman" w:cs="Times New Roman"/>
              </w:rPr>
            </w:pPr>
            <w:r>
              <w:rPr>
                <w:rFonts w:ascii="Times New Roman" w:hAnsi="Times New Roman" w:eastAsia="Times New Roman" w:cs="Times New Roman"/>
              </w:rPr>
              <w:t>45 horas</w:t>
            </w:r>
          </w:p>
        </w:tc>
        <w:tc>
          <w:tcPr>
            <w:tcW w:w="3118" w:type="dxa"/>
            <w:tcBorders>
              <w:top w:val="single" w:color="000000" w:sz="4" w:space="0"/>
              <w:left w:val="single" w:color="000000" w:sz="4" w:space="0"/>
              <w:bottom w:val="single" w:color="000000" w:sz="4" w:space="0"/>
            </w:tcBorders>
          </w:tcPr>
          <w:p>
            <w:pPr>
              <w:spacing w:line="276" w:lineRule="auto"/>
              <w:ind w:left="0" w:hanging="2"/>
              <w:jc w:val="center"/>
              <w:rPr>
                <w:rFonts w:ascii="Times New Roman" w:hAnsi="Times New Roman" w:cs="Times New Roman"/>
              </w:rPr>
            </w:pPr>
            <w:r>
              <w:rPr>
                <w:rFonts w:ascii="Times New Roman" w:hAnsi="Times New Roman" w:eastAsia="Times New Roman" w:cs="Times New Roman"/>
              </w:rPr>
              <w:t xml:space="preserve">Carga horária semanal teórica </w:t>
            </w:r>
          </w:p>
          <w:p>
            <w:pPr>
              <w:spacing w:line="276" w:lineRule="auto"/>
              <w:ind w:left="0" w:hanging="2"/>
              <w:jc w:val="center"/>
              <w:rPr>
                <w:rFonts w:ascii="Times New Roman" w:hAnsi="Times New Roman" w:cs="Times New Roman"/>
              </w:rPr>
            </w:pPr>
            <w:r>
              <w:rPr>
                <w:rFonts w:ascii="Times New Roman" w:hAnsi="Times New Roman" w:eastAsia="Times New Roman" w:cs="Times New Roman"/>
              </w:rPr>
              <w:t>02 horas/aula</w:t>
            </w:r>
          </w:p>
        </w:tc>
        <w:tc>
          <w:tcPr>
            <w:tcW w:w="3014" w:type="dxa"/>
            <w:tcBorders>
              <w:top w:val="single" w:color="000000" w:sz="4" w:space="0"/>
              <w:left w:val="single" w:color="000000" w:sz="4" w:space="0"/>
              <w:bottom w:val="single" w:color="000000" w:sz="4" w:space="0"/>
              <w:right w:val="single" w:color="000000" w:sz="18" w:space="0"/>
            </w:tcBorders>
          </w:tcPr>
          <w:p>
            <w:pPr>
              <w:spacing w:line="276" w:lineRule="auto"/>
              <w:ind w:left="0" w:hanging="2"/>
              <w:jc w:val="center"/>
              <w:rPr>
                <w:rFonts w:ascii="Times New Roman" w:hAnsi="Times New Roman" w:cs="Times New Roman"/>
              </w:rPr>
            </w:pPr>
            <w:r>
              <w:rPr>
                <w:rFonts w:ascii="Times New Roman" w:hAnsi="Times New Roman" w:eastAsia="Times New Roman" w:cs="Times New Roman"/>
              </w:rPr>
              <w:t>Carga horária semanal prática</w:t>
            </w:r>
          </w:p>
          <w:p>
            <w:pPr>
              <w:spacing w:line="276" w:lineRule="auto"/>
              <w:ind w:left="0" w:hanging="2"/>
              <w:jc w:val="center"/>
              <w:rPr>
                <w:rFonts w:ascii="Times New Roman" w:hAnsi="Times New Roman" w:cs="Times New Roman"/>
              </w:rPr>
            </w:pPr>
            <w:r>
              <w:rPr>
                <w:rFonts w:ascii="Times New Roman" w:hAnsi="Times New Roman" w:eastAsia="Times New Roman" w:cs="Times New Roman"/>
              </w:rPr>
              <w:t>01 horas/aula</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Ementa: A construção do tempo histórico no início da modernidade</w:t>
            </w:r>
            <w:r>
              <w:rPr>
                <w:rFonts w:ascii="Times New Roman" w:hAnsi="Times New Roman" w:eastAsia="Times New Roman" w:cs="Times New Roman"/>
                <w:color w:val="FF0000"/>
              </w:rPr>
              <w:t>.</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Conteúdo programático: </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Módulo I: Leitura do tempo</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Módulo II: A experiência do início da modernidade</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Módulo III: A natureza e o tempo</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Módulo IV: A construção científica nos dois primeiros séculos da modernidade</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Bibliografia básica: </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ARENDT, Hannah. </w:t>
            </w:r>
            <w:r>
              <w:rPr>
                <w:rFonts w:ascii="Times New Roman" w:hAnsi="Times New Roman" w:eastAsia="Times New Roman" w:cs="Times New Roman"/>
                <w:b/>
              </w:rPr>
              <w:t>A condição humana</w:t>
            </w:r>
            <w:r>
              <w:rPr>
                <w:rFonts w:ascii="Times New Roman" w:hAnsi="Times New Roman" w:eastAsia="Times New Roman" w:cs="Times New Roman"/>
              </w:rPr>
              <w:t>.11 ed. Rio de Janeiro: Forense Universitária, 2010, 407p.</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FOUCAULT, Michel; MOTTA, Manoel Barros da. </w:t>
            </w:r>
            <w:r>
              <w:rPr>
                <w:rFonts w:ascii="Times New Roman" w:hAnsi="Times New Roman" w:eastAsia="Times New Roman" w:cs="Times New Roman"/>
                <w:b/>
              </w:rPr>
              <w:t>Arqueologia das ciências e histórias dos sistemas de pensamento</w:t>
            </w:r>
            <w:r>
              <w:rPr>
                <w:rFonts w:ascii="Times New Roman" w:hAnsi="Times New Roman" w:eastAsia="Times New Roman" w:cs="Times New Roman"/>
              </w:rPr>
              <w:t>. 3 ed. Rio de Janeiro: Forense Universitária, 2013, 402p.</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ROSSI, Paolo. </w:t>
            </w:r>
            <w:r>
              <w:rPr>
                <w:rFonts w:ascii="Times New Roman" w:hAnsi="Times New Roman" w:eastAsia="Times New Roman" w:cs="Times New Roman"/>
                <w:b/>
              </w:rPr>
              <w:t>A chave universal:</w:t>
            </w:r>
            <w:r>
              <w:rPr>
                <w:rFonts w:ascii="Times New Roman" w:hAnsi="Times New Roman" w:eastAsia="Times New Roman" w:cs="Times New Roman"/>
              </w:rPr>
              <w:t xml:space="preserve"> artes da memorização e lógica combinatória desde Lúlio até Leibniz. Bauru: EDUSC 2004, 421p.</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GUMBRECHT, Hans Ulrich. </w:t>
            </w:r>
            <w:r>
              <w:rPr>
                <w:rFonts w:ascii="Times New Roman" w:hAnsi="Times New Roman" w:eastAsia="Times New Roman" w:cs="Times New Roman"/>
                <w:b/>
              </w:rPr>
              <w:t>Modernização dos sentidos</w:t>
            </w:r>
            <w:r>
              <w:rPr>
                <w:rFonts w:ascii="Times New Roman" w:hAnsi="Times New Roman" w:eastAsia="Times New Roman" w:cs="Times New Roman"/>
              </w:rPr>
              <w:t>. São Paulo: Ed 34, 1998, 319p</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Bibliografia complementar:</w:t>
            </w:r>
          </w:p>
          <w:p>
            <w:pPr>
              <w:spacing w:line="360" w:lineRule="auto"/>
              <w:ind w:left="0" w:right="84" w:hanging="2"/>
              <w:rPr>
                <w:rFonts w:ascii="Times New Roman" w:hAnsi="Times New Roman" w:cs="Times New Roman"/>
              </w:rPr>
            </w:pPr>
            <w:r>
              <w:rPr>
                <w:rFonts w:ascii="Times New Roman" w:hAnsi="Times New Roman" w:eastAsia="Times New Roman" w:cs="Times New Roman"/>
              </w:rPr>
              <w:t xml:space="preserve">ROSSI, Paolo. </w:t>
            </w:r>
            <w:r>
              <w:rPr>
                <w:rFonts w:ascii="Times New Roman" w:hAnsi="Times New Roman" w:eastAsia="Times New Roman" w:cs="Times New Roman"/>
                <w:b/>
              </w:rPr>
              <w:t>A ciência e a filosofia dos modernos:</w:t>
            </w:r>
            <w:r>
              <w:rPr>
                <w:rFonts w:ascii="Times New Roman" w:hAnsi="Times New Roman" w:eastAsia="Times New Roman" w:cs="Times New Roman"/>
              </w:rPr>
              <w:t xml:space="preserve"> aspectos da revolução científica. São Paulo: Editora UNESP, 1992, 389p</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ROSSI, Paolo, BERNARDINI, Aurora. </w:t>
            </w:r>
            <w:r>
              <w:rPr>
                <w:rFonts w:ascii="Times New Roman" w:hAnsi="Times New Roman" w:eastAsia="Times New Roman" w:cs="Times New Roman"/>
                <w:b/>
              </w:rPr>
              <w:t>Francis Bacon:</w:t>
            </w:r>
            <w:r>
              <w:rPr>
                <w:rFonts w:ascii="Times New Roman" w:hAnsi="Times New Roman" w:eastAsia="Times New Roman" w:cs="Times New Roman"/>
              </w:rPr>
              <w:t xml:space="preserve"> da magia à ciência. Londrina: EdUEL. Curitiba: Ed da UFPR, 2006, 477p</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ROSSI, Paolo. </w:t>
            </w:r>
            <w:r>
              <w:rPr>
                <w:rFonts w:ascii="Times New Roman" w:hAnsi="Times New Roman" w:eastAsia="Times New Roman" w:cs="Times New Roman"/>
                <w:b/>
              </w:rPr>
              <w:t>Os sinais do tempo:</w:t>
            </w:r>
            <w:r>
              <w:rPr>
                <w:rFonts w:ascii="Times New Roman" w:hAnsi="Times New Roman" w:eastAsia="Times New Roman" w:cs="Times New Roman"/>
              </w:rPr>
              <w:t xml:space="preserve"> história da terra e história das nações de Hooke a Vico. São Paulo: Companhia das Letras, 1992</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ROSSI, Paolo; ANGONESE, Antonio. </w:t>
            </w:r>
            <w:r>
              <w:rPr>
                <w:rFonts w:ascii="Times New Roman" w:hAnsi="Times New Roman" w:eastAsia="Times New Roman" w:cs="Times New Roman"/>
                <w:b/>
              </w:rPr>
              <w:t>O nascimento da ciência moderna na Europa</w:t>
            </w:r>
            <w:r>
              <w:rPr>
                <w:rFonts w:ascii="Times New Roman" w:hAnsi="Times New Roman" w:eastAsia="Times New Roman" w:cs="Times New Roman"/>
              </w:rPr>
              <w:t>. Bauru: EDUSC, 2001.</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GUMBRECHT, Hans Ulrich. </w:t>
            </w:r>
            <w:r>
              <w:rPr>
                <w:rFonts w:ascii="Times New Roman" w:hAnsi="Times New Roman" w:eastAsia="Times New Roman" w:cs="Times New Roman"/>
                <w:b/>
              </w:rPr>
              <w:t>Nosso amplo presente:</w:t>
            </w:r>
            <w:r>
              <w:rPr>
                <w:rFonts w:ascii="Times New Roman" w:hAnsi="Times New Roman" w:eastAsia="Times New Roman" w:cs="Times New Roman"/>
              </w:rPr>
              <w:t xml:space="preserve"> o tempo e a cultura contemporânea. São Paulo: UNESP</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MACHADO, Roberto. </w:t>
            </w:r>
            <w:r>
              <w:rPr>
                <w:rFonts w:ascii="Times New Roman" w:hAnsi="Times New Roman" w:eastAsia="Times New Roman" w:cs="Times New Roman"/>
                <w:b/>
              </w:rPr>
              <w:t>Ciência e saber:</w:t>
            </w:r>
            <w:r>
              <w:rPr>
                <w:rFonts w:ascii="Times New Roman" w:hAnsi="Times New Roman" w:eastAsia="Times New Roman" w:cs="Times New Roman"/>
              </w:rPr>
              <w:t xml:space="preserve"> a trajetória da arqueologia de Michel Foucault. Rio de Janeiro: Graal, 1982, 218p.</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06"/>
        <w:tblW w:w="8878" w:type="dxa"/>
        <w:tblInd w:w="65" w:type="dxa"/>
        <w:tblLayout w:type="fixed"/>
        <w:tblCellMar>
          <w:top w:w="0" w:type="dxa"/>
          <w:left w:w="108" w:type="dxa"/>
          <w:bottom w:w="0" w:type="dxa"/>
          <w:right w:w="108" w:type="dxa"/>
        </w:tblCellMar>
      </w:tblPr>
      <w:tblGrid>
        <w:gridCol w:w="2907"/>
        <w:gridCol w:w="3045"/>
        <w:gridCol w:w="2926"/>
      </w:tblGrid>
      <w:tr>
        <w:tblPrEx>
          <w:tblCellMar>
            <w:top w:w="0" w:type="dxa"/>
            <w:left w:w="108" w:type="dxa"/>
            <w:bottom w:w="0" w:type="dxa"/>
            <w:right w:w="108" w:type="dxa"/>
          </w:tblCellMar>
        </w:tblPrEx>
        <w:tc>
          <w:tcPr>
            <w:tcW w:w="5952" w:type="dxa"/>
            <w:gridSpan w:val="2"/>
            <w:tcBorders>
              <w:top w:val="single" w:color="000000" w:sz="18" w:space="0"/>
              <w:left w:val="single" w:color="000000" w:sz="18"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Nome do Componente Curricular em português: Ensino de História e Cultura Escolar</w:t>
            </w:r>
          </w:p>
          <w:p>
            <w:pPr>
              <w:pBdr>
                <w:top w:val="none" w:color="auto" w:sz="0" w:space="0"/>
                <w:left w:val="none" w:color="auto" w:sz="0" w:space="0"/>
                <w:bottom w:val="none" w:color="auto" w:sz="0" w:space="0"/>
                <w:right w:val="none" w:color="auto" w:sz="0" w:space="0"/>
                <w:between w:val="none" w:color="auto" w:sz="0" w:space="0"/>
              </w:pBdr>
              <w:spacing w:before="240"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Nome do Componente Curricular em inglês: Teaching History and School Culture</w:t>
            </w:r>
          </w:p>
        </w:tc>
        <w:tc>
          <w:tcPr>
            <w:tcW w:w="2926" w:type="dxa"/>
            <w:tcBorders>
              <w:top w:val="single" w:color="000000" w:sz="18" w:space="0"/>
              <w:left w:val="single" w:color="000000" w:sz="4"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Código: HIS935</w:t>
            </w:r>
          </w:p>
        </w:tc>
      </w:tr>
      <w:tr>
        <w:tblPrEx>
          <w:tblCellMar>
            <w:top w:w="0" w:type="dxa"/>
            <w:left w:w="108" w:type="dxa"/>
            <w:bottom w:w="0" w:type="dxa"/>
            <w:right w:w="108" w:type="dxa"/>
          </w:tblCellMar>
        </w:tblPrEx>
        <w:trPr>
          <w:trHeight w:val="641" w:hRule="atLeast"/>
        </w:trPr>
        <w:tc>
          <w:tcPr>
            <w:tcW w:w="5952" w:type="dxa"/>
            <w:gridSpan w:val="2"/>
            <w:tcBorders>
              <w:top w:val="single" w:color="000000" w:sz="4" w:space="0"/>
              <w:left w:val="single" w:color="000000" w:sz="18"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Nome e sigla do departamento: Departamento de História - DEHIS</w:t>
            </w:r>
          </w:p>
        </w:tc>
        <w:tc>
          <w:tcPr>
            <w:tcW w:w="2926" w:type="dxa"/>
            <w:tcBorders>
              <w:top w:val="single" w:color="000000" w:sz="4" w:space="0"/>
              <w:left w:val="single" w:color="000000" w:sz="4"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Unidade acadêmica: ICHS</w:t>
            </w:r>
          </w:p>
        </w:tc>
      </w:tr>
      <w:tr>
        <w:tblPrEx>
          <w:tblCellMar>
            <w:top w:w="0" w:type="dxa"/>
            <w:left w:w="108" w:type="dxa"/>
            <w:bottom w:w="0" w:type="dxa"/>
            <w:right w:w="108" w:type="dxa"/>
          </w:tblCellMar>
        </w:tblPrEx>
        <w:trPr>
          <w:trHeight w:val="641" w:hRule="atLeast"/>
        </w:trPr>
        <w:tc>
          <w:tcPr>
            <w:tcW w:w="2907" w:type="dxa"/>
            <w:tcBorders>
              <w:top w:val="single" w:color="000000" w:sz="4" w:space="0"/>
              <w:left w:val="single" w:color="000000" w:sz="18"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76"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Carga horária semestral</w:t>
            </w:r>
          </w:p>
          <w:p>
            <w:pPr>
              <w:pBdr>
                <w:top w:val="none" w:color="auto" w:sz="0" w:space="0"/>
                <w:left w:val="none" w:color="auto" w:sz="0" w:space="0"/>
                <w:bottom w:val="none" w:color="auto" w:sz="0" w:space="0"/>
                <w:right w:val="none" w:color="auto" w:sz="0" w:space="0"/>
                <w:between w:val="none" w:color="auto" w:sz="0" w:space="0"/>
              </w:pBdr>
              <w:spacing w:line="276"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 xml:space="preserve"> 60 horas</w:t>
            </w:r>
          </w:p>
        </w:tc>
        <w:tc>
          <w:tcPr>
            <w:tcW w:w="3045"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276"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 xml:space="preserve">Carga horária semanal teórica </w:t>
            </w:r>
          </w:p>
          <w:p>
            <w:pPr>
              <w:pBdr>
                <w:top w:val="none" w:color="auto" w:sz="0" w:space="0"/>
                <w:left w:val="none" w:color="auto" w:sz="0" w:space="0"/>
                <w:bottom w:val="none" w:color="auto" w:sz="0" w:space="0"/>
                <w:right w:val="none" w:color="auto" w:sz="0" w:space="0"/>
                <w:between w:val="none" w:color="auto" w:sz="0" w:space="0"/>
              </w:pBdr>
              <w:spacing w:line="276"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04 horas/aula</w:t>
            </w:r>
          </w:p>
        </w:tc>
        <w:tc>
          <w:tcPr>
            <w:tcW w:w="2926" w:type="dxa"/>
            <w:tcBorders>
              <w:top w:val="single" w:color="000000" w:sz="4" w:space="0"/>
              <w:left w:val="single" w:color="000000" w:sz="4"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276"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Carga horária semanal prática</w:t>
            </w:r>
          </w:p>
          <w:p>
            <w:pPr>
              <w:pBdr>
                <w:top w:val="none" w:color="auto" w:sz="0" w:space="0"/>
                <w:left w:val="none" w:color="auto" w:sz="0" w:space="0"/>
                <w:bottom w:val="none" w:color="auto" w:sz="0" w:space="0"/>
                <w:right w:val="none" w:color="auto" w:sz="0" w:space="0"/>
                <w:between w:val="none" w:color="auto" w:sz="0" w:space="0"/>
              </w:pBdr>
              <w:spacing w:line="276"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00 horas/aula</w:t>
            </w:r>
          </w:p>
        </w:tc>
      </w:tr>
      <w:tr>
        <w:tblPrEx>
          <w:tblCellMar>
            <w:top w:w="0" w:type="dxa"/>
            <w:left w:w="108" w:type="dxa"/>
            <w:bottom w:w="0" w:type="dxa"/>
            <w:right w:w="108" w:type="dxa"/>
          </w:tblCellMar>
        </w:tblPrEx>
        <w:tc>
          <w:tcPr>
            <w:tcW w:w="8878" w:type="dxa"/>
            <w:gridSpan w:val="3"/>
            <w:tcBorders>
              <w:top w:val="single" w:color="000000" w:sz="4" w:space="0"/>
              <w:left w:val="single" w:color="000000" w:sz="18"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 xml:space="preserve">Ementa: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 xml:space="preserve">Relações entre Ensino de História e Cultura Escolar. Trajetória histórica e fundamentos didáticos e epistemológicos da história escolar. Explicitação de experiências e sujeitos relacionados à história ensinada na Educação Básica. </w:t>
            </w:r>
          </w:p>
        </w:tc>
      </w:tr>
      <w:tr>
        <w:tblPrEx>
          <w:tblCellMar>
            <w:top w:w="0" w:type="dxa"/>
            <w:left w:w="108" w:type="dxa"/>
            <w:bottom w:w="0" w:type="dxa"/>
            <w:right w:w="108" w:type="dxa"/>
          </w:tblCellMar>
        </w:tblPrEx>
        <w:tc>
          <w:tcPr>
            <w:tcW w:w="8878" w:type="dxa"/>
            <w:gridSpan w:val="3"/>
            <w:tcBorders>
              <w:top w:val="single" w:color="000000" w:sz="4" w:space="0"/>
              <w:left w:val="single" w:color="000000" w:sz="18"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Conteúdo programático:</w:t>
            </w:r>
          </w:p>
          <w:p>
            <w:pPr>
              <w:numPr>
                <w:ilvl w:val="0"/>
                <w:numId w:val="92"/>
              </w:num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Ensino de História: trajetória histórica e fundamentos</w:t>
            </w:r>
          </w:p>
          <w:p>
            <w:pPr>
              <w:numPr>
                <w:ilvl w:val="0"/>
                <w:numId w:val="92"/>
              </w:num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Cultura Escolar, saberes e práticas no Ensino de História</w:t>
            </w:r>
          </w:p>
          <w:p>
            <w:pPr>
              <w:numPr>
                <w:ilvl w:val="0"/>
                <w:numId w:val="92"/>
              </w:num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Experiências e sujeitos no Ensino de História</w:t>
            </w:r>
          </w:p>
        </w:tc>
      </w:tr>
      <w:tr>
        <w:tblPrEx>
          <w:tblCellMar>
            <w:top w:w="0" w:type="dxa"/>
            <w:left w:w="108" w:type="dxa"/>
            <w:bottom w:w="0" w:type="dxa"/>
            <w:right w:w="108" w:type="dxa"/>
          </w:tblCellMar>
        </w:tblPrEx>
        <w:tc>
          <w:tcPr>
            <w:tcW w:w="8878" w:type="dxa"/>
            <w:gridSpan w:val="3"/>
            <w:tcBorders>
              <w:top w:val="single" w:color="000000" w:sz="4" w:space="0"/>
              <w:left w:val="single" w:color="000000" w:sz="18"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Bibliografia básica:</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BITTENCOURT, Circe Maria Fernandes. Ensino de história: fundamentos e métodos. 4. ed. São Paulo: Cortez 2011.</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FONSECA, Selva Guimarães. Didática e prática de ensino de história: experiências, reflexões e aprendizados. 8. ed. Campinas: Papirus, 2009.</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 xml:space="preserve">MONTEIRO, Ana Maria; GASPARELLO, Arlette Medeiros; MAGALHÃES, Marcelo de Souza. Ensino de história: sujeitos, saberes e práticas . Rio de Janeiro: Mauad X, 2007. </w:t>
            </w:r>
          </w:p>
        </w:tc>
      </w:tr>
      <w:tr>
        <w:tblPrEx>
          <w:tblCellMar>
            <w:top w:w="0" w:type="dxa"/>
            <w:left w:w="108" w:type="dxa"/>
            <w:bottom w:w="0" w:type="dxa"/>
            <w:right w:w="108" w:type="dxa"/>
          </w:tblCellMar>
        </w:tblPrEx>
        <w:tc>
          <w:tcPr>
            <w:tcW w:w="8878" w:type="dxa"/>
            <w:gridSpan w:val="3"/>
            <w:tcBorders>
              <w:top w:val="single" w:color="000000" w:sz="4" w:space="0"/>
              <w:left w:val="single" w:color="000000" w:sz="18"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Bibliografia complementar:</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 xml:space="preserve">ABREU, Martha; SOIHER, Rachel. Ensino de história: conceitos, temáticas e metodologia . 2.ed. Rio de Janeiro: Casa da Palavra, 2009.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CARRETERO, Mario; ROSA, Alberto; GONZÁLEZ, María Fernanda; CAMPOS, Valério. Ensino da história e memória coletiva. Porto Alegre: Artmed 2007.</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 xml:space="preserve">FONSECA, Selva Guimarães; ZAMBONI, Ernesta. Espaços de formação do professor de História. Campinas: Papirus 2008.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 xml:space="preserve">MAGALHÃES, Marcelo de Souza; REZNIK, Luís; ROCHA, Helenice Aparecida Bastos. A História na escola: autores, livros e leituras. Rio de Janeiro: Ed. da FGV, 2009.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MONTEIRO, Ana Maria Ferreira da Costa. Professores de História: entre saberes e práticas. Rio de Janeiro: Mauad X. 2007.</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07"/>
        <w:tblW w:w="8879" w:type="dxa"/>
        <w:tblInd w:w="65" w:type="dxa"/>
        <w:tblLayout w:type="fixed"/>
        <w:tblCellMar>
          <w:top w:w="0" w:type="dxa"/>
          <w:left w:w="108" w:type="dxa"/>
          <w:bottom w:w="0" w:type="dxa"/>
          <w:right w:w="108" w:type="dxa"/>
        </w:tblCellMar>
      </w:tblPr>
      <w:tblGrid>
        <w:gridCol w:w="2747"/>
        <w:gridCol w:w="3117"/>
        <w:gridCol w:w="3015"/>
      </w:tblGrid>
      <w:tr>
        <w:tblPrEx>
          <w:tblCellMar>
            <w:top w:w="0" w:type="dxa"/>
            <w:left w:w="108" w:type="dxa"/>
            <w:bottom w:w="0" w:type="dxa"/>
            <w:right w:w="108" w:type="dxa"/>
          </w:tblCellMar>
        </w:tblPrEx>
        <w:tc>
          <w:tcPr>
            <w:tcW w:w="5864" w:type="dxa"/>
            <w:gridSpan w:val="2"/>
            <w:tcBorders>
              <w:top w:val="single" w:color="000000" w:sz="18"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do Componente Curricular em português: Ensino de História, Fontes e Linguagens I</w:t>
            </w:r>
          </w:p>
          <w:p>
            <w:pPr>
              <w:spacing w:before="240" w:line="360" w:lineRule="auto"/>
              <w:ind w:left="0" w:hanging="2"/>
              <w:rPr>
                <w:rFonts w:ascii="Times New Roman" w:hAnsi="Times New Roman" w:cs="Times New Roman"/>
              </w:rPr>
            </w:pPr>
            <w:r>
              <w:rPr>
                <w:rFonts w:ascii="Times New Roman" w:hAnsi="Times New Roman" w:eastAsia="Times New Roman" w:cs="Times New Roman"/>
              </w:rPr>
              <w:t>Nome do Componente Curricular em inglês: Teaching History, Sources and languages</w:t>
            </w:r>
          </w:p>
        </w:tc>
        <w:tc>
          <w:tcPr>
            <w:tcW w:w="3015" w:type="dxa"/>
            <w:tcBorders>
              <w:top w:val="single" w:color="000000" w:sz="18"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Código: HIS936</w:t>
            </w:r>
          </w:p>
        </w:tc>
      </w:tr>
      <w:tr>
        <w:tblPrEx>
          <w:tblCellMar>
            <w:top w:w="0" w:type="dxa"/>
            <w:left w:w="108" w:type="dxa"/>
            <w:bottom w:w="0" w:type="dxa"/>
            <w:right w:w="108" w:type="dxa"/>
          </w:tblCellMar>
        </w:tblPrEx>
        <w:trPr>
          <w:trHeight w:val="641" w:hRule="atLeast"/>
        </w:trPr>
        <w:tc>
          <w:tcPr>
            <w:tcW w:w="5864" w:type="dxa"/>
            <w:gridSpan w:val="2"/>
            <w:tcBorders>
              <w:top w:val="single" w:color="000000" w:sz="4"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e sigla do departamento: Departamento de História - DEHIS</w:t>
            </w:r>
          </w:p>
        </w:tc>
        <w:tc>
          <w:tcPr>
            <w:tcW w:w="3015" w:type="dxa"/>
            <w:tcBorders>
              <w:top w:val="single" w:color="000000" w:sz="4"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Unidade acadêmica: ICHS</w:t>
            </w:r>
          </w:p>
        </w:tc>
      </w:tr>
      <w:tr>
        <w:tblPrEx>
          <w:tblCellMar>
            <w:top w:w="0" w:type="dxa"/>
            <w:left w:w="108" w:type="dxa"/>
            <w:bottom w:w="0" w:type="dxa"/>
            <w:right w:w="108" w:type="dxa"/>
          </w:tblCellMar>
        </w:tblPrEx>
        <w:trPr>
          <w:trHeight w:val="641" w:hRule="atLeast"/>
        </w:trPr>
        <w:tc>
          <w:tcPr>
            <w:tcW w:w="2747" w:type="dxa"/>
            <w:tcBorders>
              <w:top w:val="single" w:color="000000" w:sz="4" w:space="0"/>
              <w:left w:val="single" w:color="000000" w:sz="18" w:space="0"/>
              <w:bottom w:val="single" w:color="000000" w:sz="4" w:space="0"/>
            </w:tcBorders>
          </w:tcPr>
          <w:p>
            <w:pPr>
              <w:spacing w:line="276" w:lineRule="auto"/>
              <w:ind w:left="0" w:hanging="2"/>
              <w:jc w:val="center"/>
              <w:rPr>
                <w:rFonts w:ascii="Times New Roman" w:hAnsi="Times New Roman" w:cs="Times New Roman"/>
              </w:rPr>
            </w:pPr>
            <w:r>
              <w:rPr>
                <w:rFonts w:ascii="Times New Roman" w:hAnsi="Times New Roman" w:eastAsia="Times New Roman" w:cs="Times New Roman"/>
              </w:rPr>
              <w:t>Carga horária semestral</w:t>
            </w:r>
          </w:p>
          <w:p>
            <w:pPr>
              <w:spacing w:line="276" w:lineRule="auto"/>
              <w:ind w:left="0" w:hanging="2"/>
              <w:jc w:val="center"/>
              <w:rPr>
                <w:rFonts w:ascii="Times New Roman" w:hAnsi="Times New Roman" w:cs="Times New Roman"/>
              </w:rPr>
            </w:pPr>
            <w:r>
              <w:rPr>
                <w:rFonts w:ascii="Times New Roman" w:hAnsi="Times New Roman" w:eastAsia="Times New Roman" w:cs="Times New Roman"/>
              </w:rPr>
              <w:t xml:space="preserve"> 60 horas</w:t>
            </w:r>
          </w:p>
        </w:tc>
        <w:tc>
          <w:tcPr>
            <w:tcW w:w="3117" w:type="dxa"/>
            <w:tcBorders>
              <w:top w:val="single" w:color="000000" w:sz="4" w:space="0"/>
              <w:left w:val="single" w:color="000000" w:sz="4" w:space="0"/>
              <w:bottom w:val="single" w:color="000000" w:sz="4" w:space="0"/>
            </w:tcBorders>
          </w:tcPr>
          <w:p>
            <w:pPr>
              <w:spacing w:line="276" w:lineRule="auto"/>
              <w:ind w:left="0" w:hanging="2"/>
              <w:jc w:val="center"/>
              <w:rPr>
                <w:rFonts w:ascii="Times New Roman" w:hAnsi="Times New Roman" w:cs="Times New Roman"/>
              </w:rPr>
            </w:pPr>
            <w:r>
              <w:rPr>
                <w:rFonts w:ascii="Times New Roman" w:hAnsi="Times New Roman" w:eastAsia="Times New Roman" w:cs="Times New Roman"/>
              </w:rPr>
              <w:t xml:space="preserve">Carga horária semanal teórica </w:t>
            </w:r>
          </w:p>
          <w:p>
            <w:pPr>
              <w:spacing w:line="276" w:lineRule="auto"/>
              <w:ind w:left="0" w:hanging="2"/>
              <w:jc w:val="center"/>
              <w:rPr>
                <w:rFonts w:ascii="Times New Roman" w:hAnsi="Times New Roman" w:cs="Times New Roman"/>
              </w:rPr>
            </w:pPr>
            <w:r>
              <w:rPr>
                <w:rFonts w:ascii="Times New Roman" w:hAnsi="Times New Roman" w:eastAsia="Times New Roman" w:cs="Times New Roman"/>
              </w:rPr>
              <w:t>04 horas/aula</w:t>
            </w:r>
          </w:p>
        </w:tc>
        <w:tc>
          <w:tcPr>
            <w:tcW w:w="3015" w:type="dxa"/>
            <w:tcBorders>
              <w:top w:val="single" w:color="000000" w:sz="4" w:space="0"/>
              <w:left w:val="single" w:color="000000" w:sz="4" w:space="0"/>
              <w:bottom w:val="single" w:color="000000" w:sz="4" w:space="0"/>
              <w:right w:val="single" w:color="000000" w:sz="18" w:space="0"/>
            </w:tcBorders>
          </w:tcPr>
          <w:p>
            <w:pPr>
              <w:spacing w:line="276" w:lineRule="auto"/>
              <w:ind w:left="0" w:hanging="2"/>
              <w:jc w:val="center"/>
              <w:rPr>
                <w:rFonts w:ascii="Times New Roman" w:hAnsi="Times New Roman" w:cs="Times New Roman"/>
              </w:rPr>
            </w:pPr>
            <w:r>
              <w:rPr>
                <w:rFonts w:ascii="Times New Roman" w:hAnsi="Times New Roman" w:eastAsia="Times New Roman" w:cs="Times New Roman"/>
              </w:rPr>
              <w:t>Carga horária semanal prática</w:t>
            </w:r>
          </w:p>
          <w:p>
            <w:pPr>
              <w:spacing w:line="276" w:lineRule="auto"/>
              <w:ind w:left="0" w:hanging="2"/>
              <w:jc w:val="center"/>
              <w:rPr>
                <w:rFonts w:ascii="Times New Roman" w:hAnsi="Times New Roman" w:cs="Times New Roman"/>
              </w:rPr>
            </w:pPr>
            <w:r>
              <w:rPr>
                <w:rFonts w:ascii="Times New Roman" w:hAnsi="Times New Roman" w:eastAsia="Times New Roman" w:cs="Times New Roman"/>
              </w:rPr>
              <w:t>00 horas/aula</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Ementa: Breve fundamentação teórica sobre o uso de fontes e linguagens na história. Fundamentação teórica e didática do uso de diferentes fontes escritas no Ensino de História.  Apresentação de experiências de uso de fontes escritas no Ensino de História.</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Conteúdo programático: </w:t>
            </w:r>
          </w:p>
          <w:p>
            <w:pPr>
              <w:numPr>
                <w:ilvl w:val="0"/>
                <w:numId w:val="93"/>
              </w:numPr>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 xml:space="preserve"> Fontes e linguagens: fundamentos</w:t>
            </w:r>
          </w:p>
          <w:p>
            <w:pPr>
              <w:numPr>
                <w:ilvl w:val="0"/>
                <w:numId w:val="93"/>
              </w:numPr>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 xml:space="preserve"> Uso de fontes escritas no Ensino de História</w:t>
            </w:r>
          </w:p>
          <w:p>
            <w:pPr>
              <w:numPr>
                <w:ilvl w:val="0"/>
                <w:numId w:val="93"/>
              </w:numPr>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 xml:space="preserve"> Experiências de uso de fontes e escritas no Ensino de História. </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Bibliografia básica: </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BITTENCOURT, Circe Maria Fernandes. Ensino de história: fundamentos e métodos . 4. ed. São Paulo: Cortez 2011.</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FONSECA, Selva Guimarães. Didática e prática de ensino de história: experiências, reflexões e aprendizados. 8. ed. Campinas: Papirus 2009. </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PINSKY, Carla Bassanezi; BACELLAR, Carlos de Almeida Prado. </w:t>
            </w:r>
            <w:r>
              <w:rPr>
                <w:rFonts w:ascii="Times New Roman" w:hAnsi="Times New Roman" w:eastAsia="Times New Roman" w:cs="Times New Roman"/>
                <w:b/>
              </w:rPr>
              <w:t>Fontes históricas. </w:t>
            </w:r>
            <w:r>
              <w:rPr>
                <w:rFonts w:ascii="Times New Roman" w:hAnsi="Times New Roman" w:eastAsia="Times New Roman" w:cs="Times New Roman"/>
              </w:rPr>
              <w:t>2. ed. São Paulo: Contexto, 2006.</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Bibliografia complementar: </w:t>
            </w:r>
          </w:p>
          <w:p>
            <w:pPr>
              <w:spacing w:line="360" w:lineRule="auto"/>
              <w:ind w:left="0" w:hanging="2"/>
              <w:rPr>
                <w:rFonts w:ascii="Times New Roman" w:hAnsi="Times New Roman" w:eastAsia="Times New Roman" w:cs="Times New Roman"/>
              </w:rPr>
            </w:pPr>
            <w:r>
              <w:rPr>
                <w:rFonts w:ascii="Times New Roman" w:hAnsi="Times New Roman" w:eastAsia="Times New Roman" w:cs="Times New Roman"/>
              </w:rPr>
              <w:t xml:space="preserve">CASTANHO, Gabriel de Carvalho G., SOUZA, Jorge Victor de Araújo. </w:t>
            </w:r>
            <w:r>
              <w:rPr>
                <w:rFonts w:ascii="Times New Roman" w:hAnsi="Times New Roman" w:eastAsia="Times New Roman" w:cs="Times New Roman"/>
                <w:b/>
              </w:rPr>
              <w:t>Dossiê Propostas e desafios nos usos de documentos históricos em sala de aula</w:t>
            </w:r>
            <w:r>
              <w:rPr>
                <w:rFonts w:ascii="Times New Roman" w:hAnsi="Times New Roman" w:eastAsia="Times New Roman" w:cs="Times New Roman"/>
              </w:rPr>
              <w:t xml:space="preserve">. Revista História Hoje, v. 6, nº 12, 2017. </w:t>
            </w:r>
            <w:r>
              <w:fldChar w:fldCharType="begin"/>
            </w:r>
            <w:r>
              <w:instrText xml:space="preserve"> HYPERLINK "https://doi.org/10.20949/rhhj.v6i12" \h </w:instrText>
            </w:r>
            <w:r>
              <w:fldChar w:fldCharType="separate"/>
            </w:r>
            <w:r>
              <w:rPr>
                <w:rFonts w:ascii="Times New Roman" w:hAnsi="Times New Roman" w:eastAsia="Times New Roman" w:cs="Times New Roman"/>
                <w:color w:val="0000FF"/>
                <w:u w:val="single"/>
              </w:rPr>
              <w:t>https://doi.org/10.20949/rhhj.v6i12</w:t>
            </w:r>
            <w:r>
              <w:rPr>
                <w:rFonts w:ascii="Times New Roman" w:hAnsi="Times New Roman" w:eastAsia="Times New Roman" w:cs="Times New Roman"/>
                <w:color w:val="0000FF"/>
                <w:u w:val="single"/>
              </w:rPr>
              <w:fldChar w:fldCharType="end"/>
            </w:r>
          </w:p>
          <w:p>
            <w:pPr>
              <w:spacing w:line="360" w:lineRule="auto"/>
              <w:ind w:left="0" w:hanging="2"/>
              <w:rPr>
                <w:rFonts w:ascii="Times New Roman" w:hAnsi="Times New Roman" w:cs="Times New Roman"/>
              </w:rPr>
            </w:pPr>
            <w:r>
              <w:rPr>
                <w:rFonts w:ascii="Times New Roman" w:hAnsi="Times New Roman" w:eastAsia="Times New Roman" w:cs="Times New Roman"/>
              </w:rPr>
              <w:t>HISTÓRIA e imagem: cinema, cidades, música, pintura, narrativas e iconografia . Rio de Janeiro: UFRJ, Instituto de Filosofia e Ciências Sociais [1998]. 369 p.</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MACHADO, Arthur Versiani. Filmes históricos no ensino de história. Jundiaí, SP: Paco Editorial, c2015. </w:t>
            </w:r>
          </w:p>
          <w:p>
            <w:pPr>
              <w:spacing w:line="360" w:lineRule="auto"/>
              <w:ind w:left="0" w:hanging="2"/>
              <w:rPr>
                <w:rFonts w:ascii="Times New Roman" w:hAnsi="Times New Roman" w:eastAsia="Times New Roman" w:cs="Times New Roman"/>
              </w:rPr>
            </w:pPr>
            <w:r>
              <w:rPr>
                <w:rFonts w:ascii="Times New Roman" w:hAnsi="Times New Roman" w:eastAsia="Times New Roman" w:cs="Times New Roman"/>
              </w:rPr>
              <w:t xml:space="preserve">SANTOS, Maria Aparecida Lima dos; AZEVEDO, Patrícia Bastos de. </w:t>
            </w:r>
            <w:r>
              <w:rPr>
                <w:rFonts w:ascii="Times New Roman" w:hAnsi="Times New Roman" w:eastAsia="Times New Roman" w:cs="Times New Roman"/>
                <w:b/>
              </w:rPr>
              <w:t>Dossiê Ensino de História e Linguagem: discurso, narrativa e práticas de significação do tempo.</w:t>
            </w:r>
            <w:r>
              <w:rPr>
                <w:rFonts w:ascii="Times New Roman" w:hAnsi="Times New Roman" w:eastAsia="Times New Roman" w:cs="Times New Roman"/>
              </w:rPr>
              <w:t xml:space="preserve"> Revista História Hoje, v. 4, nº 8, 2015. </w:t>
            </w:r>
            <w:r>
              <w:fldChar w:fldCharType="begin"/>
            </w:r>
            <w:r>
              <w:instrText xml:space="preserve"> HYPERLINK "https://doi.org/10.20949/RHHJ" \h </w:instrText>
            </w:r>
            <w:r>
              <w:fldChar w:fldCharType="separate"/>
            </w:r>
            <w:r>
              <w:rPr>
                <w:rFonts w:ascii="Times New Roman" w:hAnsi="Times New Roman" w:eastAsia="Times New Roman" w:cs="Times New Roman"/>
                <w:color w:val="0000FF"/>
                <w:u w:val="single"/>
              </w:rPr>
              <w:t>https://doi.org/10.20949/RHHJ</w:t>
            </w:r>
            <w:r>
              <w:rPr>
                <w:rFonts w:ascii="Times New Roman" w:hAnsi="Times New Roman" w:eastAsia="Times New Roman" w:cs="Times New Roman"/>
                <w:color w:val="0000FF"/>
                <w:u w:val="single"/>
              </w:rPr>
              <w:fldChar w:fldCharType="end"/>
            </w:r>
          </w:p>
          <w:p>
            <w:pPr>
              <w:shd w:val="clear" w:color="auto" w:fill="FFFFFF"/>
              <w:spacing w:line="360" w:lineRule="auto"/>
              <w:ind w:left="0" w:hanging="2"/>
              <w:rPr>
                <w:rFonts w:ascii="Times New Roman" w:hAnsi="Times New Roman" w:cs="Times New Roman"/>
              </w:rPr>
            </w:pPr>
            <w:r>
              <w:rPr>
                <w:rFonts w:ascii="Times New Roman" w:hAnsi="Times New Roman" w:eastAsia="Times New Roman" w:cs="Times New Roman"/>
              </w:rPr>
              <w:t xml:space="preserve">SOARES, Olavo Pereira Soares; HERMETO, Miriam. </w:t>
            </w:r>
            <w:r>
              <w:fldChar w:fldCharType="begin"/>
            </w:r>
            <w:r>
              <w:instrText xml:space="preserve"> HYPERLINK "https://rhhj.anpuh.org/RHHJ/article/view/352" \h </w:instrText>
            </w:r>
            <w:r>
              <w:fldChar w:fldCharType="separate"/>
            </w:r>
            <w:r>
              <w:rPr>
                <w:rFonts w:ascii="Times New Roman" w:hAnsi="Times New Roman" w:eastAsia="Times New Roman" w:cs="Times New Roman"/>
                <w:b/>
                <w:color w:val="0000FF"/>
                <w:u w:val="single"/>
              </w:rPr>
              <w:t>Dossiê Música e Ensino de História</w:t>
            </w:r>
            <w:r>
              <w:rPr>
                <w:rFonts w:ascii="Times New Roman" w:hAnsi="Times New Roman" w:eastAsia="Times New Roman" w:cs="Times New Roman"/>
                <w:b/>
                <w:color w:val="0000FF"/>
                <w:u w:val="single"/>
              </w:rPr>
              <w:fldChar w:fldCharType="end"/>
            </w:r>
            <w:r>
              <w:rPr>
                <w:rFonts w:ascii="Times New Roman" w:hAnsi="Times New Roman" w:eastAsia="Times New Roman" w:cs="Times New Roman"/>
                <w:b/>
              </w:rPr>
              <w:t>.</w:t>
            </w:r>
            <w:r>
              <w:rPr>
                <w:rFonts w:ascii="Times New Roman" w:hAnsi="Times New Roman" w:eastAsia="Times New Roman" w:cs="Times New Roman"/>
              </w:rPr>
              <w:t xml:space="preserve"> Revista História Hoje, vol. 5, nº 10. </w:t>
            </w:r>
            <w:r>
              <w:fldChar w:fldCharType="begin"/>
            </w:r>
            <w:r>
              <w:instrText xml:space="preserve"> HYPERLINK "https://doi.org/10.20949/rhhj.v6i11" \h </w:instrText>
            </w:r>
            <w:r>
              <w:fldChar w:fldCharType="separate"/>
            </w:r>
            <w:r>
              <w:rPr>
                <w:rFonts w:ascii="Times New Roman" w:hAnsi="Times New Roman" w:eastAsia="Times New Roman" w:cs="Times New Roman"/>
                <w:color w:val="0000FF"/>
                <w:u w:val="single"/>
              </w:rPr>
              <w:t>https://doi.org/10.20949/rhhj.v6i11</w:t>
            </w:r>
            <w:r>
              <w:rPr>
                <w:rFonts w:ascii="Times New Roman" w:hAnsi="Times New Roman" w:eastAsia="Times New Roman" w:cs="Times New Roman"/>
                <w:color w:val="0000FF"/>
                <w:u w:val="single"/>
              </w:rPr>
              <w:fldChar w:fldCharType="end"/>
            </w:r>
            <w:r>
              <w:rPr>
                <w:rFonts w:ascii="Times New Roman" w:hAnsi="Times New Roman" w:eastAsia="Times New Roman" w:cs="Times New Roman"/>
                <w:color w:val="0563C1"/>
                <w:u w:val="single"/>
              </w:rPr>
              <w:t>.</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08"/>
        <w:tblW w:w="8878" w:type="dxa"/>
        <w:tblInd w:w="65" w:type="dxa"/>
        <w:tblLayout w:type="fixed"/>
        <w:tblCellMar>
          <w:top w:w="0" w:type="dxa"/>
          <w:left w:w="108" w:type="dxa"/>
          <w:bottom w:w="0" w:type="dxa"/>
          <w:right w:w="108" w:type="dxa"/>
        </w:tblCellMar>
      </w:tblPr>
      <w:tblGrid>
        <w:gridCol w:w="3045"/>
        <w:gridCol w:w="3050"/>
        <w:gridCol w:w="2783"/>
      </w:tblGrid>
      <w:tr>
        <w:tblPrEx>
          <w:tblCellMar>
            <w:top w:w="0" w:type="dxa"/>
            <w:left w:w="108" w:type="dxa"/>
            <w:bottom w:w="0" w:type="dxa"/>
            <w:right w:w="108" w:type="dxa"/>
          </w:tblCellMar>
        </w:tblPrEx>
        <w:tc>
          <w:tcPr>
            <w:tcW w:w="6095" w:type="dxa"/>
            <w:gridSpan w:val="2"/>
            <w:tcBorders>
              <w:top w:val="single" w:color="000000" w:sz="18" w:space="0"/>
              <w:left w:val="single" w:color="000000" w:sz="18"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Nome do Componente Curricular em português: Ensino de História, Fontes e linguagens II</w:t>
            </w:r>
          </w:p>
          <w:p>
            <w:pPr>
              <w:pBdr>
                <w:top w:val="none" w:color="auto" w:sz="0" w:space="0"/>
                <w:left w:val="none" w:color="auto" w:sz="0" w:space="0"/>
                <w:bottom w:val="none" w:color="auto" w:sz="0" w:space="0"/>
                <w:right w:val="none" w:color="auto" w:sz="0" w:space="0"/>
                <w:between w:val="none" w:color="auto" w:sz="0" w:space="0"/>
              </w:pBdr>
              <w:spacing w:before="240"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Nome do Componente Curricular em inglês: Teaching History, Sources and languages II</w:t>
            </w:r>
          </w:p>
        </w:tc>
        <w:tc>
          <w:tcPr>
            <w:tcW w:w="2783" w:type="dxa"/>
            <w:tcBorders>
              <w:top w:val="single" w:color="000000" w:sz="18" w:space="0"/>
              <w:left w:val="single" w:color="000000" w:sz="4"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Código: HIS937</w:t>
            </w:r>
          </w:p>
        </w:tc>
      </w:tr>
      <w:tr>
        <w:tblPrEx>
          <w:tblCellMar>
            <w:top w:w="0" w:type="dxa"/>
            <w:left w:w="108" w:type="dxa"/>
            <w:bottom w:w="0" w:type="dxa"/>
            <w:right w:w="108" w:type="dxa"/>
          </w:tblCellMar>
        </w:tblPrEx>
        <w:trPr>
          <w:trHeight w:val="641" w:hRule="atLeast"/>
        </w:trPr>
        <w:tc>
          <w:tcPr>
            <w:tcW w:w="6095" w:type="dxa"/>
            <w:gridSpan w:val="2"/>
            <w:tcBorders>
              <w:top w:val="single" w:color="000000" w:sz="4" w:space="0"/>
              <w:left w:val="single" w:color="000000" w:sz="18"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Nome e sigla do departamento: Departamento de História - DEHIS</w:t>
            </w:r>
          </w:p>
        </w:tc>
        <w:tc>
          <w:tcPr>
            <w:tcW w:w="2783" w:type="dxa"/>
            <w:tcBorders>
              <w:top w:val="single" w:color="000000" w:sz="4" w:space="0"/>
              <w:left w:val="single" w:color="000000" w:sz="4"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Unidade acadêmica: ICHS</w:t>
            </w:r>
          </w:p>
        </w:tc>
      </w:tr>
      <w:tr>
        <w:tblPrEx>
          <w:tblCellMar>
            <w:top w:w="0" w:type="dxa"/>
            <w:left w:w="108" w:type="dxa"/>
            <w:bottom w:w="0" w:type="dxa"/>
            <w:right w:w="108" w:type="dxa"/>
          </w:tblCellMar>
        </w:tblPrEx>
        <w:trPr>
          <w:trHeight w:val="641" w:hRule="atLeast"/>
        </w:trPr>
        <w:tc>
          <w:tcPr>
            <w:tcW w:w="3045" w:type="dxa"/>
            <w:tcBorders>
              <w:top w:val="single" w:color="000000" w:sz="4" w:space="0"/>
              <w:left w:val="single" w:color="000000" w:sz="18"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Carga horária semestral</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60 horas</w:t>
            </w:r>
          </w:p>
        </w:tc>
        <w:tc>
          <w:tcPr>
            <w:tcW w:w="3050"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 xml:space="preserve">Carga horária semanal teórica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04 horas/aula</w:t>
            </w:r>
          </w:p>
        </w:tc>
        <w:tc>
          <w:tcPr>
            <w:tcW w:w="2783" w:type="dxa"/>
            <w:tcBorders>
              <w:top w:val="single" w:color="000000" w:sz="4" w:space="0"/>
              <w:left w:val="single" w:color="000000" w:sz="4"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Carga horária semanal prática</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00 horas/aula</w:t>
            </w:r>
          </w:p>
        </w:tc>
      </w:tr>
      <w:tr>
        <w:tblPrEx>
          <w:tblCellMar>
            <w:top w:w="0" w:type="dxa"/>
            <w:left w:w="108" w:type="dxa"/>
            <w:bottom w:w="0" w:type="dxa"/>
            <w:right w:w="108" w:type="dxa"/>
          </w:tblCellMar>
        </w:tblPrEx>
        <w:tc>
          <w:tcPr>
            <w:tcW w:w="8878" w:type="dxa"/>
            <w:gridSpan w:val="3"/>
            <w:tcBorders>
              <w:top w:val="single" w:color="000000" w:sz="4" w:space="0"/>
              <w:left w:val="single" w:color="000000" w:sz="18"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 xml:space="preserve">Ementa: Breve fundamentação teórica sobre o uso de fontes e linguagens na história. Fundamentação teórica e didática do uso de diferentes visuais no Ensino de História.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Apresentação de experiências de uso de fontes visuais no Ensino de História.</w:t>
            </w:r>
          </w:p>
        </w:tc>
      </w:tr>
      <w:tr>
        <w:tblPrEx>
          <w:tblCellMar>
            <w:top w:w="0" w:type="dxa"/>
            <w:left w:w="108" w:type="dxa"/>
            <w:bottom w:w="0" w:type="dxa"/>
            <w:right w:w="108" w:type="dxa"/>
          </w:tblCellMar>
        </w:tblPrEx>
        <w:tc>
          <w:tcPr>
            <w:tcW w:w="8878" w:type="dxa"/>
            <w:gridSpan w:val="3"/>
            <w:tcBorders>
              <w:top w:val="single" w:color="000000" w:sz="4" w:space="0"/>
              <w:left w:val="single" w:color="000000" w:sz="18"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 xml:space="preserve">Conteúdo programático: </w:t>
            </w:r>
          </w:p>
          <w:p>
            <w:pPr>
              <w:numPr>
                <w:ilvl w:val="0"/>
                <w:numId w:val="94"/>
              </w:num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Fontes e linguagens: fundamentos</w:t>
            </w:r>
          </w:p>
          <w:p>
            <w:pPr>
              <w:numPr>
                <w:ilvl w:val="0"/>
                <w:numId w:val="94"/>
              </w:num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Uso de fontes visuais no Ensino de História</w:t>
            </w:r>
          </w:p>
          <w:p>
            <w:pPr>
              <w:numPr>
                <w:ilvl w:val="0"/>
                <w:numId w:val="94"/>
              </w:num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Experiências de uso de fontes visuais no Ensino de História. </w:t>
            </w:r>
          </w:p>
        </w:tc>
      </w:tr>
      <w:tr>
        <w:tblPrEx>
          <w:tblCellMar>
            <w:top w:w="0" w:type="dxa"/>
            <w:left w:w="108" w:type="dxa"/>
            <w:bottom w:w="0" w:type="dxa"/>
            <w:right w:w="108" w:type="dxa"/>
          </w:tblCellMar>
        </w:tblPrEx>
        <w:tc>
          <w:tcPr>
            <w:tcW w:w="8878" w:type="dxa"/>
            <w:gridSpan w:val="3"/>
            <w:tcBorders>
              <w:top w:val="single" w:color="000000" w:sz="4" w:space="0"/>
              <w:left w:val="single" w:color="000000" w:sz="18"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 xml:space="preserve">Bibliografia básica: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BITTENCOURT, Circe Maria Fernandes. Ensino de história: fundamentos e métodos . 4. ed. São Paulo: Cortez 2011.</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 xml:space="preserve">FONSECA, Selva Guimarães. Didática e prática de ensino de história: experiências, reflexões e aprendizados. 8. ed. Campinas: Papirus 2009.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PINSKY, Carla Bassanezi; BACELLAR, Carlos de Almeida Prado. </w:t>
            </w:r>
            <w:r>
              <w:rPr>
                <w:rFonts w:ascii="Times New Roman" w:hAnsi="Times New Roman" w:eastAsia="Times New Roman" w:cs="Times New Roman"/>
                <w:b/>
                <w:color w:val="000000"/>
              </w:rPr>
              <w:t>Fontes históricas. </w:t>
            </w:r>
            <w:r>
              <w:rPr>
                <w:rFonts w:ascii="Times New Roman" w:hAnsi="Times New Roman" w:eastAsia="Times New Roman" w:cs="Times New Roman"/>
                <w:color w:val="000000"/>
              </w:rPr>
              <w:t>2. ed. São Paulo: Contexto, 2006.</w:t>
            </w:r>
          </w:p>
        </w:tc>
      </w:tr>
      <w:tr>
        <w:tblPrEx>
          <w:tblCellMar>
            <w:top w:w="0" w:type="dxa"/>
            <w:left w:w="108" w:type="dxa"/>
            <w:bottom w:w="0" w:type="dxa"/>
            <w:right w:w="108" w:type="dxa"/>
          </w:tblCellMar>
        </w:tblPrEx>
        <w:tc>
          <w:tcPr>
            <w:tcW w:w="8878" w:type="dxa"/>
            <w:gridSpan w:val="3"/>
            <w:tcBorders>
              <w:top w:val="single" w:color="000000" w:sz="4" w:space="0"/>
              <w:left w:val="single" w:color="000000" w:sz="18"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 xml:space="preserve">Bibliografia complementar: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CASTANHO, Gabriel de Carvalho G., SOUZA, Jorge Victor de Araújo. </w:t>
            </w:r>
            <w:r>
              <w:rPr>
                <w:rFonts w:ascii="Times New Roman" w:hAnsi="Times New Roman" w:eastAsia="Times New Roman" w:cs="Times New Roman"/>
                <w:b/>
                <w:color w:val="000000"/>
              </w:rPr>
              <w:t>Dossiê Propostas e desafios nos usos de documentos históricos em sala de aula</w:t>
            </w:r>
            <w:r>
              <w:rPr>
                <w:rFonts w:ascii="Times New Roman" w:hAnsi="Times New Roman" w:eastAsia="Times New Roman" w:cs="Times New Roman"/>
                <w:color w:val="000000"/>
              </w:rPr>
              <w:t xml:space="preserve">. Revista História Hoje, v. 6, nº 12, 2017. </w:t>
            </w:r>
            <w:r>
              <w:fldChar w:fldCharType="begin"/>
            </w:r>
            <w:r>
              <w:instrText xml:space="preserve"> HYPERLINK "https://doi.org/10.20949/rhhj.v6i12" \h </w:instrText>
            </w:r>
            <w:r>
              <w:fldChar w:fldCharType="separate"/>
            </w:r>
            <w:r>
              <w:rPr>
                <w:rFonts w:ascii="Times New Roman" w:hAnsi="Times New Roman" w:eastAsia="Times New Roman" w:cs="Times New Roman"/>
                <w:color w:val="0000FF"/>
                <w:u w:val="single"/>
              </w:rPr>
              <w:t>https://doi.org/10.20949/rhhj.v6i12</w:t>
            </w:r>
            <w:r>
              <w:rPr>
                <w:rFonts w:ascii="Times New Roman" w:hAnsi="Times New Roman" w:eastAsia="Times New Roman" w:cs="Times New Roman"/>
                <w:color w:val="0000FF"/>
                <w:u w:val="single"/>
              </w:rPr>
              <w:fldChar w:fldCharType="end"/>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HISTÓRIA e imagem: cinema, cidades, música, pintura, narrativas e iconografia . Rio de Janeiro: UFRJ, Instituto de Filosofia e Ciências Sociais [1998]. 369 p.</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 xml:space="preserve">MACHADO, Arthur Versiani. Filmes históricos no ensino de história. Jundiaí, SP: Paco Editorial, c2015.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SANTOS, Maria Aparecida Lima dos; AZEVEDO, Patrícia Bastos de. </w:t>
            </w:r>
            <w:r>
              <w:rPr>
                <w:rFonts w:ascii="Times New Roman" w:hAnsi="Times New Roman" w:eastAsia="Times New Roman" w:cs="Times New Roman"/>
                <w:b/>
                <w:color w:val="000000"/>
              </w:rPr>
              <w:t>Dossiê Ensino de História e Linguagem: discurso, narrativa e práticas de significação do tempo.</w:t>
            </w:r>
            <w:r>
              <w:rPr>
                <w:rFonts w:ascii="Times New Roman" w:hAnsi="Times New Roman" w:eastAsia="Times New Roman" w:cs="Times New Roman"/>
                <w:color w:val="000000"/>
              </w:rPr>
              <w:t xml:space="preserve"> Revista História Hoje, v. 4, nº 8, 2015. </w:t>
            </w:r>
            <w:r>
              <w:fldChar w:fldCharType="begin"/>
            </w:r>
            <w:r>
              <w:instrText xml:space="preserve"> HYPERLINK "https://doi.org/10.20949/RHHJ" \h </w:instrText>
            </w:r>
            <w:r>
              <w:fldChar w:fldCharType="separate"/>
            </w:r>
            <w:r>
              <w:rPr>
                <w:rFonts w:ascii="Times New Roman" w:hAnsi="Times New Roman" w:eastAsia="Times New Roman" w:cs="Times New Roman"/>
                <w:color w:val="0000FF"/>
                <w:u w:val="single"/>
              </w:rPr>
              <w:t>https://doi.org/10.20949/RHHJ</w:t>
            </w:r>
            <w:r>
              <w:rPr>
                <w:rFonts w:ascii="Times New Roman" w:hAnsi="Times New Roman" w:eastAsia="Times New Roman" w:cs="Times New Roman"/>
                <w:color w:val="0000FF"/>
                <w:u w:val="single"/>
              </w:rPr>
              <w:fldChar w:fldCharType="end"/>
            </w:r>
          </w:p>
          <w:p>
            <w:pPr>
              <w:pBdr>
                <w:top w:val="none" w:color="auto" w:sz="0" w:space="0"/>
                <w:left w:val="none" w:color="auto" w:sz="0" w:space="0"/>
                <w:bottom w:val="none" w:color="auto" w:sz="0" w:space="0"/>
                <w:right w:val="none" w:color="auto" w:sz="0" w:space="0"/>
                <w:between w:val="none" w:color="auto" w:sz="0" w:space="0"/>
              </w:pBdr>
              <w:shd w:val="clear" w:color="auto" w:fill="FFFFFF"/>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SOARES, Olavo Pereira Soares; HERMETO, Miriam. </w:t>
            </w:r>
            <w:r>
              <w:fldChar w:fldCharType="begin"/>
            </w:r>
            <w:r>
              <w:instrText xml:space="preserve"> HYPERLINK "https://rhhj.anpuh.org/RHHJ/article/view/352" \h </w:instrText>
            </w:r>
            <w:r>
              <w:fldChar w:fldCharType="separate"/>
            </w:r>
            <w:r>
              <w:rPr>
                <w:rFonts w:ascii="Times New Roman" w:hAnsi="Times New Roman" w:eastAsia="Times New Roman" w:cs="Times New Roman"/>
                <w:b/>
                <w:color w:val="0000FF"/>
                <w:u w:val="single"/>
              </w:rPr>
              <w:t>Dossiê Música e Ensino de História</w:t>
            </w:r>
            <w:r>
              <w:rPr>
                <w:rFonts w:ascii="Times New Roman" w:hAnsi="Times New Roman" w:eastAsia="Times New Roman" w:cs="Times New Roman"/>
                <w:b/>
                <w:color w:val="0000FF"/>
                <w:u w:val="single"/>
              </w:rPr>
              <w:fldChar w:fldCharType="end"/>
            </w:r>
            <w:r>
              <w:rPr>
                <w:rFonts w:ascii="Times New Roman" w:hAnsi="Times New Roman" w:eastAsia="Times New Roman" w:cs="Times New Roman"/>
                <w:b/>
                <w:color w:val="000000"/>
              </w:rPr>
              <w:t>.</w:t>
            </w:r>
            <w:r>
              <w:rPr>
                <w:rFonts w:ascii="Times New Roman" w:hAnsi="Times New Roman" w:eastAsia="Times New Roman" w:cs="Times New Roman"/>
                <w:color w:val="000000"/>
              </w:rPr>
              <w:t xml:space="preserve"> Revista História Hoje, vol. 5, nº 10. </w:t>
            </w:r>
            <w:r>
              <w:fldChar w:fldCharType="begin"/>
            </w:r>
            <w:r>
              <w:instrText xml:space="preserve"> HYPERLINK "https://doi.org/10.20949/rhhj.v6i11" \h </w:instrText>
            </w:r>
            <w:r>
              <w:fldChar w:fldCharType="separate"/>
            </w:r>
            <w:r>
              <w:rPr>
                <w:rFonts w:ascii="Times New Roman" w:hAnsi="Times New Roman" w:eastAsia="Times New Roman" w:cs="Times New Roman"/>
                <w:color w:val="0000FF"/>
                <w:u w:val="single"/>
              </w:rPr>
              <w:t>https://doi.org/10.20949/rhhj.v6i11</w:t>
            </w:r>
            <w:r>
              <w:rPr>
                <w:rFonts w:ascii="Times New Roman" w:hAnsi="Times New Roman" w:eastAsia="Times New Roman" w:cs="Times New Roman"/>
                <w:color w:val="0000FF"/>
                <w:u w:val="single"/>
              </w:rPr>
              <w:fldChar w:fldCharType="end"/>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09"/>
        <w:tblW w:w="8896" w:type="dxa"/>
        <w:tblInd w:w="65" w:type="dxa"/>
        <w:tblLayout w:type="fixed"/>
        <w:tblCellMar>
          <w:top w:w="0" w:type="dxa"/>
          <w:left w:w="108" w:type="dxa"/>
          <w:bottom w:w="0" w:type="dxa"/>
          <w:right w:w="108" w:type="dxa"/>
        </w:tblCellMar>
      </w:tblPr>
      <w:tblGrid>
        <w:gridCol w:w="2682"/>
        <w:gridCol w:w="3119"/>
        <w:gridCol w:w="3095"/>
      </w:tblGrid>
      <w:tr>
        <w:tblPrEx>
          <w:tblCellMar>
            <w:top w:w="0" w:type="dxa"/>
            <w:left w:w="108" w:type="dxa"/>
            <w:bottom w:w="0" w:type="dxa"/>
            <w:right w:w="108" w:type="dxa"/>
          </w:tblCellMar>
        </w:tblPrEx>
        <w:tc>
          <w:tcPr>
            <w:tcW w:w="5801" w:type="dxa"/>
            <w:gridSpan w:val="2"/>
            <w:tcBorders>
              <w:top w:val="single" w:color="000000" w:sz="18"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do Componente Curricular em português: Ensino de História, Fontes e Linguagens III</w:t>
            </w:r>
          </w:p>
          <w:p>
            <w:pPr>
              <w:spacing w:before="240" w:line="360" w:lineRule="auto"/>
              <w:ind w:left="0" w:hanging="2"/>
              <w:rPr>
                <w:rFonts w:ascii="Times New Roman" w:hAnsi="Times New Roman" w:cs="Times New Roman"/>
              </w:rPr>
            </w:pPr>
            <w:r>
              <w:rPr>
                <w:rFonts w:ascii="Times New Roman" w:hAnsi="Times New Roman" w:eastAsia="Times New Roman" w:cs="Times New Roman"/>
              </w:rPr>
              <w:t>Nome do Componente Curricular em inglês: Teaching History, Sources and languages III</w:t>
            </w:r>
          </w:p>
        </w:tc>
        <w:tc>
          <w:tcPr>
            <w:tcW w:w="3095" w:type="dxa"/>
            <w:tcBorders>
              <w:top w:val="single" w:color="000000" w:sz="18"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Código: HIS938</w:t>
            </w:r>
          </w:p>
        </w:tc>
      </w:tr>
      <w:tr>
        <w:tblPrEx>
          <w:tblCellMar>
            <w:top w:w="0" w:type="dxa"/>
            <w:left w:w="108" w:type="dxa"/>
            <w:bottom w:w="0" w:type="dxa"/>
            <w:right w:w="108" w:type="dxa"/>
          </w:tblCellMar>
        </w:tblPrEx>
        <w:trPr>
          <w:trHeight w:val="641" w:hRule="atLeast"/>
        </w:trPr>
        <w:tc>
          <w:tcPr>
            <w:tcW w:w="5801" w:type="dxa"/>
            <w:gridSpan w:val="2"/>
            <w:tcBorders>
              <w:top w:val="single" w:color="000000" w:sz="4"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e sigla do departamento: Departamento de História - DEHIS</w:t>
            </w:r>
          </w:p>
        </w:tc>
        <w:tc>
          <w:tcPr>
            <w:tcW w:w="3095" w:type="dxa"/>
            <w:tcBorders>
              <w:top w:val="single" w:color="000000" w:sz="4"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Unidade acadêmica: ICHS</w:t>
            </w:r>
          </w:p>
        </w:tc>
      </w:tr>
      <w:tr>
        <w:tblPrEx>
          <w:tblCellMar>
            <w:top w:w="0" w:type="dxa"/>
            <w:left w:w="108" w:type="dxa"/>
            <w:bottom w:w="0" w:type="dxa"/>
            <w:right w:w="108" w:type="dxa"/>
          </w:tblCellMar>
        </w:tblPrEx>
        <w:trPr>
          <w:trHeight w:val="641" w:hRule="atLeast"/>
        </w:trPr>
        <w:tc>
          <w:tcPr>
            <w:tcW w:w="2682" w:type="dxa"/>
            <w:tcBorders>
              <w:top w:val="single" w:color="000000" w:sz="4" w:space="0"/>
              <w:left w:val="single" w:color="000000" w:sz="18" w:space="0"/>
              <w:bottom w:val="single" w:color="000000" w:sz="4" w:space="0"/>
            </w:tcBorders>
          </w:tcPr>
          <w:p>
            <w:pPr>
              <w:spacing w:line="276" w:lineRule="auto"/>
              <w:ind w:left="0" w:hanging="2"/>
              <w:jc w:val="center"/>
              <w:rPr>
                <w:rFonts w:ascii="Times New Roman" w:hAnsi="Times New Roman" w:cs="Times New Roman"/>
              </w:rPr>
            </w:pPr>
            <w:r>
              <w:rPr>
                <w:rFonts w:ascii="Times New Roman" w:hAnsi="Times New Roman" w:eastAsia="Times New Roman" w:cs="Times New Roman"/>
              </w:rPr>
              <w:t>Carga horária semestral</w:t>
            </w:r>
          </w:p>
          <w:p>
            <w:pPr>
              <w:spacing w:line="276" w:lineRule="auto"/>
              <w:ind w:left="0" w:hanging="2"/>
              <w:jc w:val="center"/>
              <w:rPr>
                <w:rFonts w:ascii="Times New Roman" w:hAnsi="Times New Roman" w:cs="Times New Roman"/>
              </w:rPr>
            </w:pPr>
            <w:r>
              <w:rPr>
                <w:rFonts w:ascii="Times New Roman" w:hAnsi="Times New Roman" w:eastAsia="Times New Roman" w:cs="Times New Roman"/>
              </w:rPr>
              <w:t xml:space="preserve"> 60 horas</w:t>
            </w:r>
          </w:p>
        </w:tc>
        <w:tc>
          <w:tcPr>
            <w:tcW w:w="3119" w:type="dxa"/>
            <w:tcBorders>
              <w:top w:val="single" w:color="000000" w:sz="4" w:space="0"/>
              <w:left w:val="single" w:color="000000" w:sz="4" w:space="0"/>
              <w:bottom w:val="single" w:color="000000" w:sz="4" w:space="0"/>
            </w:tcBorders>
          </w:tcPr>
          <w:p>
            <w:pPr>
              <w:spacing w:line="276" w:lineRule="auto"/>
              <w:ind w:left="0" w:hanging="2"/>
              <w:jc w:val="center"/>
              <w:rPr>
                <w:rFonts w:ascii="Times New Roman" w:hAnsi="Times New Roman" w:cs="Times New Roman"/>
              </w:rPr>
            </w:pPr>
            <w:r>
              <w:rPr>
                <w:rFonts w:ascii="Times New Roman" w:hAnsi="Times New Roman" w:eastAsia="Times New Roman" w:cs="Times New Roman"/>
              </w:rPr>
              <w:t xml:space="preserve">Carga horária semanal teórica </w:t>
            </w:r>
          </w:p>
          <w:p>
            <w:pPr>
              <w:spacing w:line="276" w:lineRule="auto"/>
              <w:ind w:left="0" w:hanging="2"/>
              <w:jc w:val="center"/>
              <w:rPr>
                <w:rFonts w:ascii="Times New Roman" w:hAnsi="Times New Roman" w:cs="Times New Roman"/>
              </w:rPr>
            </w:pPr>
            <w:r>
              <w:rPr>
                <w:rFonts w:ascii="Times New Roman" w:hAnsi="Times New Roman" w:eastAsia="Times New Roman" w:cs="Times New Roman"/>
              </w:rPr>
              <w:t>04 horas/aula</w:t>
            </w:r>
          </w:p>
        </w:tc>
        <w:tc>
          <w:tcPr>
            <w:tcW w:w="3095" w:type="dxa"/>
            <w:tcBorders>
              <w:top w:val="single" w:color="000000" w:sz="4" w:space="0"/>
              <w:left w:val="single" w:color="000000" w:sz="4" w:space="0"/>
              <w:bottom w:val="single" w:color="000000" w:sz="4" w:space="0"/>
              <w:right w:val="single" w:color="000000" w:sz="18" w:space="0"/>
            </w:tcBorders>
          </w:tcPr>
          <w:p>
            <w:pPr>
              <w:spacing w:line="276" w:lineRule="auto"/>
              <w:ind w:left="0" w:hanging="2"/>
              <w:jc w:val="center"/>
              <w:rPr>
                <w:rFonts w:ascii="Times New Roman" w:hAnsi="Times New Roman" w:cs="Times New Roman"/>
              </w:rPr>
            </w:pPr>
            <w:r>
              <w:rPr>
                <w:rFonts w:ascii="Times New Roman" w:hAnsi="Times New Roman" w:eastAsia="Times New Roman" w:cs="Times New Roman"/>
              </w:rPr>
              <w:t>Carga horária semanal prática</w:t>
            </w:r>
          </w:p>
          <w:p>
            <w:pPr>
              <w:spacing w:line="276" w:lineRule="auto"/>
              <w:ind w:left="0" w:hanging="2"/>
              <w:jc w:val="center"/>
              <w:rPr>
                <w:rFonts w:ascii="Times New Roman" w:hAnsi="Times New Roman" w:cs="Times New Roman"/>
              </w:rPr>
            </w:pPr>
            <w:r>
              <w:rPr>
                <w:rFonts w:ascii="Times New Roman" w:hAnsi="Times New Roman" w:eastAsia="Times New Roman" w:cs="Times New Roman"/>
              </w:rPr>
              <w:t>00 horas/aula</w:t>
            </w:r>
          </w:p>
        </w:tc>
      </w:tr>
      <w:tr>
        <w:tblPrEx>
          <w:tblCellMar>
            <w:top w:w="0" w:type="dxa"/>
            <w:left w:w="108" w:type="dxa"/>
            <w:bottom w:w="0" w:type="dxa"/>
            <w:right w:w="108" w:type="dxa"/>
          </w:tblCellMar>
        </w:tblPrEx>
        <w:tc>
          <w:tcPr>
            <w:tcW w:w="8896"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Ementa: Breve fundamentação teórica sobre o uso de fontes e linguagens na história. Fundamentação teórica e didática do uso de diferentes fontes orais no Ensino de História. </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Apresentação de experiências de uso de fontes orais no Ensino de História.</w:t>
            </w:r>
          </w:p>
        </w:tc>
      </w:tr>
      <w:tr>
        <w:tblPrEx>
          <w:tblCellMar>
            <w:top w:w="0" w:type="dxa"/>
            <w:left w:w="108" w:type="dxa"/>
            <w:bottom w:w="0" w:type="dxa"/>
            <w:right w:w="108" w:type="dxa"/>
          </w:tblCellMar>
        </w:tblPrEx>
        <w:tc>
          <w:tcPr>
            <w:tcW w:w="8896"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Conteúdo programático: </w:t>
            </w:r>
          </w:p>
          <w:p>
            <w:pPr>
              <w:numPr>
                <w:ilvl w:val="0"/>
                <w:numId w:val="95"/>
              </w:numPr>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 xml:space="preserve"> Fontes e linguagens: fundamentos</w:t>
            </w:r>
          </w:p>
          <w:p>
            <w:pPr>
              <w:numPr>
                <w:ilvl w:val="0"/>
                <w:numId w:val="95"/>
              </w:numPr>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 xml:space="preserve"> Uso de fontes orais no Ensino de História</w:t>
            </w:r>
          </w:p>
          <w:p>
            <w:pPr>
              <w:numPr>
                <w:ilvl w:val="0"/>
                <w:numId w:val="95"/>
              </w:numPr>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 xml:space="preserve"> Experiências de uso de fontes orais no Ensino de História. </w:t>
            </w:r>
          </w:p>
        </w:tc>
      </w:tr>
      <w:tr>
        <w:tblPrEx>
          <w:tblCellMar>
            <w:top w:w="0" w:type="dxa"/>
            <w:left w:w="108" w:type="dxa"/>
            <w:bottom w:w="0" w:type="dxa"/>
            <w:right w:w="108" w:type="dxa"/>
          </w:tblCellMar>
        </w:tblPrEx>
        <w:tc>
          <w:tcPr>
            <w:tcW w:w="8896"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Bibliografia básica: </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BITTENCOURT, Circe Maria Fernandes. Ensino de história: fundamentos e métodos. 4. ed. São Paulo: Cortez 2011.</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FONSECA, Selva Guimarães. Didática e prática de ensino de história: experiências, reflexões e aprendizados. 8. ed. Campinas: Papirus 2009. </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PINSKY, Carla Bassanezi; BACELLAR, Carlos de Almeida Prado. </w:t>
            </w:r>
            <w:r>
              <w:rPr>
                <w:rFonts w:ascii="Times New Roman" w:hAnsi="Times New Roman" w:eastAsia="Times New Roman" w:cs="Times New Roman"/>
                <w:b/>
              </w:rPr>
              <w:t>Fontes históricas. </w:t>
            </w:r>
            <w:r>
              <w:rPr>
                <w:rFonts w:ascii="Times New Roman" w:hAnsi="Times New Roman" w:eastAsia="Times New Roman" w:cs="Times New Roman"/>
              </w:rPr>
              <w:t>2. ed. São Paulo: Contexto, 2006.</w:t>
            </w:r>
          </w:p>
        </w:tc>
      </w:tr>
      <w:tr>
        <w:tblPrEx>
          <w:tblCellMar>
            <w:top w:w="0" w:type="dxa"/>
            <w:left w:w="108" w:type="dxa"/>
            <w:bottom w:w="0" w:type="dxa"/>
            <w:right w:w="108" w:type="dxa"/>
          </w:tblCellMar>
        </w:tblPrEx>
        <w:tc>
          <w:tcPr>
            <w:tcW w:w="8896"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Bibliografia complementar: </w:t>
            </w:r>
          </w:p>
          <w:p>
            <w:pPr>
              <w:spacing w:line="360" w:lineRule="auto"/>
              <w:ind w:left="0" w:hanging="2"/>
              <w:rPr>
                <w:rFonts w:ascii="Times New Roman" w:hAnsi="Times New Roman" w:eastAsia="Times New Roman" w:cs="Times New Roman"/>
              </w:rPr>
            </w:pPr>
            <w:r>
              <w:rPr>
                <w:rFonts w:ascii="Times New Roman" w:hAnsi="Times New Roman" w:eastAsia="Times New Roman" w:cs="Times New Roman"/>
              </w:rPr>
              <w:t xml:space="preserve">CASTANHO, Gabriel de Carvalho G., SOUZA, Jorge Victor de Araújo. </w:t>
            </w:r>
            <w:r>
              <w:rPr>
                <w:rFonts w:ascii="Times New Roman" w:hAnsi="Times New Roman" w:eastAsia="Times New Roman" w:cs="Times New Roman"/>
                <w:b/>
              </w:rPr>
              <w:t>Dossiê Propostas e desafios nos usos de documentos históricos em sala de aula</w:t>
            </w:r>
            <w:r>
              <w:rPr>
                <w:rFonts w:ascii="Times New Roman" w:hAnsi="Times New Roman" w:eastAsia="Times New Roman" w:cs="Times New Roman"/>
              </w:rPr>
              <w:t xml:space="preserve">. Revista História Hoje, v. 6, nº 12, 2017. </w:t>
            </w:r>
            <w:r>
              <w:fldChar w:fldCharType="begin"/>
            </w:r>
            <w:r>
              <w:instrText xml:space="preserve"> HYPERLINK "https://doi.org/10.20949/rhhj.v6i12" \h </w:instrText>
            </w:r>
            <w:r>
              <w:fldChar w:fldCharType="separate"/>
            </w:r>
            <w:r>
              <w:rPr>
                <w:rFonts w:ascii="Times New Roman" w:hAnsi="Times New Roman" w:eastAsia="Times New Roman" w:cs="Times New Roman"/>
                <w:color w:val="0000FF"/>
                <w:u w:val="single"/>
              </w:rPr>
              <w:t>https://doi.org/10.20949/rhhj.v6i12</w:t>
            </w:r>
            <w:r>
              <w:rPr>
                <w:rFonts w:ascii="Times New Roman" w:hAnsi="Times New Roman" w:eastAsia="Times New Roman" w:cs="Times New Roman"/>
                <w:color w:val="0000FF"/>
                <w:u w:val="single"/>
              </w:rPr>
              <w:fldChar w:fldCharType="end"/>
            </w:r>
          </w:p>
          <w:p>
            <w:pPr>
              <w:spacing w:line="360" w:lineRule="auto"/>
              <w:ind w:left="0" w:hanging="2"/>
              <w:rPr>
                <w:rFonts w:ascii="Times New Roman" w:hAnsi="Times New Roman" w:cs="Times New Roman"/>
              </w:rPr>
            </w:pPr>
            <w:r>
              <w:rPr>
                <w:rFonts w:ascii="Times New Roman" w:hAnsi="Times New Roman" w:eastAsia="Times New Roman" w:cs="Times New Roman"/>
              </w:rPr>
              <w:t>HISTÓRIA e imagem: cinema, cidades, música, pintura, narrativas e iconografia. Rio de Janeiro: UFRJ, Instituto de Filosofia e Ciências Sociais [1998]. 369 p.</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MACHADO, Arthur Versiani. Filmes históricos no ensino de história. Jundiaí, SP: Paco Editorial, c2015. </w:t>
            </w:r>
          </w:p>
          <w:p>
            <w:pPr>
              <w:spacing w:line="360" w:lineRule="auto"/>
              <w:ind w:left="0" w:hanging="2"/>
              <w:rPr>
                <w:rFonts w:ascii="Times New Roman" w:hAnsi="Times New Roman" w:eastAsia="Times New Roman" w:cs="Times New Roman"/>
              </w:rPr>
            </w:pPr>
            <w:r>
              <w:rPr>
                <w:rFonts w:ascii="Times New Roman" w:hAnsi="Times New Roman" w:eastAsia="Times New Roman" w:cs="Times New Roman"/>
              </w:rPr>
              <w:t xml:space="preserve">SANTOS, Maria Aparecida Lima dos; AZEVEDO, Patrícia Bastos de. </w:t>
            </w:r>
            <w:r>
              <w:rPr>
                <w:rFonts w:ascii="Times New Roman" w:hAnsi="Times New Roman" w:eastAsia="Times New Roman" w:cs="Times New Roman"/>
                <w:b/>
              </w:rPr>
              <w:t>Dossiê Ensino de História e Linguagem: discurso, narrativa e práticas de significação do tempo.</w:t>
            </w:r>
            <w:r>
              <w:rPr>
                <w:rFonts w:ascii="Times New Roman" w:hAnsi="Times New Roman" w:eastAsia="Times New Roman" w:cs="Times New Roman"/>
              </w:rPr>
              <w:t xml:space="preserve"> Revista História Hoje, v. 4, nº 8, 2015. </w:t>
            </w:r>
            <w:r>
              <w:fldChar w:fldCharType="begin"/>
            </w:r>
            <w:r>
              <w:instrText xml:space="preserve"> HYPERLINK "https://doi.org/10.20949/RHHJ" \h </w:instrText>
            </w:r>
            <w:r>
              <w:fldChar w:fldCharType="separate"/>
            </w:r>
            <w:r>
              <w:rPr>
                <w:rFonts w:ascii="Times New Roman" w:hAnsi="Times New Roman" w:eastAsia="Times New Roman" w:cs="Times New Roman"/>
                <w:color w:val="0000FF"/>
                <w:u w:val="single"/>
              </w:rPr>
              <w:t>https://doi.org/10.20949/RHHJ</w:t>
            </w:r>
            <w:r>
              <w:rPr>
                <w:rFonts w:ascii="Times New Roman" w:hAnsi="Times New Roman" w:eastAsia="Times New Roman" w:cs="Times New Roman"/>
                <w:color w:val="0000FF"/>
                <w:u w:val="single"/>
              </w:rPr>
              <w:fldChar w:fldCharType="end"/>
            </w:r>
          </w:p>
          <w:p>
            <w:pPr>
              <w:shd w:val="clear" w:color="auto" w:fill="FFFFFF"/>
              <w:spacing w:line="360" w:lineRule="auto"/>
              <w:ind w:left="0" w:hanging="2"/>
              <w:rPr>
                <w:rFonts w:ascii="Times New Roman" w:hAnsi="Times New Roman" w:eastAsia="Times New Roman" w:cs="Times New Roman"/>
              </w:rPr>
            </w:pPr>
            <w:r>
              <w:rPr>
                <w:rFonts w:ascii="Times New Roman" w:hAnsi="Times New Roman" w:eastAsia="Times New Roman" w:cs="Times New Roman"/>
              </w:rPr>
              <w:t xml:space="preserve">SOARES, Olavo Pereira Soares; HERMETO, Miriam. </w:t>
            </w:r>
            <w:r>
              <w:fldChar w:fldCharType="begin"/>
            </w:r>
            <w:r>
              <w:instrText xml:space="preserve"> HYPERLINK "https://rhhj.anpuh.org/RHHJ/article/view/352" \h </w:instrText>
            </w:r>
            <w:r>
              <w:fldChar w:fldCharType="separate"/>
            </w:r>
            <w:r>
              <w:rPr>
                <w:rFonts w:ascii="Times New Roman" w:hAnsi="Times New Roman" w:eastAsia="Times New Roman" w:cs="Times New Roman"/>
                <w:b/>
                <w:color w:val="0000FF"/>
                <w:u w:val="single"/>
              </w:rPr>
              <w:t>Dossiê Música e Ensino de História</w:t>
            </w:r>
            <w:r>
              <w:rPr>
                <w:rFonts w:ascii="Times New Roman" w:hAnsi="Times New Roman" w:eastAsia="Times New Roman" w:cs="Times New Roman"/>
                <w:b/>
                <w:color w:val="0000FF"/>
                <w:u w:val="single"/>
              </w:rPr>
              <w:fldChar w:fldCharType="end"/>
            </w:r>
            <w:r>
              <w:rPr>
                <w:rFonts w:ascii="Times New Roman" w:hAnsi="Times New Roman" w:eastAsia="Times New Roman" w:cs="Times New Roman"/>
                <w:b/>
              </w:rPr>
              <w:t>.</w:t>
            </w:r>
            <w:r>
              <w:rPr>
                <w:rFonts w:ascii="Times New Roman" w:hAnsi="Times New Roman" w:eastAsia="Times New Roman" w:cs="Times New Roman"/>
              </w:rPr>
              <w:t xml:space="preserve"> Revista História Hoje, vol. 5, nº 10. </w:t>
            </w:r>
            <w:r>
              <w:fldChar w:fldCharType="begin"/>
            </w:r>
            <w:r>
              <w:instrText xml:space="preserve"> HYPERLINK "https://doi.org/10.20949/rhhj.v6i11" \h </w:instrText>
            </w:r>
            <w:r>
              <w:fldChar w:fldCharType="separate"/>
            </w:r>
            <w:r>
              <w:rPr>
                <w:rFonts w:ascii="Times New Roman" w:hAnsi="Times New Roman" w:eastAsia="Times New Roman" w:cs="Times New Roman"/>
                <w:color w:val="0000FF"/>
                <w:u w:val="single"/>
              </w:rPr>
              <w:t>https://doi.org/10.20949/rhhj.v6i11</w:t>
            </w:r>
            <w:r>
              <w:rPr>
                <w:rFonts w:ascii="Times New Roman" w:hAnsi="Times New Roman" w:eastAsia="Times New Roman" w:cs="Times New Roman"/>
                <w:color w:val="0000FF"/>
                <w:u w:val="single"/>
              </w:rPr>
              <w:fldChar w:fldCharType="end"/>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10"/>
        <w:tblW w:w="8879" w:type="dxa"/>
        <w:tblInd w:w="65" w:type="dxa"/>
        <w:tblLayout w:type="fixed"/>
        <w:tblCellMar>
          <w:top w:w="0" w:type="dxa"/>
          <w:left w:w="108" w:type="dxa"/>
          <w:bottom w:w="0" w:type="dxa"/>
          <w:right w:w="108" w:type="dxa"/>
        </w:tblCellMar>
      </w:tblPr>
      <w:tblGrid>
        <w:gridCol w:w="2917"/>
        <w:gridCol w:w="3036"/>
        <w:gridCol w:w="2926"/>
      </w:tblGrid>
      <w:tr>
        <w:tblPrEx>
          <w:tblCellMar>
            <w:top w:w="0" w:type="dxa"/>
            <w:left w:w="108" w:type="dxa"/>
            <w:bottom w:w="0" w:type="dxa"/>
            <w:right w:w="108" w:type="dxa"/>
          </w:tblCellMar>
        </w:tblPrEx>
        <w:tc>
          <w:tcPr>
            <w:tcW w:w="5953" w:type="dxa"/>
            <w:gridSpan w:val="2"/>
            <w:tcBorders>
              <w:top w:val="single" w:color="000000" w:sz="18"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do Componente Curricular em português: Ensino de História, Fontes e Linguagens IV</w:t>
            </w:r>
          </w:p>
          <w:p>
            <w:pPr>
              <w:spacing w:before="240" w:line="360" w:lineRule="auto"/>
              <w:ind w:left="0" w:hanging="2"/>
              <w:rPr>
                <w:rFonts w:ascii="Times New Roman" w:hAnsi="Times New Roman" w:cs="Times New Roman"/>
              </w:rPr>
            </w:pPr>
            <w:r>
              <w:rPr>
                <w:rFonts w:ascii="Times New Roman" w:hAnsi="Times New Roman" w:eastAsia="Times New Roman" w:cs="Times New Roman"/>
              </w:rPr>
              <w:t>Nome do Componente Curricular em inglês: Teaching History, Sources and languages IV</w:t>
            </w:r>
          </w:p>
        </w:tc>
        <w:tc>
          <w:tcPr>
            <w:tcW w:w="2926" w:type="dxa"/>
            <w:tcBorders>
              <w:top w:val="single" w:color="000000" w:sz="18"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Código: HIS939</w:t>
            </w:r>
          </w:p>
        </w:tc>
      </w:tr>
      <w:tr>
        <w:tblPrEx>
          <w:tblCellMar>
            <w:top w:w="0" w:type="dxa"/>
            <w:left w:w="108" w:type="dxa"/>
            <w:bottom w:w="0" w:type="dxa"/>
            <w:right w:w="108" w:type="dxa"/>
          </w:tblCellMar>
        </w:tblPrEx>
        <w:trPr>
          <w:trHeight w:val="641" w:hRule="atLeast"/>
        </w:trPr>
        <w:tc>
          <w:tcPr>
            <w:tcW w:w="5953" w:type="dxa"/>
            <w:gridSpan w:val="2"/>
            <w:tcBorders>
              <w:top w:val="single" w:color="000000" w:sz="4"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e sigla do departamento: Departamento de História - DEHIS</w:t>
            </w:r>
          </w:p>
        </w:tc>
        <w:tc>
          <w:tcPr>
            <w:tcW w:w="2926" w:type="dxa"/>
            <w:tcBorders>
              <w:top w:val="single" w:color="000000" w:sz="4"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Unidade acadêmica: ICHS</w:t>
            </w:r>
          </w:p>
        </w:tc>
      </w:tr>
      <w:tr>
        <w:tblPrEx>
          <w:tblCellMar>
            <w:top w:w="0" w:type="dxa"/>
            <w:left w:w="108" w:type="dxa"/>
            <w:bottom w:w="0" w:type="dxa"/>
            <w:right w:w="108" w:type="dxa"/>
          </w:tblCellMar>
        </w:tblPrEx>
        <w:trPr>
          <w:trHeight w:val="641" w:hRule="atLeast"/>
        </w:trPr>
        <w:tc>
          <w:tcPr>
            <w:tcW w:w="2917" w:type="dxa"/>
            <w:tcBorders>
              <w:top w:val="single" w:color="000000" w:sz="4" w:space="0"/>
              <w:left w:val="single" w:color="000000" w:sz="18" w:space="0"/>
              <w:bottom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Carga horária semestral</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 xml:space="preserve"> 60 horas</w:t>
            </w:r>
          </w:p>
        </w:tc>
        <w:tc>
          <w:tcPr>
            <w:tcW w:w="3036" w:type="dxa"/>
            <w:tcBorders>
              <w:top w:val="single" w:color="000000" w:sz="4" w:space="0"/>
              <w:left w:val="single" w:color="000000" w:sz="4" w:space="0"/>
              <w:bottom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 xml:space="preserve">Carga horária semanal teórica </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04 horas/aula</w:t>
            </w:r>
          </w:p>
        </w:tc>
        <w:tc>
          <w:tcPr>
            <w:tcW w:w="2926" w:type="dxa"/>
            <w:tcBorders>
              <w:top w:val="single" w:color="000000" w:sz="4" w:space="0"/>
              <w:left w:val="single" w:color="000000" w:sz="4" w:space="0"/>
              <w:bottom w:val="single" w:color="000000" w:sz="4" w:space="0"/>
              <w:right w:val="single" w:color="000000" w:sz="18"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Carga horária semanal prática</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00 horas/aula</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Ementa: Breve fundamentação teórica sobre o uso de fontes e linguagens na história. Fundamentação teórica e didática do uso de diferentes da cultura material no Ensino de História.  Apresentação de experiências de uso de fontes da cultura material no Ensino de História.</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Conteúdo programático: </w:t>
            </w:r>
          </w:p>
          <w:p>
            <w:pPr>
              <w:numPr>
                <w:ilvl w:val="0"/>
                <w:numId w:val="96"/>
              </w:numPr>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 xml:space="preserve"> Fontes e linguagens: fundamentos</w:t>
            </w:r>
          </w:p>
          <w:p>
            <w:pPr>
              <w:numPr>
                <w:ilvl w:val="0"/>
                <w:numId w:val="96"/>
              </w:numPr>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 xml:space="preserve"> Uso de fontes da cultura material no Ensino de História</w:t>
            </w:r>
          </w:p>
          <w:p>
            <w:pPr>
              <w:numPr>
                <w:ilvl w:val="0"/>
                <w:numId w:val="96"/>
              </w:numPr>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 xml:space="preserve"> Experiências de uso de fontes da cultura material no Ensino de História. </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Bibliografia básica: </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BITTENCOURT, Circe Maria Fernandes. Ensino de história: fundamentos e métodos . 4. ed. São Paulo: Cortez 2011.</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FONSECA, Selva Guimarães. Didática e prática de ensino de história: experiências, reflexões e aprendizados. 8. ed. Campinas: Papirus 2009. </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PINSKY, Carla Bassanezi; BACELLAR, Carlos de Almeida Prado. </w:t>
            </w:r>
            <w:r>
              <w:rPr>
                <w:rFonts w:ascii="Times New Roman" w:hAnsi="Times New Roman" w:eastAsia="Times New Roman" w:cs="Times New Roman"/>
                <w:b/>
              </w:rPr>
              <w:t>Fontes históricas. </w:t>
            </w:r>
            <w:r>
              <w:rPr>
                <w:rFonts w:ascii="Times New Roman" w:hAnsi="Times New Roman" w:eastAsia="Times New Roman" w:cs="Times New Roman"/>
              </w:rPr>
              <w:t>2. ed. São Paulo: Contexto, 2006.</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Bibliografia complementar: </w:t>
            </w:r>
          </w:p>
          <w:p>
            <w:pPr>
              <w:spacing w:line="360" w:lineRule="auto"/>
              <w:ind w:left="0" w:hanging="2"/>
              <w:rPr>
                <w:rFonts w:ascii="Times New Roman" w:hAnsi="Times New Roman" w:eastAsia="Times New Roman" w:cs="Times New Roman"/>
              </w:rPr>
            </w:pPr>
            <w:r>
              <w:rPr>
                <w:rFonts w:ascii="Times New Roman" w:hAnsi="Times New Roman" w:eastAsia="Times New Roman" w:cs="Times New Roman"/>
              </w:rPr>
              <w:t xml:space="preserve">CASTANHO, Gabriel de Carvalho G., SOUZA, Jorge Victor de Araújo. </w:t>
            </w:r>
            <w:r>
              <w:rPr>
                <w:rFonts w:ascii="Times New Roman" w:hAnsi="Times New Roman" w:eastAsia="Times New Roman" w:cs="Times New Roman"/>
                <w:b/>
              </w:rPr>
              <w:t>Dossiê Propostas e desafios nos usos de documentos históricos em sala de aula</w:t>
            </w:r>
            <w:r>
              <w:rPr>
                <w:rFonts w:ascii="Times New Roman" w:hAnsi="Times New Roman" w:eastAsia="Times New Roman" w:cs="Times New Roman"/>
              </w:rPr>
              <w:t xml:space="preserve">. Revista História Hoje, v. 6, nº 12, 2017. </w:t>
            </w:r>
            <w:r>
              <w:fldChar w:fldCharType="begin"/>
            </w:r>
            <w:r>
              <w:instrText xml:space="preserve"> HYPERLINK "https://doi.org/10.20949/rhhj.v6i12" \h </w:instrText>
            </w:r>
            <w:r>
              <w:fldChar w:fldCharType="separate"/>
            </w:r>
            <w:r>
              <w:rPr>
                <w:rFonts w:ascii="Times New Roman" w:hAnsi="Times New Roman" w:eastAsia="Times New Roman" w:cs="Times New Roman"/>
                <w:color w:val="0000FF"/>
                <w:u w:val="single"/>
              </w:rPr>
              <w:t>https://doi.org/10.20949/rhhj.v6i12</w:t>
            </w:r>
            <w:r>
              <w:rPr>
                <w:rFonts w:ascii="Times New Roman" w:hAnsi="Times New Roman" w:eastAsia="Times New Roman" w:cs="Times New Roman"/>
                <w:color w:val="0000FF"/>
                <w:u w:val="single"/>
              </w:rPr>
              <w:fldChar w:fldCharType="end"/>
            </w:r>
          </w:p>
          <w:p>
            <w:pPr>
              <w:spacing w:line="360" w:lineRule="auto"/>
              <w:ind w:left="0" w:hanging="2"/>
              <w:rPr>
                <w:rFonts w:ascii="Times New Roman" w:hAnsi="Times New Roman" w:cs="Times New Roman"/>
              </w:rPr>
            </w:pPr>
            <w:r>
              <w:rPr>
                <w:rFonts w:ascii="Times New Roman" w:hAnsi="Times New Roman" w:eastAsia="Times New Roman" w:cs="Times New Roman"/>
              </w:rPr>
              <w:t>HISTÓRIA e imagem: cinema, cidades, música, pintura, narrativas e iconografia . Rio de Janeiro: UFRJ, Instituto de Filosofia e Ciências Sociais [1998]. 369 p.</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MACHADO, Arthur Versiani. Filmes históricos no ensino de história. Jundiaí, SP: Paco Editorial, c2015. </w:t>
            </w:r>
          </w:p>
          <w:p>
            <w:pPr>
              <w:spacing w:line="360" w:lineRule="auto"/>
              <w:ind w:left="0" w:hanging="2"/>
              <w:rPr>
                <w:rFonts w:ascii="Times New Roman" w:hAnsi="Times New Roman" w:eastAsia="Times New Roman" w:cs="Times New Roman"/>
              </w:rPr>
            </w:pPr>
            <w:r>
              <w:rPr>
                <w:rFonts w:ascii="Times New Roman" w:hAnsi="Times New Roman" w:eastAsia="Times New Roman" w:cs="Times New Roman"/>
              </w:rPr>
              <w:t xml:space="preserve">SANTOS, Maria Aparecida Lima dos; AZEVEDO, Patrícia Bastos de. </w:t>
            </w:r>
            <w:r>
              <w:rPr>
                <w:rFonts w:ascii="Times New Roman" w:hAnsi="Times New Roman" w:eastAsia="Times New Roman" w:cs="Times New Roman"/>
                <w:b/>
              </w:rPr>
              <w:t>Dossiê Ensino de História e Linguagem: discurso, narrativa e práticas de significação do tempo.</w:t>
            </w:r>
            <w:r>
              <w:rPr>
                <w:rFonts w:ascii="Times New Roman" w:hAnsi="Times New Roman" w:eastAsia="Times New Roman" w:cs="Times New Roman"/>
              </w:rPr>
              <w:t xml:space="preserve"> Revista História Hoje, v. 4, nº 8, 2015. </w:t>
            </w:r>
            <w:r>
              <w:fldChar w:fldCharType="begin"/>
            </w:r>
            <w:r>
              <w:instrText xml:space="preserve"> HYPERLINK "https://doi.org/10.20949/RHHJ" \h </w:instrText>
            </w:r>
            <w:r>
              <w:fldChar w:fldCharType="separate"/>
            </w:r>
            <w:r>
              <w:rPr>
                <w:rFonts w:ascii="Times New Roman" w:hAnsi="Times New Roman" w:eastAsia="Times New Roman" w:cs="Times New Roman"/>
                <w:color w:val="0000FF"/>
                <w:u w:val="single"/>
              </w:rPr>
              <w:t>https://doi.org/10.20949/RHHJ</w:t>
            </w:r>
            <w:r>
              <w:rPr>
                <w:rFonts w:ascii="Times New Roman" w:hAnsi="Times New Roman" w:eastAsia="Times New Roman" w:cs="Times New Roman"/>
                <w:color w:val="0000FF"/>
                <w:u w:val="single"/>
              </w:rPr>
              <w:fldChar w:fldCharType="end"/>
            </w:r>
          </w:p>
          <w:p>
            <w:pPr>
              <w:shd w:val="clear" w:color="auto" w:fill="FFFFFF"/>
              <w:spacing w:line="360" w:lineRule="auto"/>
              <w:ind w:left="0" w:hanging="2"/>
              <w:rPr>
                <w:rFonts w:ascii="Times New Roman" w:hAnsi="Times New Roman" w:eastAsia="Times New Roman" w:cs="Times New Roman"/>
              </w:rPr>
            </w:pPr>
            <w:r>
              <w:rPr>
                <w:rFonts w:ascii="Times New Roman" w:hAnsi="Times New Roman" w:eastAsia="Times New Roman" w:cs="Times New Roman"/>
              </w:rPr>
              <w:t xml:space="preserve">SOARES, Olavo Pereira Soares; HERMETO, Miriam. </w:t>
            </w:r>
            <w:r>
              <w:fldChar w:fldCharType="begin"/>
            </w:r>
            <w:r>
              <w:instrText xml:space="preserve"> HYPERLINK "https://rhhj.anpuh.org/RHHJ/article/view/352" \h </w:instrText>
            </w:r>
            <w:r>
              <w:fldChar w:fldCharType="separate"/>
            </w:r>
            <w:r>
              <w:rPr>
                <w:rFonts w:ascii="Times New Roman" w:hAnsi="Times New Roman" w:eastAsia="Times New Roman" w:cs="Times New Roman"/>
                <w:b/>
                <w:color w:val="0000FF"/>
                <w:u w:val="single"/>
              </w:rPr>
              <w:t>Dossiê Música e Ensino de História</w:t>
            </w:r>
            <w:r>
              <w:rPr>
                <w:rFonts w:ascii="Times New Roman" w:hAnsi="Times New Roman" w:eastAsia="Times New Roman" w:cs="Times New Roman"/>
                <w:b/>
                <w:color w:val="0000FF"/>
                <w:u w:val="single"/>
              </w:rPr>
              <w:fldChar w:fldCharType="end"/>
            </w:r>
            <w:r>
              <w:rPr>
                <w:rFonts w:ascii="Times New Roman" w:hAnsi="Times New Roman" w:eastAsia="Times New Roman" w:cs="Times New Roman"/>
                <w:b/>
              </w:rPr>
              <w:t>.</w:t>
            </w:r>
            <w:r>
              <w:rPr>
                <w:rFonts w:ascii="Times New Roman" w:hAnsi="Times New Roman" w:eastAsia="Times New Roman" w:cs="Times New Roman"/>
              </w:rPr>
              <w:t xml:space="preserve"> Revista História Hoje, vol. 5, nº 10. </w:t>
            </w:r>
            <w:r>
              <w:fldChar w:fldCharType="begin"/>
            </w:r>
            <w:r>
              <w:instrText xml:space="preserve"> HYPERLINK "https://doi.org/10.20949/rhhj.v6i11" \h </w:instrText>
            </w:r>
            <w:r>
              <w:fldChar w:fldCharType="separate"/>
            </w:r>
            <w:r>
              <w:rPr>
                <w:rFonts w:ascii="Times New Roman" w:hAnsi="Times New Roman" w:eastAsia="Times New Roman" w:cs="Times New Roman"/>
                <w:color w:val="0000FF"/>
                <w:u w:val="single"/>
              </w:rPr>
              <w:t>https://doi.org/10.20949/rhhj.v6i11</w:t>
            </w:r>
            <w:r>
              <w:rPr>
                <w:rFonts w:ascii="Times New Roman" w:hAnsi="Times New Roman" w:eastAsia="Times New Roman" w:cs="Times New Roman"/>
                <w:color w:val="0000FF"/>
                <w:u w:val="single"/>
              </w:rPr>
              <w:fldChar w:fldCharType="end"/>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11"/>
        <w:tblW w:w="8879" w:type="dxa"/>
        <w:tblInd w:w="65" w:type="dxa"/>
        <w:tblLayout w:type="fixed"/>
        <w:tblCellMar>
          <w:top w:w="0" w:type="dxa"/>
          <w:left w:w="108" w:type="dxa"/>
          <w:bottom w:w="0" w:type="dxa"/>
          <w:right w:w="108" w:type="dxa"/>
        </w:tblCellMar>
      </w:tblPr>
      <w:tblGrid>
        <w:gridCol w:w="3009"/>
        <w:gridCol w:w="3119"/>
        <w:gridCol w:w="2751"/>
      </w:tblGrid>
      <w:tr>
        <w:tblPrEx>
          <w:tblCellMar>
            <w:top w:w="0" w:type="dxa"/>
            <w:left w:w="108" w:type="dxa"/>
            <w:bottom w:w="0" w:type="dxa"/>
            <w:right w:w="108" w:type="dxa"/>
          </w:tblCellMar>
        </w:tblPrEx>
        <w:tc>
          <w:tcPr>
            <w:tcW w:w="6128" w:type="dxa"/>
            <w:gridSpan w:val="2"/>
            <w:tcBorders>
              <w:top w:val="single" w:color="000000" w:sz="18" w:space="0"/>
              <w:left w:val="single" w:color="000000" w:sz="18" w:space="0"/>
              <w:bottom w:val="single" w:color="000000" w:sz="4"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Nome do Componente Curricular em português: Histórias Indígenas na América Hispânica II</w:t>
            </w:r>
          </w:p>
          <w:p>
            <w:pPr>
              <w:spacing w:line="360" w:lineRule="auto"/>
              <w:ind w:left="0" w:hanging="2"/>
              <w:rPr>
                <w:rFonts w:ascii="Times New Roman" w:hAnsi="Times New Roman" w:eastAsia="Times New Roman" w:cs="Times New Roman"/>
              </w:rPr>
            </w:pPr>
          </w:p>
          <w:p>
            <w:pPr>
              <w:spacing w:line="360" w:lineRule="auto"/>
              <w:ind w:left="0" w:hanging="2"/>
              <w:rPr>
                <w:rFonts w:ascii="Times New Roman" w:hAnsi="Times New Roman" w:cs="Times New Roman"/>
              </w:rPr>
            </w:pPr>
            <w:r>
              <w:rPr>
                <w:rFonts w:ascii="Times New Roman" w:hAnsi="Times New Roman" w:eastAsia="Times New Roman" w:cs="Times New Roman"/>
              </w:rPr>
              <w:t>Nome do Componente Curricular em inglês: Indigenous Histories in Hispanic America</w:t>
            </w:r>
          </w:p>
        </w:tc>
        <w:tc>
          <w:tcPr>
            <w:tcW w:w="2751" w:type="dxa"/>
            <w:tcBorders>
              <w:top w:val="single" w:color="000000" w:sz="18"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Código: HIS940</w:t>
            </w:r>
          </w:p>
        </w:tc>
      </w:tr>
      <w:tr>
        <w:tblPrEx>
          <w:tblCellMar>
            <w:top w:w="0" w:type="dxa"/>
            <w:left w:w="108" w:type="dxa"/>
            <w:bottom w:w="0" w:type="dxa"/>
            <w:right w:w="108" w:type="dxa"/>
          </w:tblCellMar>
        </w:tblPrEx>
        <w:trPr>
          <w:trHeight w:val="641" w:hRule="atLeast"/>
        </w:trPr>
        <w:tc>
          <w:tcPr>
            <w:tcW w:w="6128" w:type="dxa"/>
            <w:gridSpan w:val="2"/>
            <w:tcBorders>
              <w:top w:val="single" w:color="000000" w:sz="4"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e sigla do departamento:</w:t>
            </w:r>
          </w:p>
          <w:p>
            <w:pPr>
              <w:spacing w:line="360" w:lineRule="auto"/>
              <w:ind w:left="0" w:hanging="2"/>
              <w:rPr>
                <w:rFonts w:ascii="Times New Roman" w:hAnsi="Times New Roman" w:cs="Times New Roman"/>
              </w:rPr>
            </w:pPr>
            <w:r>
              <w:rPr>
                <w:rFonts w:ascii="Times New Roman" w:hAnsi="Times New Roman" w:eastAsia="Times New Roman" w:cs="Times New Roman"/>
              </w:rPr>
              <w:t>Departamento de História - DEHIS</w:t>
            </w:r>
          </w:p>
        </w:tc>
        <w:tc>
          <w:tcPr>
            <w:tcW w:w="2751" w:type="dxa"/>
            <w:tcBorders>
              <w:top w:val="single" w:color="000000" w:sz="4"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Unidade acadêmica: ICHS</w:t>
            </w:r>
          </w:p>
        </w:tc>
      </w:tr>
      <w:tr>
        <w:tblPrEx>
          <w:tblCellMar>
            <w:top w:w="0" w:type="dxa"/>
            <w:left w:w="108" w:type="dxa"/>
            <w:bottom w:w="0" w:type="dxa"/>
            <w:right w:w="108" w:type="dxa"/>
          </w:tblCellMar>
        </w:tblPrEx>
        <w:trPr>
          <w:trHeight w:val="641" w:hRule="atLeast"/>
        </w:trPr>
        <w:tc>
          <w:tcPr>
            <w:tcW w:w="3009" w:type="dxa"/>
            <w:tcBorders>
              <w:top w:val="single" w:color="000000" w:sz="4" w:space="0"/>
              <w:left w:val="single" w:color="000000" w:sz="18" w:space="0"/>
              <w:bottom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Carga horária semestral</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60 horas</w:t>
            </w:r>
          </w:p>
        </w:tc>
        <w:tc>
          <w:tcPr>
            <w:tcW w:w="3119" w:type="dxa"/>
            <w:tcBorders>
              <w:top w:val="single" w:color="000000" w:sz="4" w:space="0"/>
              <w:left w:val="single" w:color="000000" w:sz="4" w:space="0"/>
              <w:bottom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 xml:space="preserve">Carga horária semanal teórica </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04 horas/aula</w:t>
            </w:r>
          </w:p>
        </w:tc>
        <w:tc>
          <w:tcPr>
            <w:tcW w:w="2751" w:type="dxa"/>
            <w:tcBorders>
              <w:top w:val="single" w:color="000000" w:sz="4" w:space="0"/>
              <w:left w:val="single" w:color="000000" w:sz="4" w:space="0"/>
              <w:bottom w:val="single" w:color="000000" w:sz="4" w:space="0"/>
              <w:right w:val="single" w:color="000000" w:sz="18"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Carga horária semanal prática</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00 horas/aula</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Ementa: A proposta do curso é fazer uma reflexão sobre temas que envolvem a construção de histórias dos povos originários na América Hispânica, com ênfase em tratá-los como dinâmicos, ativos e construtores de suas histórias.</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Conteúdo programático: </w:t>
            </w:r>
          </w:p>
          <w:p>
            <w:pPr>
              <w:numPr>
                <w:ilvl w:val="0"/>
                <w:numId w:val="97"/>
              </w:numPr>
              <w:tabs>
                <w:tab w:val="left" w:pos="0"/>
                <w:tab w:val="left" w:pos="720"/>
              </w:tabs>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Histórias indígenas e “etnohistória”. </w:t>
            </w:r>
          </w:p>
          <w:p>
            <w:pPr>
              <w:numPr>
                <w:ilvl w:val="0"/>
                <w:numId w:val="97"/>
              </w:numPr>
              <w:tabs>
                <w:tab w:val="left" w:pos="0"/>
                <w:tab w:val="left" w:pos="720"/>
              </w:tabs>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Pluralização de narrativas históricas. </w:t>
            </w:r>
          </w:p>
          <w:p>
            <w:pPr>
              <w:numPr>
                <w:ilvl w:val="0"/>
                <w:numId w:val="97"/>
              </w:numPr>
              <w:tabs>
                <w:tab w:val="left" w:pos="0"/>
                <w:tab w:val="left" w:pos="720"/>
              </w:tabs>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Novas epistemologias em/sobre narrativas indígenas. </w:t>
            </w:r>
          </w:p>
          <w:p>
            <w:pPr>
              <w:numPr>
                <w:ilvl w:val="0"/>
                <w:numId w:val="97"/>
              </w:numPr>
              <w:tabs>
                <w:tab w:val="left" w:pos="0"/>
                <w:tab w:val="left" w:pos="720"/>
              </w:tabs>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História de conflitos interétnicos. </w:t>
            </w:r>
          </w:p>
          <w:p>
            <w:pPr>
              <w:numPr>
                <w:ilvl w:val="0"/>
                <w:numId w:val="97"/>
              </w:numPr>
              <w:tabs>
                <w:tab w:val="left" w:pos="0"/>
                <w:tab w:val="left" w:pos="720"/>
              </w:tabs>
              <w:spacing w:line="360" w:lineRule="auto"/>
              <w:ind w:left="0" w:hanging="2"/>
              <w:jc w:val="both"/>
              <w:rPr>
                <w:rFonts w:ascii="Times New Roman" w:hAnsi="Times New Roman" w:eastAsia="Times New Roman" w:cs="Times New Roman"/>
                <w:color w:val="1C1C1C"/>
              </w:rPr>
            </w:pPr>
            <w:r>
              <w:rPr>
                <w:rFonts w:ascii="Times New Roman" w:hAnsi="Times New Roman" w:eastAsia="Times New Roman" w:cs="Times New Roman"/>
                <w:color w:val="1C1C1C"/>
              </w:rPr>
              <w:t>Universidades indígenas e interculturais</w:t>
            </w:r>
          </w:p>
          <w:p>
            <w:pPr>
              <w:numPr>
                <w:ilvl w:val="0"/>
                <w:numId w:val="97"/>
              </w:numPr>
              <w:tabs>
                <w:tab w:val="left" w:pos="0"/>
                <w:tab w:val="left" w:pos="720"/>
              </w:tabs>
              <w:spacing w:after="200"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Pesquisadores indígenas. </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Bibliografia básica: </w:t>
            </w:r>
          </w:p>
          <w:p>
            <w:pPr>
              <w:spacing w:line="360" w:lineRule="auto"/>
              <w:ind w:left="0" w:right="166" w:hanging="2"/>
              <w:jc w:val="both"/>
              <w:rPr>
                <w:rFonts w:ascii="Times New Roman" w:hAnsi="Times New Roman" w:eastAsia="Times New Roman" w:cs="Times New Roman"/>
              </w:rPr>
            </w:pPr>
            <w:r>
              <w:rPr>
                <w:rFonts w:ascii="Times New Roman" w:hAnsi="Times New Roman" w:eastAsia="Times New Roman" w:cs="Times New Roman"/>
              </w:rPr>
              <w:t xml:space="preserve">CUSICANQUI, Silvia Rivera. Chhixinakax utxiwa. Una reflexión sobre prácticas y discursos colonizadores. In: YUPI, Mario (Comp.). </w:t>
            </w:r>
            <w:r>
              <w:rPr>
                <w:rFonts w:ascii="Times New Roman" w:hAnsi="Times New Roman" w:eastAsia="Times New Roman" w:cs="Times New Roman"/>
                <w:b/>
              </w:rPr>
              <w:t>Modernidad y pensamiento descolonizador</w:t>
            </w:r>
            <w:r>
              <w:rPr>
                <w:rFonts w:ascii="Times New Roman" w:hAnsi="Times New Roman" w:eastAsia="Times New Roman" w:cs="Times New Roman"/>
              </w:rPr>
              <w:t xml:space="preserve">. Memoria del Seminario Internacional. La Paz: U-PIEB – IFEA. Acesso em 16/07/2017. Disponível em: </w:t>
            </w:r>
            <w:r>
              <w:fldChar w:fldCharType="begin"/>
            </w:r>
            <w:r>
              <w:instrText xml:space="preserve"> HYPERLINK "http://www.ram-wan.net/restrepo/decolonial/24-rivera-discursos%20%20descolonizadores.pdf" \h </w:instrText>
            </w:r>
            <w:r>
              <w:fldChar w:fldCharType="separate"/>
            </w:r>
            <w:r>
              <w:rPr>
                <w:rFonts w:ascii="Times New Roman" w:hAnsi="Times New Roman" w:eastAsia="Times New Roman" w:cs="Times New Roman"/>
                <w:color w:val="0000FF"/>
                <w:u w:val="single"/>
              </w:rPr>
              <w:t>http://www.ram-wan.net/restrepo/decolonial/24-rivera-discursos%20%20descolonizadores.pdf</w:t>
            </w:r>
            <w:r>
              <w:rPr>
                <w:rFonts w:ascii="Times New Roman" w:hAnsi="Times New Roman" w:eastAsia="Times New Roman" w:cs="Times New Roman"/>
                <w:color w:val="0000FF"/>
                <w:u w:val="single"/>
              </w:rPr>
              <w:fldChar w:fldCharType="end"/>
            </w:r>
          </w:p>
          <w:p>
            <w:pPr>
              <w:pBdr>
                <w:top w:val="none" w:color="auto" w:sz="0" w:space="0"/>
                <w:left w:val="none" w:color="auto" w:sz="0" w:space="0"/>
                <w:bottom w:val="none" w:color="auto" w:sz="0" w:space="0"/>
                <w:right w:val="none" w:color="auto" w:sz="0" w:space="0"/>
                <w:between w:val="none" w:color="auto" w:sz="0" w:space="0"/>
              </w:pBdr>
              <w:spacing w:after="200" w:line="360" w:lineRule="auto"/>
              <w:ind w:left="0" w:right="166" w:hanging="2"/>
              <w:jc w:val="both"/>
              <w:rPr>
                <w:rFonts w:ascii="Times New Roman" w:hAnsi="Times New Roman" w:eastAsia="Calibri" w:cs="Times New Roman"/>
                <w:color w:val="000000"/>
              </w:rPr>
            </w:pPr>
            <w:r>
              <w:rPr>
                <w:rFonts w:ascii="Times New Roman" w:hAnsi="Times New Roman" w:eastAsia="Times New Roman" w:cs="Times New Roman"/>
                <w:color w:val="000000"/>
              </w:rPr>
              <w:t>MIRANDA, Claudia. O Debate Pós-Colonial na América-Latina: Contribuições de Silvia Rivera Cusicanqui e Santiago Castro-Gómez.</w:t>
            </w:r>
            <w:r>
              <w:rPr>
                <w:rFonts w:ascii="Times New Roman" w:hAnsi="Times New Roman" w:eastAsia="Times New Roman" w:cs="Times New Roman"/>
                <w:b/>
                <w:color w:val="000000"/>
              </w:rPr>
              <w:t xml:space="preserve"> Revista Interinstitucional Artes de Educar</w:t>
            </w:r>
            <w:r>
              <w:rPr>
                <w:rFonts w:ascii="Times New Roman" w:hAnsi="Times New Roman" w:eastAsia="Times New Roman" w:cs="Times New Roman"/>
                <w:color w:val="000000"/>
              </w:rPr>
              <w:t xml:space="preserve">.Rio de Janeiro, V. 3 N. 3 – pág. 213-232 (out/2017 – jan/2018). </w:t>
            </w:r>
          </w:p>
          <w:p>
            <w:pPr>
              <w:pBdr>
                <w:top w:val="none" w:color="auto" w:sz="0" w:space="0"/>
                <w:left w:val="none" w:color="auto" w:sz="0" w:space="0"/>
                <w:bottom w:val="none" w:color="auto" w:sz="0" w:space="0"/>
                <w:right w:val="none" w:color="auto" w:sz="0" w:space="0"/>
                <w:between w:val="none" w:color="auto" w:sz="0" w:space="0"/>
              </w:pBdr>
              <w:spacing w:after="200" w:line="360" w:lineRule="auto"/>
              <w:ind w:left="0" w:right="16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TZUL TZUL, Gladys. Mujeres indígenas: Historias de la reproducción de la vida en Guatemala. Una reflexión a partir de la visita de Silvia Federici. </w:t>
            </w:r>
            <w:r>
              <w:rPr>
                <w:rFonts w:ascii="Times New Roman" w:hAnsi="Times New Roman" w:eastAsia="Times New Roman" w:cs="Times New Roman"/>
                <w:b/>
                <w:color w:val="000000"/>
              </w:rPr>
              <w:t>Bajo el Volcán</w:t>
            </w:r>
            <w:r>
              <w:rPr>
                <w:rFonts w:ascii="Times New Roman" w:hAnsi="Times New Roman" w:eastAsia="Times New Roman" w:cs="Times New Roman"/>
                <w:color w:val="000000"/>
              </w:rPr>
              <w:t xml:space="preserve">, v. 15, n. 22, marzo-agosto, 2015, pp. 91-99. Acesso em 20/12/2018. Disponível em: </w:t>
            </w:r>
            <w:r>
              <w:fldChar w:fldCharType="begin"/>
            </w:r>
            <w:r>
              <w:instrText xml:space="preserve"> HYPERLINK "https://www.redalyc.org/pdf/286/28642148007.pdf" \h </w:instrText>
            </w:r>
            <w:r>
              <w:fldChar w:fldCharType="separate"/>
            </w:r>
            <w:r>
              <w:rPr>
                <w:rFonts w:ascii="Times New Roman" w:hAnsi="Times New Roman" w:eastAsia="Times New Roman" w:cs="Times New Roman"/>
                <w:color w:val="0000FF"/>
                <w:u w:val="single"/>
              </w:rPr>
              <w:t>https://www.redalyc.org/pdf/286/28642148007.pdf</w:t>
            </w:r>
            <w:r>
              <w:rPr>
                <w:rFonts w:ascii="Times New Roman" w:hAnsi="Times New Roman" w:eastAsia="Times New Roman" w:cs="Times New Roman"/>
                <w:color w:val="0000FF"/>
                <w:u w:val="single"/>
              </w:rPr>
              <w:fldChar w:fldCharType="end"/>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Bibliografia complementar: </w:t>
            </w:r>
          </w:p>
          <w:p>
            <w:pPr>
              <w:pBdr>
                <w:top w:val="none" w:color="auto" w:sz="0" w:space="0"/>
                <w:left w:val="none" w:color="auto" w:sz="0" w:space="0"/>
                <w:bottom w:val="none" w:color="auto" w:sz="0" w:space="0"/>
                <w:right w:val="none" w:color="auto" w:sz="0" w:space="0"/>
                <w:between w:val="none" w:color="auto" w:sz="0" w:space="0"/>
              </w:pBdr>
              <w:spacing w:line="360" w:lineRule="auto"/>
              <w:ind w:left="0" w:right="-67"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ABBONA, Anabela E.; ROCA, J. Ignacio (Eds.). </w:t>
            </w:r>
            <w:r>
              <w:rPr>
                <w:rFonts w:ascii="Times New Roman" w:hAnsi="Times New Roman" w:eastAsia="Times New Roman" w:cs="Times New Roman"/>
                <w:b/>
                <w:color w:val="000000"/>
              </w:rPr>
              <w:t>Los pueblos indígenas de América Latina : actas del II CIPIAL</w:t>
            </w:r>
            <w:r>
              <w:rPr>
                <w:rFonts w:ascii="Times New Roman" w:hAnsi="Times New Roman" w:eastAsia="Times New Roman" w:cs="Times New Roman"/>
                <w:color w:val="000000"/>
              </w:rPr>
              <w:t xml:space="preserve">. Santa Rosa: Universidad Nacional de La Pampa, 2018. Acesso em 20/12/2018. Disponível em: </w:t>
            </w:r>
            <w:r>
              <w:fldChar w:fldCharType="begin"/>
            </w:r>
            <w:r>
              <w:instrText xml:space="preserve"> HYPERLINK "http://www.unlpam.edu.ar/libro/i/?book=Los_pueblos_%20indigenas_de_Am_Lat.epub" \h </w:instrText>
            </w:r>
            <w:r>
              <w:fldChar w:fldCharType="separate"/>
            </w:r>
            <w:r>
              <w:rPr>
                <w:rFonts w:ascii="Times New Roman" w:hAnsi="Times New Roman" w:eastAsia="Times New Roman" w:cs="Times New Roman"/>
                <w:color w:val="0000FF"/>
                <w:u w:val="single"/>
              </w:rPr>
              <w:t>http://www.unlpam.edu.ar/libro/i/?book=Los_pueblos_%20indigenas_de_Am_Lat.epub</w:t>
            </w:r>
            <w:r>
              <w:rPr>
                <w:rFonts w:ascii="Times New Roman" w:hAnsi="Times New Roman" w:eastAsia="Times New Roman" w:cs="Times New Roman"/>
                <w:color w:val="0000FF"/>
                <w:u w:val="single"/>
              </w:rPr>
              <w:fldChar w:fldCharType="end"/>
            </w:r>
          </w:p>
          <w:p>
            <w:pPr>
              <w:pBdr>
                <w:top w:val="none" w:color="auto" w:sz="0" w:space="0"/>
                <w:left w:val="none" w:color="auto" w:sz="0" w:space="0"/>
                <w:bottom w:val="none" w:color="auto" w:sz="0" w:space="0"/>
                <w:right w:val="none" w:color="auto" w:sz="0" w:space="0"/>
                <w:between w:val="none" w:color="auto" w:sz="0" w:space="0"/>
              </w:pBdr>
              <w:spacing w:line="360" w:lineRule="auto"/>
              <w:ind w:left="0" w:right="-67"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FERNÁNDEZ, Blanca; SEPÚLVEDA Bastien. Pueblos indígenas, saberes y descolonización: procesos interculturales en América Latina. Polis revista latinoamericana, n. 38, 2014. Disponível em: https://polis.revues.org/10323. Acesso em: 16/07/2017. </w:t>
            </w:r>
          </w:p>
          <w:p>
            <w:pPr>
              <w:pBdr>
                <w:top w:val="none" w:color="auto" w:sz="0" w:space="0"/>
                <w:left w:val="none" w:color="auto" w:sz="0" w:space="0"/>
                <w:bottom w:val="none" w:color="auto" w:sz="0" w:space="0"/>
                <w:right w:val="none" w:color="auto" w:sz="0" w:space="0"/>
                <w:between w:val="none" w:color="auto" w:sz="0" w:space="0"/>
              </w:pBdr>
              <w:spacing w:line="360" w:lineRule="auto"/>
              <w:ind w:left="0" w:right="-67"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MANDRINI, Raúl. Prejuicios, mitos y estereotipos. El complejo camino de construir una historia de los aborígenes de las llanuras y planicies meridionales de la actual Argentina. Revista Eletrônica da ANPHLAC, n. 17, p. 325-354, jul./dez. 2014.</w:t>
            </w:r>
          </w:p>
          <w:p>
            <w:pPr>
              <w:spacing w:line="360" w:lineRule="auto"/>
              <w:ind w:left="0" w:right="-67" w:hanging="2"/>
              <w:jc w:val="both"/>
              <w:rPr>
                <w:rFonts w:ascii="Times New Roman" w:hAnsi="Times New Roman" w:cs="Times New Roman"/>
              </w:rPr>
            </w:pPr>
            <w:r>
              <w:rPr>
                <w:rFonts w:ascii="Times New Roman" w:hAnsi="Times New Roman" w:eastAsia="Times New Roman" w:cs="Times New Roman"/>
              </w:rPr>
              <w:t xml:space="preserve">MARIMÁN QUEMENADO, Pablo </w:t>
            </w:r>
            <w:r>
              <w:rPr>
                <w:rFonts w:ascii="Times New Roman" w:hAnsi="Times New Roman" w:eastAsia="Times New Roman" w:cs="Times New Roman"/>
                <w:i/>
              </w:rPr>
              <w:t>et</w:t>
            </w:r>
            <w:r>
              <w:rPr>
                <w:rFonts w:ascii="Times New Roman" w:hAnsi="Times New Roman" w:eastAsia="Times New Roman" w:cs="Times New Roman"/>
              </w:rPr>
              <w:t xml:space="preserve">. </w:t>
            </w:r>
            <w:r>
              <w:rPr>
                <w:rFonts w:ascii="Times New Roman" w:hAnsi="Times New Roman" w:eastAsia="Times New Roman" w:cs="Times New Roman"/>
                <w:i/>
              </w:rPr>
              <w:t>al.</w:t>
            </w:r>
            <w:r>
              <w:rPr>
                <w:rFonts w:ascii="Times New Roman" w:hAnsi="Times New Roman" w:eastAsia="Times New Roman" w:cs="Times New Roman"/>
                <w:b/>
              </w:rPr>
              <w:t>Escucha Winka</w:t>
            </w:r>
            <w:r>
              <w:rPr>
                <w:rFonts w:ascii="Times New Roman" w:hAnsi="Times New Roman" w:eastAsia="Times New Roman" w:cs="Times New Roman"/>
              </w:rPr>
              <w:t>. Santiago: LOM Ediciones, 2006.</w:t>
            </w:r>
          </w:p>
          <w:p>
            <w:pPr>
              <w:spacing w:line="360" w:lineRule="auto"/>
              <w:ind w:left="0" w:right="-67" w:hanging="2"/>
              <w:jc w:val="both"/>
              <w:rPr>
                <w:rFonts w:ascii="Times New Roman" w:hAnsi="Times New Roman" w:cs="Times New Roman"/>
              </w:rPr>
            </w:pPr>
            <w:r>
              <w:rPr>
                <w:rFonts w:ascii="Times New Roman" w:hAnsi="Times New Roman" w:eastAsia="Times New Roman" w:cs="Times New Roman"/>
              </w:rPr>
              <w:t xml:space="preserve">OLIVEIRA, SR. Ensino de História indígena: trabalhando com narrativas coloniais e </w:t>
            </w:r>
          </w:p>
          <w:p>
            <w:pPr>
              <w:spacing w:line="360" w:lineRule="auto"/>
              <w:ind w:left="0" w:right="-67" w:hanging="2"/>
              <w:jc w:val="both"/>
              <w:rPr>
                <w:rFonts w:ascii="Times New Roman" w:hAnsi="Times New Roman" w:cs="Times New Roman"/>
              </w:rPr>
            </w:pPr>
            <w:r>
              <w:rPr>
                <w:rFonts w:ascii="Times New Roman" w:hAnsi="Times New Roman" w:eastAsia="Times New Roman" w:cs="Times New Roman"/>
              </w:rPr>
              <w:t xml:space="preserve">representações sociais. In: PORTUGAL, AR., and HURTADO, LR., orgs. Representações </w:t>
            </w:r>
          </w:p>
          <w:p>
            <w:pPr>
              <w:spacing w:line="360" w:lineRule="auto"/>
              <w:ind w:left="0" w:right="-67" w:hanging="2"/>
              <w:jc w:val="both"/>
              <w:rPr>
                <w:rFonts w:ascii="Times New Roman" w:hAnsi="Times New Roman" w:cs="Times New Roman"/>
              </w:rPr>
            </w:pPr>
            <w:r>
              <w:rPr>
                <w:rFonts w:ascii="Times New Roman" w:hAnsi="Times New Roman" w:eastAsia="Times New Roman" w:cs="Times New Roman"/>
              </w:rPr>
              <w:t xml:space="preserve">culturais da América indígena [online]. São Paulo: Editora UNESP; São Paulo: Cultura </w:t>
            </w:r>
          </w:p>
          <w:p>
            <w:pPr>
              <w:spacing w:line="360" w:lineRule="auto"/>
              <w:ind w:left="0" w:right="-67" w:hanging="2"/>
              <w:jc w:val="both"/>
              <w:rPr>
                <w:rFonts w:ascii="Times New Roman" w:hAnsi="Times New Roman" w:cs="Times New Roman"/>
              </w:rPr>
            </w:pPr>
            <w:r>
              <w:rPr>
                <w:rFonts w:ascii="Times New Roman" w:hAnsi="Times New Roman" w:eastAsia="Times New Roman" w:cs="Times New Roman"/>
              </w:rPr>
              <w:t>Acadêmica, 2015. Desafios contemporâneos collection, p. 59-80. ISBN 978-85-7983-629-9. Available from SciELO Books &lt;http://books.scielo.org&gt;.</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12"/>
        <w:tblW w:w="8879" w:type="dxa"/>
        <w:tblInd w:w="65" w:type="dxa"/>
        <w:tblLayout w:type="fixed"/>
        <w:tblCellMar>
          <w:top w:w="0" w:type="dxa"/>
          <w:left w:w="108" w:type="dxa"/>
          <w:bottom w:w="0" w:type="dxa"/>
          <w:right w:w="108" w:type="dxa"/>
        </w:tblCellMar>
      </w:tblPr>
      <w:tblGrid>
        <w:gridCol w:w="3009"/>
        <w:gridCol w:w="3119"/>
        <w:gridCol w:w="2751"/>
      </w:tblGrid>
      <w:tr>
        <w:tblPrEx>
          <w:tblCellMar>
            <w:top w:w="0" w:type="dxa"/>
            <w:left w:w="108" w:type="dxa"/>
            <w:bottom w:w="0" w:type="dxa"/>
            <w:right w:w="108" w:type="dxa"/>
          </w:tblCellMar>
        </w:tblPrEx>
        <w:tc>
          <w:tcPr>
            <w:tcW w:w="6128" w:type="dxa"/>
            <w:gridSpan w:val="2"/>
            <w:tcBorders>
              <w:top w:val="single" w:color="000000" w:sz="18" w:space="0"/>
              <w:left w:val="single" w:color="000000" w:sz="18" w:space="0"/>
              <w:bottom w:val="single" w:color="000000" w:sz="4" w:space="0"/>
            </w:tcBorders>
          </w:tcPr>
          <w:p>
            <w:pPr>
              <w:widowControl w:val="0"/>
              <w:spacing w:line="360" w:lineRule="auto"/>
              <w:ind w:left="0" w:right="-660" w:hanging="2"/>
              <w:rPr>
                <w:rFonts w:ascii="Times New Roman" w:hAnsi="Times New Roman" w:cs="Times New Roman"/>
              </w:rPr>
            </w:pPr>
            <w:r>
              <w:rPr>
                <w:rFonts w:ascii="Times New Roman" w:hAnsi="Times New Roman" w:eastAsia="Times New Roman" w:cs="Times New Roman"/>
              </w:rPr>
              <w:t>Nome do Componente Curricular em português: Cinema, Historiografia e Memória na América Latina Contemporânea</w:t>
            </w:r>
          </w:p>
          <w:p>
            <w:pPr>
              <w:spacing w:line="360" w:lineRule="auto"/>
              <w:ind w:left="0" w:hanging="2"/>
              <w:rPr>
                <w:rFonts w:ascii="Times New Roman" w:hAnsi="Times New Roman" w:eastAsia="Times New Roman" w:cs="Times New Roman"/>
              </w:rPr>
            </w:pPr>
          </w:p>
          <w:p>
            <w:pPr>
              <w:spacing w:line="360" w:lineRule="auto"/>
              <w:ind w:left="0" w:hanging="2"/>
              <w:jc w:val="both"/>
              <w:rPr>
                <w:rFonts w:ascii="Times New Roman" w:hAnsi="Times New Roman" w:cs="Times New Roman"/>
              </w:rPr>
            </w:pPr>
            <w:r>
              <w:rPr>
                <w:rFonts w:ascii="Times New Roman" w:hAnsi="Times New Roman" w:eastAsia="Times New Roman" w:cs="Times New Roman"/>
              </w:rPr>
              <w:t>Nome do Componente Curricular em inglês: Cinema, Historiography and Memories in Contemporary Latin America</w:t>
            </w:r>
          </w:p>
        </w:tc>
        <w:tc>
          <w:tcPr>
            <w:tcW w:w="2751" w:type="dxa"/>
            <w:tcBorders>
              <w:top w:val="single" w:color="000000" w:sz="18"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Código: HIS941</w:t>
            </w:r>
          </w:p>
        </w:tc>
      </w:tr>
      <w:tr>
        <w:tblPrEx>
          <w:tblCellMar>
            <w:top w:w="0" w:type="dxa"/>
            <w:left w:w="108" w:type="dxa"/>
            <w:bottom w:w="0" w:type="dxa"/>
            <w:right w:w="108" w:type="dxa"/>
          </w:tblCellMar>
        </w:tblPrEx>
        <w:trPr>
          <w:trHeight w:val="641" w:hRule="atLeast"/>
        </w:trPr>
        <w:tc>
          <w:tcPr>
            <w:tcW w:w="6128" w:type="dxa"/>
            <w:gridSpan w:val="2"/>
            <w:tcBorders>
              <w:top w:val="single" w:color="000000" w:sz="4"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e sigla do departamento:</w:t>
            </w:r>
          </w:p>
          <w:p>
            <w:pPr>
              <w:spacing w:line="360" w:lineRule="auto"/>
              <w:ind w:left="0" w:hanging="2"/>
              <w:rPr>
                <w:rFonts w:ascii="Times New Roman" w:hAnsi="Times New Roman" w:cs="Times New Roman"/>
              </w:rPr>
            </w:pPr>
            <w:r>
              <w:rPr>
                <w:rFonts w:ascii="Times New Roman" w:hAnsi="Times New Roman" w:eastAsia="Times New Roman" w:cs="Times New Roman"/>
              </w:rPr>
              <w:t>Departamento de História - DEHIS</w:t>
            </w:r>
          </w:p>
        </w:tc>
        <w:tc>
          <w:tcPr>
            <w:tcW w:w="2751" w:type="dxa"/>
            <w:tcBorders>
              <w:top w:val="single" w:color="000000" w:sz="4"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Unidade acadêmica: ICHS</w:t>
            </w:r>
          </w:p>
        </w:tc>
      </w:tr>
      <w:tr>
        <w:tblPrEx>
          <w:tblCellMar>
            <w:top w:w="0" w:type="dxa"/>
            <w:left w:w="108" w:type="dxa"/>
            <w:bottom w:w="0" w:type="dxa"/>
            <w:right w:w="108" w:type="dxa"/>
          </w:tblCellMar>
        </w:tblPrEx>
        <w:trPr>
          <w:trHeight w:val="641" w:hRule="atLeast"/>
        </w:trPr>
        <w:tc>
          <w:tcPr>
            <w:tcW w:w="3009" w:type="dxa"/>
            <w:tcBorders>
              <w:top w:val="single" w:color="000000" w:sz="4" w:space="0"/>
              <w:left w:val="single" w:color="000000" w:sz="18" w:space="0"/>
              <w:bottom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Carga horária semestral</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60 horas</w:t>
            </w:r>
          </w:p>
        </w:tc>
        <w:tc>
          <w:tcPr>
            <w:tcW w:w="3119" w:type="dxa"/>
            <w:tcBorders>
              <w:top w:val="single" w:color="000000" w:sz="4" w:space="0"/>
              <w:left w:val="single" w:color="000000" w:sz="4" w:space="0"/>
              <w:bottom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 xml:space="preserve">Carga horária semanal teórica </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04 horas/aula</w:t>
            </w:r>
          </w:p>
        </w:tc>
        <w:tc>
          <w:tcPr>
            <w:tcW w:w="2751" w:type="dxa"/>
            <w:tcBorders>
              <w:top w:val="single" w:color="000000" w:sz="4" w:space="0"/>
              <w:left w:val="single" w:color="000000" w:sz="4" w:space="0"/>
              <w:bottom w:val="single" w:color="000000" w:sz="4" w:space="0"/>
              <w:right w:val="single" w:color="000000" w:sz="18"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Carga horária semanal prática</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00 horas/aula</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Ementa: </w:t>
            </w:r>
            <w:r>
              <w:rPr>
                <w:rFonts w:ascii="Times New Roman" w:hAnsi="Times New Roman" w:eastAsia="Times New Roman" w:cs="Times New Roman"/>
                <w:color w:val="000000"/>
              </w:rPr>
              <w:t>O objetivo do curso é fazer uma reflexão sobre cinema e história na América Latina, entre as décadas de 1960 e os inícios do século XXI, com ênfase sobre os debates entre memória e historiografia.</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Conteúdo programático: </w:t>
            </w:r>
          </w:p>
          <w:p>
            <w:pPr>
              <w:numPr>
                <w:ilvl w:val="0"/>
                <w:numId w:val="98"/>
              </w:numPr>
              <w:tabs>
                <w:tab w:val="left" w:pos="0"/>
                <w:tab w:val="left" w:pos="720"/>
              </w:tabs>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 xml:space="preserve">Fronteira e migrações entre a América Latina e os Estados Unidos. Filmes </w:t>
            </w:r>
            <w:r>
              <w:rPr>
                <w:rFonts w:ascii="Times New Roman" w:hAnsi="Times New Roman" w:eastAsia="Times New Roman" w:cs="Times New Roman"/>
                <w:i/>
              </w:rPr>
              <w:t>La Bestia</w:t>
            </w:r>
            <w:r>
              <w:rPr>
                <w:rFonts w:ascii="Times New Roman" w:hAnsi="Times New Roman" w:eastAsia="Times New Roman" w:cs="Times New Roman"/>
              </w:rPr>
              <w:t xml:space="preserve">, </w:t>
            </w:r>
            <w:r>
              <w:rPr>
                <w:rFonts w:ascii="Times New Roman" w:hAnsi="Times New Roman" w:eastAsia="Times New Roman" w:cs="Times New Roman"/>
                <w:i/>
              </w:rPr>
              <w:t xml:space="preserve">Um dia sem mexicanos </w:t>
            </w:r>
            <w:r>
              <w:rPr>
                <w:rFonts w:ascii="Times New Roman" w:hAnsi="Times New Roman" w:eastAsia="Times New Roman" w:cs="Times New Roman"/>
              </w:rPr>
              <w:t xml:space="preserve">e </w:t>
            </w:r>
            <w:r>
              <w:rPr>
                <w:rFonts w:ascii="Times New Roman" w:hAnsi="Times New Roman" w:eastAsia="Times New Roman" w:cs="Times New Roman"/>
                <w:i/>
              </w:rPr>
              <w:t>Babel</w:t>
            </w:r>
            <w:r>
              <w:rPr>
                <w:rFonts w:ascii="Times New Roman" w:hAnsi="Times New Roman" w:eastAsia="Times New Roman" w:cs="Times New Roman"/>
              </w:rPr>
              <w:t>.</w:t>
            </w:r>
          </w:p>
          <w:p>
            <w:pPr>
              <w:numPr>
                <w:ilvl w:val="0"/>
                <w:numId w:val="98"/>
              </w:numPr>
              <w:tabs>
                <w:tab w:val="left" w:pos="0"/>
                <w:tab w:val="left" w:pos="720"/>
              </w:tabs>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 xml:space="preserve">Memórias e historiografia sobre as ditaduras argentinas (1966-1970 e 1976-1983). Filmes: </w:t>
            </w:r>
            <w:r>
              <w:rPr>
                <w:rFonts w:ascii="Times New Roman" w:hAnsi="Times New Roman" w:eastAsia="Times New Roman" w:cs="Times New Roman"/>
                <w:i/>
              </w:rPr>
              <w:t>La Historia Oficial</w:t>
            </w:r>
            <w:r>
              <w:rPr>
                <w:rFonts w:ascii="Times New Roman" w:hAnsi="Times New Roman" w:eastAsia="Times New Roman" w:cs="Times New Roman"/>
              </w:rPr>
              <w:t xml:space="preserve">, </w:t>
            </w:r>
            <w:r>
              <w:rPr>
                <w:rFonts w:ascii="Times New Roman" w:hAnsi="Times New Roman" w:eastAsia="Times New Roman" w:cs="Times New Roman"/>
                <w:i/>
              </w:rPr>
              <w:t>La noche de los lápices, Iluminados por el fuego</w:t>
            </w:r>
            <w:r>
              <w:rPr>
                <w:rFonts w:ascii="Times New Roman" w:hAnsi="Times New Roman" w:eastAsia="Times New Roman" w:cs="Times New Roman"/>
              </w:rPr>
              <w:t xml:space="preserve">, </w:t>
            </w:r>
            <w:r>
              <w:rPr>
                <w:rFonts w:ascii="Times New Roman" w:hAnsi="Times New Roman" w:eastAsia="Times New Roman" w:cs="Times New Roman"/>
                <w:i/>
              </w:rPr>
              <w:t xml:space="preserve">Mercedes Sosa: A voz da América Latina </w:t>
            </w:r>
            <w:r>
              <w:rPr>
                <w:rFonts w:ascii="Times New Roman" w:hAnsi="Times New Roman" w:eastAsia="Times New Roman" w:cs="Times New Roman"/>
              </w:rPr>
              <w:t xml:space="preserve">e </w:t>
            </w:r>
            <w:r>
              <w:rPr>
                <w:rFonts w:ascii="Times New Roman" w:hAnsi="Times New Roman" w:eastAsia="Times New Roman" w:cs="Times New Roman"/>
                <w:i/>
                <w:color w:val="000000"/>
              </w:rPr>
              <w:t>Kóblic.</w:t>
            </w:r>
          </w:p>
          <w:p>
            <w:pPr>
              <w:numPr>
                <w:ilvl w:val="0"/>
                <w:numId w:val="98"/>
              </w:numPr>
              <w:tabs>
                <w:tab w:val="left" w:pos="0"/>
                <w:tab w:val="left" w:pos="720"/>
              </w:tabs>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 xml:space="preserve"> O Chile nas telas do cinema e nas páginas da história Filmes </w:t>
            </w:r>
            <w:r>
              <w:rPr>
                <w:rFonts w:ascii="Times New Roman" w:hAnsi="Times New Roman" w:eastAsia="Times New Roman" w:cs="Times New Roman"/>
                <w:i/>
              </w:rPr>
              <w:t>La Batalla de Chile, La memoria obstinada</w:t>
            </w:r>
            <w:r>
              <w:rPr>
                <w:rFonts w:ascii="Times New Roman" w:hAnsi="Times New Roman" w:eastAsia="Times New Roman" w:cs="Times New Roman"/>
              </w:rPr>
              <w:t>,</w:t>
            </w:r>
            <w:r>
              <w:rPr>
                <w:rFonts w:ascii="Times New Roman" w:hAnsi="Times New Roman" w:eastAsia="Times New Roman" w:cs="Times New Roman"/>
                <w:i/>
              </w:rPr>
              <w:t xml:space="preserve"> Machuca</w:t>
            </w:r>
            <w:r>
              <w:rPr>
                <w:rFonts w:ascii="Times New Roman" w:hAnsi="Times New Roman" w:eastAsia="Times New Roman" w:cs="Times New Roman"/>
              </w:rPr>
              <w:t xml:space="preserve">, </w:t>
            </w:r>
            <w:r>
              <w:rPr>
                <w:rFonts w:ascii="Times New Roman" w:hAnsi="Times New Roman" w:eastAsia="Times New Roman" w:cs="Times New Roman"/>
                <w:i/>
              </w:rPr>
              <w:t>No</w:t>
            </w:r>
            <w:r>
              <w:rPr>
                <w:rFonts w:ascii="Times New Roman" w:hAnsi="Times New Roman" w:eastAsia="Times New Roman" w:cs="Times New Roman"/>
              </w:rPr>
              <w:t xml:space="preserve">, </w:t>
            </w:r>
            <w:r>
              <w:rPr>
                <w:rFonts w:ascii="Times New Roman" w:hAnsi="Times New Roman" w:eastAsia="Times New Roman" w:cs="Times New Roman"/>
                <w:i/>
              </w:rPr>
              <w:t xml:space="preserve">Nostalgia de la Luz. </w:t>
            </w:r>
          </w:p>
          <w:p>
            <w:pPr>
              <w:numPr>
                <w:ilvl w:val="0"/>
                <w:numId w:val="98"/>
              </w:numPr>
              <w:tabs>
                <w:tab w:val="left" w:pos="0"/>
                <w:tab w:val="left" w:pos="720"/>
              </w:tabs>
              <w:spacing w:after="200"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 xml:space="preserve">A ditadura uruguaia no cinema, por meio do filme </w:t>
            </w:r>
            <w:r>
              <w:rPr>
                <w:rFonts w:ascii="Times New Roman" w:hAnsi="Times New Roman" w:eastAsia="Times New Roman" w:cs="Times New Roman"/>
                <w:i/>
              </w:rPr>
              <w:t>Uma noche de doce años</w:t>
            </w:r>
            <w:r>
              <w:rPr>
                <w:rFonts w:ascii="Times New Roman" w:hAnsi="Times New Roman" w:eastAsia="Times New Roman" w:cs="Times New Roman"/>
              </w:rPr>
              <w:t>.</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Bibliografia básica: </w:t>
            </w:r>
          </w:p>
          <w:p>
            <w:pPr>
              <w:spacing w:line="360" w:lineRule="auto"/>
              <w:ind w:left="0" w:right="19" w:hanging="2"/>
              <w:rPr>
                <w:rFonts w:ascii="Times New Roman" w:hAnsi="Times New Roman" w:cs="Times New Roman"/>
              </w:rPr>
            </w:pPr>
            <w:r>
              <w:rPr>
                <w:rFonts w:ascii="Times New Roman" w:hAnsi="Times New Roman" w:eastAsia="Times New Roman" w:cs="Times New Roman"/>
                <w:color w:val="000000"/>
              </w:rPr>
              <w:t xml:space="preserve">FERRO, Marc. O filme: uma contra análise da sociedade? In: </w:t>
            </w:r>
            <w:r>
              <w:rPr>
                <w:rFonts w:ascii="Times New Roman" w:hAnsi="Times New Roman" w:eastAsia="Times New Roman" w:cs="Times New Roman"/>
                <w:b/>
                <w:color w:val="000000"/>
              </w:rPr>
              <w:t>Cinema e história</w:t>
            </w:r>
            <w:r>
              <w:rPr>
                <w:rFonts w:ascii="Times New Roman" w:hAnsi="Times New Roman" w:eastAsia="Times New Roman" w:cs="Times New Roman"/>
                <w:color w:val="000000"/>
              </w:rPr>
              <w:t xml:space="preserve">. Rio de Janeiro: Paz e Terra,  1992, p. 79-115. </w:t>
            </w:r>
          </w:p>
          <w:p>
            <w:pPr>
              <w:spacing w:line="360" w:lineRule="auto"/>
              <w:ind w:left="0" w:right="19" w:hanging="2"/>
              <w:rPr>
                <w:rFonts w:ascii="Times New Roman" w:hAnsi="Times New Roman" w:cs="Times New Roman"/>
              </w:rPr>
            </w:pPr>
            <w:r>
              <w:rPr>
                <w:rFonts w:ascii="Times New Roman" w:hAnsi="Times New Roman" w:eastAsia="Times New Roman" w:cs="Times New Roman"/>
                <w:color w:val="000000"/>
              </w:rPr>
              <w:t xml:space="preserve">FICO, C; FERREIRA, M.; ARAÚJO, M. P., QUADRAT, S. V. (Orgs.). </w:t>
            </w:r>
            <w:r>
              <w:rPr>
                <w:rFonts w:ascii="Times New Roman" w:hAnsi="Times New Roman" w:eastAsia="Times New Roman" w:cs="Times New Roman"/>
                <w:b/>
                <w:color w:val="000000"/>
              </w:rPr>
              <w:t>Ditadura e democracia na América Latina</w:t>
            </w:r>
            <w:r>
              <w:rPr>
                <w:rFonts w:ascii="Times New Roman" w:hAnsi="Times New Roman" w:eastAsia="Times New Roman" w:cs="Times New Roman"/>
                <w:color w:val="000000"/>
              </w:rPr>
              <w:t>. Balanço histórico e perspectivas. Rio de Janeiro: FGV Editora, 2008.</w:t>
            </w:r>
          </w:p>
          <w:p>
            <w:pPr>
              <w:pBdr>
                <w:top w:val="none" w:color="auto" w:sz="0" w:space="0"/>
                <w:left w:val="none" w:color="auto" w:sz="0" w:space="0"/>
                <w:bottom w:val="none" w:color="auto" w:sz="0" w:space="0"/>
                <w:right w:val="none" w:color="auto" w:sz="0" w:space="0"/>
                <w:between w:val="none" w:color="auto" w:sz="0" w:space="0"/>
              </w:pBdr>
              <w:spacing w:line="360" w:lineRule="auto"/>
              <w:ind w:left="0" w:right="19" w:hanging="2"/>
              <w:rPr>
                <w:rFonts w:ascii="Times New Roman" w:hAnsi="Times New Roman" w:eastAsia="Calibri" w:cs="Times New Roman"/>
                <w:color w:val="000000"/>
              </w:rPr>
            </w:pPr>
            <w:r>
              <w:rPr>
                <w:rFonts w:ascii="Times New Roman" w:hAnsi="Times New Roman" w:eastAsia="Times New Roman" w:cs="Times New Roman"/>
                <w:color w:val="000000"/>
              </w:rPr>
              <w:t xml:space="preserve">JÚNIOR, F. D. C. F. Cinema e Historiografia: trajetória de um objeto historiográfico (1971- 2010). </w:t>
            </w:r>
            <w:r>
              <w:rPr>
                <w:rFonts w:ascii="Times New Roman" w:hAnsi="Times New Roman" w:eastAsia="Times New Roman" w:cs="Times New Roman"/>
                <w:b/>
                <w:color w:val="000000"/>
              </w:rPr>
              <w:t>História da Historiografia</w:t>
            </w:r>
            <w:r>
              <w:rPr>
                <w:rFonts w:ascii="Times New Roman" w:hAnsi="Times New Roman" w:eastAsia="Times New Roman" w:cs="Times New Roman"/>
                <w:color w:val="000000"/>
              </w:rPr>
              <w:t xml:space="preserve">, Universidade Federal de Ouro Preto n. 8, p. 151-173, Abr. 2012. </w:t>
            </w:r>
          </w:p>
          <w:p>
            <w:pPr>
              <w:spacing w:line="360" w:lineRule="auto"/>
              <w:ind w:left="0" w:right="19" w:hanging="2"/>
              <w:rPr>
                <w:rFonts w:ascii="Times New Roman" w:hAnsi="Times New Roman" w:cs="Times New Roman"/>
              </w:rPr>
            </w:pPr>
            <w:r>
              <w:rPr>
                <w:rFonts w:ascii="Times New Roman" w:hAnsi="Times New Roman" w:eastAsia="Times New Roman" w:cs="Times New Roman"/>
                <w:color w:val="000000"/>
              </w:rPr>
              <w:t xml:space="preserve">MAGALHÃES, Olga; ALFACE, Henriqueta. O cinema como recurso pedagógico na aula de história. In: CAINELLI, Marlene; SCHIMIDT, Maria Auxiliadora. </w:t>
            </w:r>
            <w:r>
              <w:rPr>
                <w:rFonts w:ascii="Times New Roman" w:hAnsi="Times New Roman" w:eastAsia="Times New Roman" w:cs="Times New Roman"/>
                <w:b/>
                <w:color w:val="000000"/>
              </w:rPr>
              <w:t>Educação histórica: teoria e pesquisa</w:t>
            </w:r>
            <w:r>
              <w:rPr>
                <w:rFonts w:ascii="Times New Roman" w:hAnsi="Times New Roman" w:eastAsia="Times New Roman" w:cs="Times New Roman"/>
                <w:color w:val="000000"/>
              </w:rPr>
              <w:t>. Ijuí: Ed. Unijuí, 2011, p. 249-268.</w:t>
            </w:r>
          </w:p>
          <w:p>
            <w:pPr>
              <w:spacing w:line="360" w:lineRule="auto"/>
              <w:ind w:left="0" w:right="19" w:hanging="2"/>
              <w:rPr>
                <w:rFonts w:ascii="Times New Roman" w:hAnsi="Times New Roman" w:cs="Times New Roman"/>
              </w:rPr>
            </w:pPr>
            <w:r>
              <w:rPr>
                <w:rFonts w:ascii="Times New Roman" w:hAnsi="Times New Roman" w:eastAsia="Times New Roman" w:cs="Times New Roman"/>
                <w:color w:val="000000"/>
              </w:rPr>
              <w:t xml:space="preserve">KORNIS, Mônica. História e cinema: um debate metodológico. </w:t>
            </w:r>
            <w:r>
              <w:rPr>
                <w:rFonts w:ascii="Times New Roman" w:hAnsi="Times New Roman" w:eastAsia="Times New Roman" w:cs="Times New Roman"/>
                <w:b/>
                <w:color w:val="000000"/>
              </w:rPr>
              <w:t>Revista Estudos Históricos</w:t>
            </w:r>
            <w:r>
              <w:rPr>
                <w:rFonts w:ascii="Times New Roman" w:hAnsi="Times New Roman" w:eastAsia="Times New Roman" w:cs="Times New Roman"/>
                <w:color w:val="000000"/>
              </w:rPr>
              <w:t>. Rio de Janeiro. V. 5, n. 10, 1992, p. 237-250.</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right="39" w:hanging="2"/>
              <w:jc w:val="both"/>
              <w:rPr>
                <w:rFonts w:ascii="Times New Roman" w:hAnsi="Times New Roman" w:cs="Times New Roman"/>
              </w:rPr>
            </w:pPr>
            <w:r>
              <w:rPr>
                <w:rFonts w:ascii="Times New Roman" w:hAnsi="Times New Roman" w:eastAsia="Times New Roman" w:cs="Times New Roman"/>
              </w:rPr>
              <w:t xml:space="preserve">Bibliografia complementar: </w:t>
            </w:r>
          </w:p>
          <w:p>
            <w:pPr>
              <w:pBdr>
                <w:top w:val="none" w:color="auto" w:sz="0" w:space="0"/>
                <w:left w:val="none" w:color="auto" w:sz="0" w:space="0"/>
                <w:bottom w:val="none" w:color="auto" w:sz="0" w:space="0"/>
                <w:right w:val="none" w:color="auto" w:sz="0" w:space="0"/>
                <w:between w:val="none" w:color="auto" w:sz="0" w:space="0"/>
              </w:pBdr>
              <w:spacing w:line="360" w:lineRule="auto"/>
              <w:ind w:left="0" w:right="39" w:hanging="2"/>
              <w:jc w:val="both"/>
              <w:rPr>
                <w:rFonts w:ascii="Times New Roman" w:hAnsi="Times New Roman" w:eastAsia="Calibri" w:cs="Times New Roman"/>
                <w:color w:val="000000"/>
              </w:rPr>
            </w:pPr>
            <w:r>
              <w:rPr>
                <w:rFonts w:ascii="Times New Roman" w:hAnsi="Times New Roman" w:eastAsia="Times New Roman" w:cs="Times New Roman"/>
                <w:color w:val="000000"/>
              </w:rPr>
              <w:t xml:space="preserve">ESTÉVEZ, A.; LÓPEZ, P. Entrevista a Patricio Guzmán, diretor de Nostalgia de la luz. </w:t>
            </w:r>
            <w:r>
              <w:rPr>
                <w:rFonts w:ascii="Times New Roman" w:hAnsi="Times New Roman" w:eastAsia="Times New Roman" w:cs="Times New Roman"/>
                <w:b/>
                <w:color w:val="000000"/>
              </w:rPr>
              <w:t>Cine Chile</w:t>
            </w:r>
            <w:r>
              <w:rPr>
                <w:rFonts w:ascii="Times New Roman" w:hAnsi="Times New Roman" w:eastAsia="Times New Roman" w:cs="Times New Roman"/>
                <w:color w:val="000000"/>
              </w:rPr>
              <w:t xml:space="preserve">. 8 set. 2011. </w:t>
            </w:r>
          </w:p>
          <w:p>
            <w:pPr>
              <w:pBdr>
                <w:top w:val="none" w:color="auto" w:sz="0" w:space="0"/>
                <w:left w:val="none" w:color="auto" w:sz="0" w:space="0"/>
                <w:bottom w:val="none" w:color="auto" w:sz="0" w:space="0"/>
                <w:right w:val="none" w:color="auto" w:sz="0" w:space="0"/>
                <w:between w:val="none" w:color="auto" w:sz="0" w:space="0"/>
              </w:pBdr>
              <w:spacing w:line="360" w:lineRule="auto"/>
              <w:ind w:left="0" w:right="39" w:hanging="2"/>
              <w:jc w:val="both"/>
              <w:rPr>
                <w:rFonts w:ascii="Times New Roman" w:hAnsi="Times New Roman" w:eastAsia="Calibri" w:cs="Times New Roman"/>
                <w:color w:val="000000"/>
              </w:rPr>
            </w:pPr>
            <w:r>
              <w:rPr>
                <w:rFonts w:ascii="Times New Roman" w:hAnsi="Times New Roman" w:eastAsia="Times New Roman" w:cs="Times New Roman"/>
                <w:color w:val="000000"/>
              </w:rPr>
              <w:t xml:space="preserve">LAGNY, Michèle. O cinema como fonte histórica. In NÓVOA, Jorge; FRESSATO, Soleni. </w:t>
            </w:r>
            <w:r>
              <w:rPr>
                <w:rFonts w:ascii="Times New Roman" w:hAnsi="Times New Roman" w:eastAsia="Times New Roman" w:cs="Times New Roman"/>
                <w:b/>
                <w:color w:val="000000"/>
              </w:rPr>
              <w:t>Cinematógrafo:um olhar sobre a história</w:t>
            </w:r>
            <w:r>
              <w:rPr>
                <w:rFonts w:ascii="Times New Roman" w:hAnsi="Times New Roman" w:eastAsia="Times New Roman" w:cs="Times New Roman"/>
                <w:color w:val="000000"/>
              </w:rPr>
              <w:t>. Salvador: EDUFBA; São Paulo: Ed. da UNESP, 2009, p. 99-131.</w:t>
            </w:r>
          </w:p>
          <w:p>
            <w:pPr>
              <w:spacing w:line="360" w:lineRule="auto"/>
              <w:ind w:left="0" w:right="39" w:hanging="2"/>
              <w:rPr>
                <w:rFonts w:ascii="Times New Roman" w:hAnsi="Times New Roman" w:cs="Times New Roman"/>
              </w:rPr>
            </w:pPr>
            <w:r>
              <w:rPr>
                <w:rFonts w:ascii="Times New Roman" w:hAnsi="Times New Roman" w:eastAsia="Times New Roman" w:cs="Times New Roman"/>
                <w:color w:val="000000"/>
              </w:rPr>
              <w:t xml:space="preserve">LITTIN, M. Discurso Inaugural de Miguel Littin. In: FRANCIA, A. </w:t>
            </w:r>
            <w:r>
              <w:rPr>
                <w:rFonts w:ascii="Times New Roman" w:hAnsi="Times New Roman" w:eastAsia="Times New Roman" w:cs="Times New Roman"/>
                <w:b/>
                <w:color w:val="000000"/>
              </w:rPr>
              <w:t>Nuevo cine latinoamericano en Viña del Mar</w:t>
            </w:r>
            <w:r>
              <w:rPr>
                <w:rFonts w:ascii="Times New Roman" w:hAnsi="Times New Roman" w:eastAsia="Times New Roman" w:cs="Times New Roman"/>
                <w:color w:val="000000"/>
              </w:rPr>
              <w:t xml:space="preserve">. CESOC Ediciones Chile América, 1990. </w:t>
            </w:r>
          </w:p>
          <w:p>
            <w:pPr>
              <w:spacing w:line="360" w:lineRule="auto"/>
              <w:ind w:left="0" w:right="39" w:hanging="2"/>
              <w:rPr>
                <w:rFonts w:ascii="Times New Roman" w:hAnsi="Times New Roman" w:cs="Times New Roman"/>
              </w:rPr>
            </w:pPr>
            <w:r>
              <w:rPr>
                <w:rFonts w:ascii="Times New Roman" w:hAnsi="Times New Roman" w:eastAsia="Times New Roman" w:cs="Times New Roman"/>
                <w:color w:val="000000"/>
              </w:rPr>
              <w:t xml:space="preserve">MANIFIESTO de los Cineastas de la UP. Disponível em: &lt;http://www.archivochile.com/S_Allende_UP/doc_ de_UP/SAdocup0007.pdf&gt;. Acesso em: 25 janeiro 2018. </w:t>
            </w:r>
          </w:p>
          <w:p>
            <w:pPr>
              <w:spacing w:line="360" w:lineRule="auto"/>
              <w:ind w:left="0" w:right="39" w:hanging="2"/>
              <w:jc w:val="both"/>
              <w:rPr>
                <w:rFonts w:ascii="Times New Roman" w:hAnsi="Times New Roman" w:cs="Times New Roman"/>
              </w:rPr>
            </w:pPr>
            <w:r>
              <w:rPr>
                <w:rFonts w:ascii="Times New Roman" w:hAnsi="Times New Roman" w:eastAsia="Times New Roman" w:cs="Times New Roman"/>
                <w:color w:val="000000"/>
              </w:rPr>
              <w:t xml:space="preserve">YAFFÉ, Jaime. La dictadura uruguaya (1973-1985): nuevas perspectivas de investigación e interpretación historiográfica. </w:t>
            </w:r>
          </w:p>
          <w:p>
            <w:pPr>
              <w:spacing w:line="360" w:lineRule="auto"/>
              <w:ind w:left="0" w:right="39" w:hanging="2"/>
              <w:jc w:val="both"/>
              <w:rPr>
                <w:rFonts w:ascii="Times New Roman" w:hAnsi="Times New Roman" w:cs="Times New Roman"/>
              </w:rPr>
            </w:pPr>
            <w:r>
              <w:rPr>
                <w:rFonts w:ascii="Times New Roman" w:hAnsi="Times New Roman" w:eastAsia="Times New Roman" w:cs="Times New Roman"/>
                <w:b/>
                <w:color w:val="000000"/>
              </w:rPr>
              <w:t>Estudos Íbero-Americanos</w:t>
            </w:r>
            <w:r>
              <w:rPr>
                <w:rFonts w:ascii="Times New Roman" w:hAnsi="Times New Roman" w:eastAsia="Times New Roman" w:cs="Times New Roman"/>
                <w:color w:val="000000"/>
              </w:rPr>
              <w:t>, PUCRS, v. 38, n. 1, p. 13-26, jan.-jun. 2012.</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13"/>
        <w:tblW w:w="8879" w:type="dxa"/>
        <w:tblInd w:w="65" w:type="dxa"/>
        <w:tblLayout w:type="fixed"/>
        <w:tblCellMar>
          <w:top w:w="0" w:type="dxa"/>
          <w:left w:w="108" w:type="dxa"/>
          <w:bottom w:w="0" w:type="dxa"/>
          <w:right w:w="108" w:type="dxa"/>
        </w:tblCellMar>
      </w:tblPr>
      <w:tblGrid>
        <w:gridCol w:w="3009"/>
        <w:gridCol w:w="3119"/>
        <w:gridCol w:w="2751"/>
      </w:tblGrid>
      <w:tr>
        <w:tblPrEx>
          <w:tblCellMar>
            <w:top w:w="0" w:type="dxa"/>
            <w:left w:w="108" w:type="dxa"/>
            <w:bottom w:w="0" w:type="dxa"/>
            <w:right w:w="108" w:type="dxa"/>
          </w:tblCellMar>
        </w:tblPrEx>
        <w:tc>
          <w:tcPr>
            <w:tcW w:w="6128" w:type="dxa"/>
            <w:gridSpan w:val="2"/>
            <w:tcBorders>
              <w:top w:val="single" w:color="000000" w:sz="18"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do Componente Curricular em português:</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História e Escrita na Primeira Modernidade </w:t>
            </w:r>
          </w:p>
          <w:p>
            <w:pPr>
              <w:spacing w:before="240" w:line="360" w:lineRule="auto"/>
              <w:ind w:left="0" w:hanging="2"/>
              <w:jc w:val="both"/>
              <w:rPr>
                <w:rFonts w:ascii="Times New Roman" w:hAnsi="Times New Roman" w:cs="Times New Roman"/>
              </w:rPr>
            </w:pPr>
            <w:r>
              <w:rPr>
                <w:rFonts w:ascii="Times New Roman" w:hAnsi="Times New Roman" w:eastAsia="Times New Roman" w:cs="Times New Roman"/>
              </w:rPr>
              <w:t>Nome do Componente Curricular em inglês:</w:t>
            </w:r>
          </w:p>
          <w:p>
            <w:pPr>
              <w:spacing w:line="360" w:lineRule="auto"/>
              <w:ind w:left="0" w:hanging="2"/>
              <w:rPr>
                <w:rFonts w:ascii="Times New Roman" w:hAnsi="Times New Roman" w:cs="Times New Roman"/>
              </w:rPr>
            </w:pPr>
            <w:r>
              <w:rPr>
                <w:rFonts w:ascii="Times New Roman" w:hAnsi="Times New Roman" w:eastAsia="Times New Roman" w:cs="Times New Roman"/>
              </w:rPr>
              <w:t>History and writing in Early Modern times</w:t>
            </w:r>
          </w:p>
        </w:tc>
        <w:tc>
          <w:tcPr>
            <w:tcW w:w="2751" w:type="dxa"/>
            <w:tcBorders>
              <w:top w:val="single" w:color="000000" w:sz="18"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Código: HIS942</w:t>
            </w:r>
          </w:p>
        </w:tc>
      </w:tr>
      <w:tr>
        <w:tblPrEx>
          <w:tblCellMar>
            <w:top w:w="0" w:type="dxa"/>
            <w:left w:w="108" w:type="dxa"/>
            <w:bottom w:w="0" w:type="dxa"/>
            <w:right w:w="108" w:type="dxa"/>
          </w:tblCellMar>
        </w:tblPrEx>
        <w:trPr>
          <w:trHeight w:val="641" w:hRule="atLeast"/>
        </w:trPr>
        <w:tc>
          <w:tcPr>
            <w:tcW w:w="6128" w:type="dxa"/>
            <w:gridSpan w:val="2"/>
            <w:tcBorders>
              <w:top w:val="single" w:color="000000" w:sz="4"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e sigla do departamento:</w:t>
            </w:r>
          </w:p>
          <w:p>
            <w:pPr>
              <w:spacing w:line="360" w:lineRule="auto"/>
              <w:ind w:left="0" w:hanging="2"/>
              <w:rPr>
                <w:rFonts w:ascii="Times New Roman" w:hAnsi="Times New Roman" w:cs="Times New Roman"/>
              </w:rPr>
            </w:pPr>
            <w:r>
              <w:rPr>
                <w:rFonts w:ascii="Times New Roman" w:hAnsi="Times New Roman" w:eastAsia="Times New Roman" w:cs="Times New Roman"/>
              </w:rPr>
              <w:t>Departamento de História - DEHIS</w:t>
            </w:r>
          </w:p>
        </w:tc>
        <w:tc>
          <w:tcPr>
            <w:tcW w:w="2751" w:type="dxa"/>
            <w:tcBorders>
              <w:top w:val="single" w:color="000000" w:sz="4"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Unidade acadêmica: ICHS</w:t>
            </w:r>
          </w:p>
        </w:tc>
      </w:tr>
      <w:tr>
        <w:trPr>
          <w:trHeight w:val="641" w:hRule="atLeast"/>
        </w:trPr>
        <w:tc>
          <w:tcPr>
            <w:tcW w:w="3009" w:type="dxa"/>
            <w:tcBorders>
              <w:top w:val="single" w:color="000000" w:sz="4" w:space="0"/>
              <w:left w:val="single" w:color="000000" w:sz="18" w:space="0"/>
              <w:bottom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Carga horária semestral</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90 horas</w:t>
            </w:r>
          </w:p>
        </w:tc>
        <w:tc>
          <w:tcPr>
            <w:tcW w:w="3119" w:type="dxa"/>
            <w:tcBorders>
              <w:top w:val="single" w:color="000000" w:sz="4" w:space="0"/>
              <w:left w:val="single" w:color="000000" w:sz="4" w:space="0"/>
              <w:bottom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 xml:space="preserve">Carga horária semanal teórica </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04 horas/aula</w:t>
            </w:r>
          </w:p>
        </w:tc>
        <w:tc>
          <w:tcPr>
            <w:tcW w:w="2751" w:type="dxa"/>
            <w:tcBorders>
              <w:top w:val="single" w:color="000000" w:sz="4" w:space="0"/>
              <w:left w:val="single" w:color="000000" w:sz="4" w:space="0"/>
              <w:bottom w:val="single" w:color="000000" w:sz="4" w:space="0"/>
              <w:right w:val="single" w:color="000000" w:sz="18"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Carga horária semanal prática</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02 horas/aula</w:t>
            </w:r>
          </w:p>
        </w:tc>
      </w:tr>
      <w:tr>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Conteúdo programático: </w:t>
            </w:r>
          </w:p>
          <w:p>
            <w:pPr>
              <w:numPr>
                <w:ilvl w:val="0"/>
                <w:numId w:val="99"/>
              </w:numPr>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Analisar as múltiplas formas de registro histórico entre o fim do século XV e o XVIII</w:t>
            </w:r>
          </w:p>
          <w:p>
            <w:pPr>
              <w:numPr>
                <w:ilvl w:val="0"/>
                <w:numId w:val="99"/>
              </w:numPr>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Pensar as comunidades de produção de circulação de textos manuscritos e impressos</w:t>
            </w:r>
          </w:p>
          <w:p>
            <w:pPr>
              <w:numPr>
                <w:ilvl w:val="0"/>
                <w:numId w:val="99"/>
              </w:numPr>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O impacto das Navegações, conquistas e colonizações no discurso histórico</w:t>
            </w:r>
          </w:p>
        </w:tc>
      </w:tr>
      <w:tr>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Bibliografia básica: </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CAÑIZARES-ESGUERRA, Jorge; FERNANDES, Luiz Estevam de Oliveira; MARTINS, Maria Cristina Bohn (Org.). </w:t>
            </w:r>
            <w:r>
              <w:rPr>
                <w:rFonts w:ascii="Times New Roman" w:hAnsi="Times New Roman" w:eastAsia="Times New Roman" w:cs="Times New Roman"/>
                <w:b/>
              </w:rPr>
              <w:t>As Américas na primeira modernidade</w:t>
            </w:r>
            <w:r>
              <w:rPr>
                <w:rFonts w:ascii="Times New Roman" w:hAnsi="Times New Roman" w:eastAsia="Times New Roman" w:cs="Times New Roman"/>
              </w:rPr>
              <w:t>/ (1492-1750). Curitiba: Prismas, c2017. 359 p. ISBN 9788555076558 (broch.).</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CERTEAU, Michel de. </w:t>
            </w:r>
            <w:r>
              <w:rPr>
                <w:rFonts w:ascii="Times New Roman" w:hAnsi="Times New Roman" w:eastAsia="Times New Roman" w:cs="Times New Roman"/>
                <w:b/>
              </w:rPr>
              <w:t>A escrita da história. </w:t>
            </w:r>
            <w:r>
              <w:rPr>
                <w:rFonts w:ascii="Times New Roman" w:hAnsi="Times New Roman" w:eastAsia="Times New Roman" w:cs="Times New Roman"/>
              </w:rPr>
              <w:t>Rio de Janeiro: Forense Universitária 1982.</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GOODY, Jack. </w:t>
            </w:r>
            <w:r>
              <w:rPr>
                <w:rFonts w:ascii="Times New Roman" w:hAnsi="Times New Roman" w:eastAsia="Times New Roman" w:cs="Times New Roman"/>
                <w:b/>
              </w:rPr>
              <w:t>O roubo da história: </w:t>
            </w:r>
            <w:r>
              <w:rPr>
                <w:rFonts w:ascii="Times New Roman" w:hAnsi="Times New Roman" w:eastAsia="Times New Roman" w:cs="Times New Roman"/>
              </w:rPr>
              <w:t>como os europeus se apropriaram das idéias e invenções do oriente. 2.ed. São Paulo: Contexto, 2015.</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GOODY, Jack. </w:t>
            </w:r>
            <w:r>
              <w:rPr>
                <w:rFonts w:ascii="Times New Roman" w:hAnsi="Times New Roman" w:eastAsia="Times New Roman" w:cs="Times New Roman"/>
                <w:b/>
              </w:rPr>
              <w:t>Renascimentos: </w:t>
            </w:r>
            <w:r>
              <w:rPr>
                <w:rFonts w:ascii="Times New Roman" w:hAnsi="Times New Roman" w:eastAsia="Times New Roman" w:cs="Times New Roman"/>
              </w:rPr>
              <w:t>um ou muitos?. São Paulo: UNESP, c2011.</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GRAFTON, Anthony. </w:t>
            </w:r>
            <w:r>
              <w:rPr>
                <w:rFonts w:ascii="Times New Roman" w:hAnsi="Times New Roman" w:eastAsia="Times New Roman" w:cs="Times New Roman"/>
                <w:b/>
              </w:rPr>
              <w:t>Worlds made by words: </w:t>
            </w:r>
            <w:r>
              <w:rPr>
                <w:rFonts w:ascii="Times New Roman" w:hAnsi="Times New Roman" w:eastAsia="Times New Roman" w:cs="Times New Roman"/>
              </w:rPr>
              <w:t>scholarship and community in the Modern West. Cambridge: Harvard University Press 2009.</w:t>
            </w:r>
          </w:p>
        </w:tc>
      </w:tr>
      <w:tr>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Bibliografia complementar: </w:t>
            </w:r>
          </w:p>
          <w:p>
            <w:pPr>
              <w:spacing w:line="360" w:lineRule="auto"/>
              <w:ind w:left="0" w:hanging="2"/>
              <w:jc w:val="both"/>
              <w:rPr>
                <w:rFonts w:ascii="Times New Roman" w:hAnsi="Times New Roman" w:cs="Times New Roman"/>
              </w:rPr>
            </w:pPr>
            <w:r>
              <w:rPr>
                <w:rFonts w:ascii="Times New Roman" w:hAnsi="Times New Roman" w:eastAsia="Times New Roman" w:cs="Times New Roman"/>
                <w:color w:val="0563C1"/>
                <w:u w:val="single"/>
              </w:rPr>
              <w:t>BOUZA, Fernando. Corre Manuscrito: Una historia cultural Del Siglo de Oro. Madrid, Marcial Pons, 2001.</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CAÑIZARES-ESGUERRA, Jorge. </w:t>
            </w:r>
            <w:r>
              <w:rPr>
                <w:rFonts w:ascii="Times New Roman" w:hAnsi="Times New Roman" w:eastAsia="Times New Roman" w:cs="Times New Roman"/>
                <w:color w:val="0563C1"/>
                <w:u w:val="single"/>
              </w:rPr>
              <w:t>Como Escrever a História do Novo Mundo: Histórias, Epistemologias e Identidades no Mundo Atlântico do Século XVIII. São Paulo: Edusp, 2011.</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CHARTIER, Roger; LEBRUN, Jean. </w:t>
            </w:r>
            <w:r>
              <w:rPr>
                <w:rFonts w:ascii="Times New Roman" w:hAnsi="Times New Roman" w:eastAsia="Times New Roman" w:cs="Times New Roman"/>
                <w:b/>
              </w:rPr>
              <w:t>A aventura do livro: </w:t>
            </w:r>
            <w:r>
              <w:rPr>
                <w:rFonts w:ascii="Times New Roman" w:hAnsi="Times New Roman" w:eastAsia="Times New Roman" w:cs="Times New Roman"/>
              </w:rPr>
              <w:t>do leitor ao navegador: conversações com Jean Lebrun. 1</w:t>
            </w:r>
            <w:r>
              <w:rPr>
                <w:rFonts w:ascii="Times New Roman" w:hAnsi="Times New Roman" w:eastAsia="Times New Roman" w:cs="Times New Roman"/>
                <w:vertAlign w:val="superscript"/>
              </w:rPr>
              <w:t>a</w:t>
            </w:r>
            <w:r>
              <w:rPr>
                <w:rFonts w:ascii="Times New Roman" w:hAnsi="Times New Roman" w:eastAsia="Times New Roman" w:cs="Times New Roman"/>
              </w:rPr>
              <w:t>. reimpr., 2009. ed. São Paulo: Ed. da UNESP [1998].</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ELLIOTT, John Huxtable. </w:t>
            </w:r>
            <w:r>
              <w:rPr>
                <w:rFonts w:ascii="Times New Roman" w:hAnsi="Times New Roman" w:eastAsia="Times New Roman" w:cs="Times New Roman"/>
                <w:b/>
              </w:rPr>
              <w:t>Spain, Europe &amp; the wider world, 1500-1800. </w:t>
            </w:r>
            <w:r>
              <w:rPr>
                <w:rFonts w:ascii="Times New Roman" w:hAnsi="Times New Roman" w:eastAsia="Times New Roman" w:cs="Times New Roman"/>
              </w:rPr>
              <w:t>New Haven: London: Yale University Press c2009.</w:t>
            </w:r>
          </w:p>
          <w:p>
            <w:pPr>
              <w:spacing w:line="360" w:lineRule="auto"/>
              <w:ind w:left="0" w:hanging="2"/>
              <w:jc w:val="both"/>
              <w:rPr>
                <w:rFonts w:ascii="Times New Roman" w:hAnsi="Times New Roman" w:cs="Times New Roman"/>
              </w:rPr>
            </w:pPr>
            <w:r>
              <w:rPr>
                <w:rFonts w:ascii="Times New Roman" w:hAnsi="Times New Roman" w:eastAsia="Times New Roman" w:cs="Times New Roman"/>
                <w:color w:val="0563C1"/>
                <w:u w:val="single"/>
              </w:rPr>
              <w:t xml:space="preserve">MIGNOLO, Walter. The Darker Side of Western Modernity: Global Futures, Decolonial Options. </w:t>
            </w:r>
            <w:r>
              <w:rPr>
                <w:rFonts w:ascii="Times New Roman" w:hAnsi="Times New Roman" w:eastAsia="Times New Roman" w:cs="Times New Roman"/>
                <w:color w:val="333333"/>
                <w:highlight w:val="white"/>
              </w:rPr>
              <w:t>Duke University Press Books, 2011.</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14"/>
        <w:tblW w:w="8878" w:type="dxa"/>
        <w:tblInd w:w="65" w:type="dxa"/>
        <w:tblLayout w:type="fixed"/>
        <w:tblCellMar>
          <w:top w:w="0" w:type="dxa"/>
          <w:left w:w="108" w:type="dxa"/>
          <w:bottom w:w="0" w:type="dxa"/>
          <w:right w:w="108" w:type="dxa"/>
        </w:tblCellMar>
      </w:tblPr>
      <w:tblGrid>
        <w:gridCol w:w="2868"/>
        <w:gridCol w:w="3122"/>
        <w:gridCol w:w="2888"/>
      </w:tblGrid>
      <w:tr>
        <w:tblPrEx>
          <w:tblCellMar>
            <w:top w:w="0" w:type="dxa"/>
            <w:left w:w="108" w:type="dxa"/>
            <w:bottom w:w="0" w:type="dxa"/>
            <w:right w:w="108" w:type="dxa"/>
          </w:tblCellMar>
        </w:tblPrEx>
        <w:tc>
          <w:tcPr>
            <w:tcW w:w="5991" w:type="dxa"/>
            <w:gridSpan w:val="2"/>
            <w:tcBorders>
              <w:top w:val="single" w:color="000000" w:sz="18"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do Componente Curricular em português:</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História das Religiões da Primeira Modernidade </w:t>
            </w:r>
          </w:p>
          <w:p>
            <w:pPr>
              <w:spacing w:before="240" w:line="360" w:lineRule="auto"/>
              <w:ind w:left="0" w:hanging="2"/>
              <w:rPr>
                <w:rFonts w:ascii="Times New Roman" w:hAnsi="Times New Roman" w:cs="Times New Roman"/>
              </w:rPr>
            </w:pPr>
            <w:r>
              <w:rPr>
                <w:rFonts w:ascii="Times New Roman" w:hAnsi="Times New Roman" w:eastAsia="Times New Roman" w:cs="Times New Roman"/>
              </w:rPr>
              <w:t>Nome do Componente Curricular em inglês:</w:t>
            </w:r>
          </w:p>
          <w:p>
            <w:pPr>
              <w:spacing w:line="360" w:lineRule="auto"/>
              <w:ind w:left="0" w:hanging="2"/>
              <w:rPr>
                <w:rFonts w:ascii="Times New Roman" w:hAnsi="Times New Roman" w:cs="Times New Roman"/>
              </w:rPr>
            </w:pPr>
            <w:r>
              <w:rPr>
                <w:rFonts w:ascii="Times New Roman" w:hAnsi="Times New Roman" w:eastAsia="Times New Roman" w:cs="Times New Roman"/>
              </w:rPr>
              <w:t>History of Religions in Early Modern age</w:t>
            </w:r>
          </w:p>
        </w:tc>
        <w:tc>
          <w:tcPr>
            <w:tcW w:w="2888" w:type="dxa"/>
            <w:tcBorders>
              <w:top w:val="single" w:color="000000" w:sz="18"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Código: HIS943</w:t>
            </w:r>
          </w:p>
        </w:tc>
      </w:tr>
      <w:tr>
        <w:tblPrEx>
          <w:tblCellMar>
            <w:top w:w="0" w:type="dxa"/>
            <w:left w:w="108" w:type="dxa"/>
            <w:bottom w:w="0" w:type="dxa"/>
            <w:right w:w="108" w:type="dxa"/>
          </w:tblCellMar>
        </w:tblPrEx>
        <w:trPr>
          <w:trHeight w:val="641" w:hRule="atLeast"/>
        </w:trPr>
        <w:tc>
          <w:tcPr>
            <w:tcW w:w="5991" w:type="dxa"/>
            <w:gridSpan w:val="2"/>
            <w:tcBorders>
              <w:top w:val="single" w:color="000000" w:sz="4"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color w:val="000000"/>
              </w:rPr>
              <w:t>Nome e sigla do departamento:</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Departamento de História - DEHIS</w:t>
            </w:r>
          </w:p>
        </w:tc>
        <w:tc>
          <w:tcPr>
            <w:tcW w:w="2888" w:type="dxa"/>
            <w:tcBorders>
              <w:top w:val="single" w:color="000000" w:sz="4"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color w:val="000000"/>
              </w:rPr>
              <w:t>Unidade acadêmica:</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ICHS</w:t>
            </w:r>
          </w:p>
        </w:tc>
      </w:tr>
      <w:tr>
        <w:tblPrEx>
          <w:tblCellMar>
            <w:top w:w="0" w:type="dxa"/>
            <w:left w:w="108" w:type="dxa"/>
            <w:bottom w:w="0" w:type="dxa"/>
            <w:right w:w="108" w:type="dxa"/>
          </w:tblCellMar>
        </w:tblPrEx>
        <w:trPr>
          <w:trHeight w:val="641" w:hRule="atLeast"/>
        </w:trPr>
        <w:tc>
          <w:tcPr>
            <w:tcW w:w="2869" w:type="dxa"/>
            <w:tcBorders>
              <w:top w:val="single" w:color="000000" w:sz="4" w:space="0"/>
              <w:left w:val="single" w:color="000000" w:sz="18" w:space="0"/>
              <w:bottom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color w:val="000000"/>
              </w:rPr>
              <w:t>Carga horária semestral</w:t>
            </w:r>
          </w:p>
          <w:p>
            <w:pPr>
              <w:spacing w:line="360" w:lineRule="auto"/>
              <w:ind w:left="0" w:hanging="2"/>
              <w:jc w:val="center"/>
              <w:rPr>
                <w:rFonts w:ascii="Times New Roman" w:hAnsi="Times New Roman" w:cs="Times New Roman"/>
              </w:rPr>
            </w:pPr>
            <w:r>
              <w:rPr>
                <w:rFonts w:ascii="Times New Roman" w:hAnsi="Times New Roman" w:eastAsia="Times New Roman" w:cs="Times New Roman"/>
                <w:color w:val="000000"/>
              </w:rPr>
              <w:t>60 horas</w:t>
            </w:r>
          </w:p>
        </w:tc>
        <w:tc>
          <w:tcPr>
            <w:tcW w:w="3122" w:type="dxa"/>
            <w:tcBorders>
              <w:top w:val="single" w:color="000000" w:sz="4" w:space="0"/>
              <w:left w:val="single" w:color="000000" w:sz="4" w:space="0"/>
              <w:bottom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color w:val="000000"/>
              </w:rPr>
              <w:t xml:space="preserve">Carga horária semanal teórica </w:t>
            </w:r>
          </w:p>
          <w:p>
            <w:pPr>
              <w:spacing w:line="360" w:lineRule="auto"/>
              <w:ind w:left="0" w:hanging="2"/>
              <w:jc w:val="center"/>
              <w:rPr>
                <w:rFonts w:ascii="Times New Roman" w:hAnsi="Times New Roman" w:cs="Times New Roman"/>
              </w:rPr>
            </w:pPr>
            <w:r>
              <w:rPr>
                <w:rFonts w:ascii="Times New Roman" w:hAnsi="Times New Roman" w:eastAsia="Times New Roman" w:cs="Times New Roman"/>
                <w:color w:val="000000"/>
              </w:rPr>
              <w:t>04 horas/aula</w:t>
            </w:r>
          </w:p>
        </w:tc>
        <w:tc>
          <w:tcPr>
            <w:tcW w:w="2888" w:type="dxa"/>
            <w:tcBorders>
              <w:top w:val="single" w:color="000000" w:sz="4" w:space="0"/>
              <w:left w:val="single" w:color="000000" w:sz="4" w:space="0"/>
              <w:bottom w:val="single" w:color="000000" w:sz="4" w:space="0"/>
              <w:right w:val="single" w:color="000000" w:sz="18"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color w:val="000000"/>
              </w:rPr>
              <w:t>Carga horária semanal prática</w:t>
            </w:r>
          </w:p>
          <w:p>
            <w:pPr>
              <w:spacing w:line="360" w:lineRule="auto"/>
              <w:ind w:left="0" w:hanging="2"/>
              <w:jc w:val="center"/>
              <w:rPr>
                <w:rFonts w:ascii="Times New Roman" w:hAnsi="Times New Roman" w:cs="Times New Roman"/>
              </w:rPr>
            </w:pPr>
            <w:r>
              <w:rPr>
                <w:rFonts w:ascii="Times New Roman" w:hAnsi="Times New Roman" w:eastAsia="Times New Roman" w:cs="Times New Roman"/>
                <w:color w:val="000000"/>
              </w:rPr>
              <w:t>00 horas/aula</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color w:val="000000"/>
              </w:rPr>
              <w:t xml:space="preserve">Ementa: </w:t>
            </w:r>
          </w:p>
          <w:p>
            <w:pPr>
              <w:spacing w:line="360" w:lineRule="auto"/>
              <w:ind w:left="0" w:hanging="2"/>
              <w:jc w:val="both"/>
              <w:rPr>
                <w:rFonts w:ascii="Times New Roman" w:hAnsi="Times New Roman" w:cs="Times New Roman"/>
              </w:rPr>
            </w:pPr>
            <w:r>
              <w:rPr>
                <w:rFonts w:ascii="Times New Roman" w:hAnsi="Times New Roman" w:eastAsia="Times New Roman" w:cs="Times New Roman"/>
                <w:color w:val="000000"/>
              </w:rPr>
              <w:t>Mapear algumas matrizes religiosas que desenvolveram-se durante a Primeira Modernidade e, como tais, fés que interagiram umas com as outras, ora de forma violenta, ora de forma pacífica.</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color w:val="000000"/>
              </w:rPr>
              <w:t>Conteúdo programático:</w:t>
            </w:r>
          </w:p>
          <w:p>
            <w:pPr>
              <w:numPr>
                <w:ilvl w:val="0"/>
                <w:numId w:val="100"/>
              </w:num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 religião como objeto histórico e historiográfico</w:t>
            </w:r>
          </w:p>
          <w:p>
            <w:pPr>
              <w:numPr>
                <w:ilvl w:val="0"/>
                <w:numId w:val="100"/>
              </w:num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O Judaísmo</w:t>
            </w:r>
          </w:p>
          <w:p>
            <w:pPr>
              <w:numPr>
                <w:ilvl w:val="0"/>
                <w:numId w:val="100"/>
              </w:num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Os islamismos e O império turco</w:t>
            </w:r>
          </w:p>
          <w:p>
            <w:pPr>
              <w:numPr>
                <w:ilvl w:val="0"/>
                <w:numId w:val="100"/>
              </w:num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De como ler a Bíblia na Primeira modernidade</w:t>
            </w:r>
          </w:p>
          <w:p>
            <w:pPr>
              <w:numPr>
                <w:ilvl w:val="0"/>
                <w:numId w:val="100"/>
              </w:num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 era das reformas</w:t>
            </w:r>
          </w:p>
          <w:p>
            <w:pPr>
              <w:numPr>
                <w:ilvl w:val="0"/>
                <w:numId w:val="100"/>
              </w:num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Uma história do Diabo. </w:t>
            </w:r>
          </w:p>
          <w:p>
            <w:pPr>
              <w:numPr>
                <w:ilvl w:val="0"/>
                <w:numId w:val="100"/>
              </w:num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Religiões da China, Japão e Índia </w:t>
            </w:r>
          </w:p>
          <w:p>
            <w:pPr>
              <w:numPr>
                <w:ilvl w:val="0"/>
                <w:numId w:val="100"/>
              </w:num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Religiões nativas americanas</w:t>
            </w:r>
          </w:p>
          <w:p>
            <w:pPr>
              <w:numPr>
                <w:ilvl w:val="0"/>
                <w:numId w:val="100"/>
              </w:num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Religiosidade na África do encontro</w:t>
            </w:r>
          </w:p>
          <w:p>
            <w:pPr>
              <w:numPr>
                <w:ilvl w:val="0"/>
                <w:numId w:val="100"/>
              </w:num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Hereges, apostasias e reconversões</w:t>
            </w:r>
          </w:p>
          <w:p>
            <w:pPr>
              <w:numPr>
                <w:ilvl w:val="0"/>
                <w:numId w:val="100"/>
              </w:num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Jesuítas e os mártires do Japão.</w:t>
            </w:r>
          </w:p>
          <w:p>
            <w:pPr>
              <w:numPr>
                <w:ilvl w:val="0"/>
                <w:numId w:val="100"/>
              </w:num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Religiões mestiças</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Bibliografia básica: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Calibri" w:cs="Times New Roman"/>
                <w:color w:val="000000"/>
              </w:rPr>
            </w:pPr>
            <w:r>
              <w:rPr>
                <w:rFonts w:ascii="Times New Roman" w:hAnsi="Times New Roman" w:eastAsia="Times New Roman" w:cs="Times New Roman"/>
                <w:color w:val="000000"/>
              </w:rPr>
              <w:t xml:space="preserve">AGNOLIN, Adone. </w:t>
            </w:r>
            <w:r>
              <w:rPr>
                <w:rFonts w:ascii="Times New Roman" w:hAnsi="Times New Roman" w:eastAsia="Times New Roman" w:cs="Times New Roman"/>
                <w:b/>
                <w:color w:val="000000"/>
              </w:rPr>
              <w:t>História das religiões</w:t>
            </w:r>
            <w:r>
              <w:rPr>
                <w:rFonts w:ascii="Times New Roman" w:hAnsi="Times New Roman" w:eastAsia="Times New Roman" w:cs="Times New Roman"/>
                <w:color w:val="000000"/>
              </w:rPr>
              <w:t>. São Paulo: Paulinas, 2013.</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Calibri" w:cs="Times New Roman"/>
                <w:color w:val="000000"/>
              </w:rPr>
            </w:pPr>
            <w:r>
              <w:rPr>
                <w:rFonts w:ascii="Times New Roman" w:hAnsi="Times New Roman" w:eastAsia="Times New Roman" w:cs="Times New Roman"/>
                <w:color w:val="000000"/>
              </w:rPr>
              <w:t xml:space="preserve">ARCURI, Marcia. “O Tahuantinsuyu e o poder das huacas nas relações centro x periferia de Cusco”. </w:t>
            </w:r>
            <w:r>
              <w:rPr>
                <w:rFonts w:ascii="Times New Roman" w:hAnsi="Times New Roman" w:eastAsia="Times New Roman" w:cs="Times New Roman"/>
                <w:b/>
                <w:color w:val="000000"/>
              </w:rPr>
              <w:t>Revista do Museu de Arqueologia e Etnologia</w:t>
            </w:r>
            <w:r>
              <w:rPr>
                <w:rFonts w:ascii="Times New Roman" w:hAnsi="Times New Roman" w:eastAsia="Times New Roman" w:cs="Times New Roman"/>
                <w:color w:val="000000"/>
              </w:rPr>
              <w:t>. Suplemento 8.</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Calibri" w:cs="Times New Roman"/>
                <w:color w:val="000000"/>
              </w:rPr>
            </w:pPr>
            <w:r>
              <w:rPr>
                <w:rFonts w:ascii="Times New Roman" w:hAnsi="Times New Roman" w:eastAsia="Times New Roman" w:cs="Times New Roman"/>
                <w:color w:val="000000"/>
              </w:rPr>
              <w:t xml:space="preserve">DELUMEAU, Jean. </w:t>
            </w:r>
            <w:r>
              <w:rPr>
                <w:rFonts w:ascii="Times New Roman" w:hAnsi="Times New Roman" w:eastAsia="Times New Roman" w:cs="Times New Roman"/>
                <w:b/>
                <w:color w:val="000000"/>
              </w:rPr>
              <w:t>Nascimento e afirmação da Reforma</w:t>
            </w:r>
            <w:r>
              <w:rPr>
                <w:rFonts w:ascii="Times New Roman" w:hAnsi="Times New Roman" w:eastAsia="Times New Roman" w:cs="Times New Roman"/>
                <w:color w:val="000000"/>
              </w:rPr>
              <w:t xml:space="preserve">. São Paulo: Pioneira, 1989.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Calibri" w:cs="Times New Roman"/>
                <w:color w:val="000000"/>
              </w:rPr>
            </w:pPr>
            <w:r>
              <w:rPr>
                <w:rFonts w:ascii="Times New Roman" w:hAnsi="Times New Roman" w:eastAsia="Times New Roman" w:cs="Times New Roman"/>
                <w:color w:val="000000"/>
              </w:rPr>
              <w:t xml:space="preserve">MATA, Sérgio da. </w:t>
            </w:r>
            <w:r>
              <w:rPr>
                <w:rFonts w:ascii="Times New Roman" w:hAnsi="Times New Roman" w:eastAsia="Times New Roman" w:cs="Times New Roman"/>
                <w:b/>
                <w:color w:val="000000"/>
              </w:rPr>
              <w:t>História &amp; religião</w:t>
            </w:r>
            <w:r>
              <w:rPr>
                <w:rFonts w:ascii="Times New Roman" w:hAnsi="Times New Roman" w:eastAsia="Times New Roman" w:cs="Times New Roman"/>
                <w:color w:val="000000"/>
              </w:rPr>
              <w:t xml:space="preserve">. Belo Horizonte: Autêntica Editora, 2010.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Calibri" w:cs="Times New Roman"/>
                <w:color w:val="000000"/>
              </w:rPr>
            </w:pPr>
            <w:r>
              <w:rPr>
                <w:rFonts w:ascii="Times New Roman" w:hAnsi="Times New Roman" w:eastAsia="Times New Roman" w:cs="Times New Roman"/>
                <w:color w:val="000000"/>
              </w:rPr>
              <w:t xml:space="preserve">SOUZA, Marina de Mello e. Catolicismo e poder no Congo: o papel dos intermediários nativos, séculos XVI a XVIII. </w:t>
            </w:r>
            <w:r>
              <w:rPr>
                <w:rFonts w:ascii="Times New Roman" w:hAnsi="Times New Roman" w:eastAsia="Times New Roman" w:cs="Times New Roman"/>
                <w:b/>
                <w:color w:val="000000"/>
              </w:rPr>
              <w:t>Anos 90</w:t>
            </w:r>
            <w:r>
              <w:rPr>
                <w:rFonts w:ascii="Times New Roman" w:hAnsi="Times New Roman" w:eastAsia="Times New Roman" w:cs="Times New Roman"/>
                <w:color w:val="000000"/>
              </w:rPr>
              <w:t xml:space="preserve"> (UFRGS. Impresso), v. 21, p. 51-63-63, 2014.</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Calibri" w:cs="Times New Roman"/>
                <w:color w:val="000000"/>
              </w:rPr>
            </w:pPr>
            <w:r>
              <w:rPr>
                <w:rFonts w:ascii="Times New Roman" w:hAnsi="Times New Roman" w:eastAsia="Times New Roman" w:cs="Times New Roman"/>
                <w:color w:val="000000"/>
              </w:rPr>
              <w:t xml:space="preserve">Bibliografia complementar: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Calibri" w:cs="Times New Roman"/>
                <w:color w:val="000000"/>
              </w:rPr>
            </w:pPr>
            <w:r>
              <w:rPr>
                <w:rFonts w:ascii="Times New Roman" w:hAnsi="Times New Roman" w:eastAsia="Times New Roman" w:cs="Times New Roman"/>
                <w:color w:val="000000"/>
              </w:rPr>
              <w:t xml:space="preserve">DELUMEAU, Jean. </w:t>
            </w:r>
            <w:r>
              <w:rPr>
                <w:rFonts w:ascii="Times New Roman" w:hAnsi="Times New Roman" w:eastAsia="Times New Roman" w:cs="Times New Roman"/>
                <w:b/>
                <w:color w:val="000000"/>
              </w:rPr>
              <w:t>História do medo no ocidente (1300-1800)</w:t>
            </w:r>
            <w:r>
              <w:rPr>
                <w:rFonts w:ascii="Times New Roman" w:hAnsi="Times New Roman" w:eastAsia="Times New Roman" w:cs="Times New Roman"/>
                <w:color w:val="000000"/>
              </w:rPr>
              <w:t xml:space="preserve">. São Paulo: Cia. das Letras, 1989.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Calibri" w:cs="Times New Roman"/>
                <w:color w:val="000000"/>
              </w:rPr>
            </w:pPr>
            <w:r>
              <w:rPr>
                <w:rFonts w:ascii="Times New Roman" w:hAnsi="Times New Roman" w:eastAsia="Times New Roman" w:cs="Times New Roman"/>
                <w:color w:val="000000"/>
              </w:rPr>
              <w:t xml:space="preserve">ELLIOTT, J.H. </w:t>
            </w:r>
            <w:r>
              <w:rPr>
                <w:rFonts w:ascii="Times New Roman" w:hAnsi="Times New Roman" w:eastAsia="Times New Roman" w:cs="Times New Roman"/>
                <w:b/>
                <w:color w:val="000000"/>
              </w:rPr>
              <w:t>A Europa dividida</w:t>
            </w:r>
            <w:r>
              <w:rPr>
                <w:rFonts w:ascii="Times New Roman" w:hAnsi="Times New Roman" w:eastAsia="Times New Roman" w:cs="Times New Roman"/>
                <w:color w:val="000000"/>
              </w:rPr>
              <w:t xml:space="preserve">. Lisboa: Presença, 1985.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Calibri" w:cs="Times New Roman"/>
                <w:color w:val="000000"/>
              </w:rPr>
            </w:pPr>
            <w:r>
              <w:rPr>
                <w:rFonts w:ascii="Times New Roman" w:hAnsi="Times New Roman" w:eastAsia="Times New Roman" w:cs="Times New Roman"/>
                <w:color w:val="000000"/>
              </w:rPr>
              <w:t xml:space="preserve">GRUZINSKI, Serge. </w:t>
            </w:r>
            <w:r>
              <w:rPr>
                <w:rFonts w:ascii="Times New Roman" w:hAnsi="Times New Roman" w:eastAsia="Times New Roman" w:cs="Times New Roman"/>
                <w:b/>
                <w:color w:val="000000"/>
              </w:rPr>
              <w:t>A Águia e o dragão</w:t>
            </w:r>
            <w:r>
              <w:rPr>
                <w:rFonts w:ascii="Times New Roman" w:hAnsi="Times New Roman" w:eastAsia="Times New Roman" w:cs="Times New Roman"/>
                <w:color w:val="000000"/>
              </w:rPr>
              <w:t xml:space="preserve">. São Paulo: Cia. das Letras, 2015.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Calibri" w:cs="Times New Roman"/>
                <w:color w:val="000000"/>
              </w:rPr>
            </w:pPr>
            <w:r>
              <w:rPr>
                <w:rFonts w:ascii="Times New Roman" w:hAnsi="Times New Roman" w:eastAsia="Times New Roman" w:cs="Times New Roman"/>
                <w:color w:val="000000"/>
              </w:rPr>
              <w:t xml:space="preserve">RAVERI, Massimo. </w:t>
            </w:r>
            <w:r>
              <w:rPr>
                <w:rFonts w:ascii="Times New Roman" w:hAnsi="Times New Roman" w:eastAsia="Times New Roman" w:cs="Times New Roman"/>
                <w:b/>
                <w:color w:val="000000"/>
              </w:rPr>
              <w:t>Índia e extremo oriente: via da libertação e da imortalidade</w:t>
            </w:r>
            <w:r>
              <w:rPr>
                <w:rFonts w:ascii="Times New Roman" w:hAnsi="Times New Roman" w:eastAsia="Times New Roman" w:cs="Times New Roman"/>
                <w:color w:val="000000"/>
              </w:rPr>
              <w:t xml:space="preserve">. São Paulo: Hedra, 2005.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Calibri" w:cs="Times New Roman"/>
                <w:color w:val="000000"/>
              </w:rPr>
            </w:pPr>
            <w:r>
              <w:rPr>
                <w:rFonts w:ascii="Times New Roman" w:hAnsi="Times New Roman" w:eastAsia="Times New Roman" w:cs="Times New Roman"/>
                <w:color w:val="000000"/>
              </w:rPr>
              <w:t xml:space="preserve">SCHWARTZ, Stuart. </w:t>
            </w:r>
            <w:r>
              <w:rPr>
                <w:rFonts w:ascii="Times New Roman" w:hAnsi="Times New Roman" w:eastAsia="Times New Roman" w:cs="Times New Roman"/>
                <w:b/>
                <w:color w:val="000000"/>
              </w:rPr>
              <w:t>Cada um na sua lei</w:t>
            </w:r>
            <w:r>
              <w:rPr>
                <w:rFonts w:ascii="Times New Roman" w:hAnsi="Times New Roman" w:eastAsia="Times New Roman" w:cs="Times New Roman"/>
                <w:color w:val="000000"/>
              </w:rPr>
              <w:t xml:space="preserve">. São Paulo/Bauru: Cia. das Letras/Edusc, 2009.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Calibri" w:cs="Times New Roman"/>
                <w:color w:val="000000"/>
              </w:rPr>
            </w:pPr>
            <w:r>
              <w:rPr>
                <w:rFonts w:ascii="Times New Roman" w:hAnsi="Times New Roman" w:eastAsia="Times New Roman" w:cs="Times New Roman"/>
                <w:color w:val="000000"/>
              </w:rPr>
              <w:t xml:space="preserve">SOUSTELLE, Jacques. </w:t>
            </w:r>
            <w:r>
              <w:rPr>
                <w:rFonts w:ascii="Times New Roman" w:hAnsi="Times New Roman" w:eastAsia="Times New Roman" w:cs="Times New Roman"/>
                <w:b/>
                <w:color w:val="000000"/>
              </w:rPr>
              <w:t>Os astecas na véspera da conquista espanhola</w:t>
            </w:r>
            <w:r>
              <w:rPr>
                <w:rFonts w:ascii="Times New Roman" w:hAnsi="Times New Roman" w:eastAsia="Times New Roman" w:cs="Times New Roman"/>
                <w:color w:val="000000"/>
              </w:rPr>
              <w:t xml:space="preserve">. São Paulo: Cia. das Letras, 1990.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Calibri" w:cs="Times New Roman"/>
                <w:color w:val="000000"/>
              </w:rPr>
            </w:pPr>
            <w:r>
              <w:rPr>
                <w:rFonts w:ascii="Times New Roman" w:hAnsi="Times New Roman" w:eastAsia="Times New Roman" w:cs="Times New Roman"/>
                <w:color w:val="000000"/>
              </w:rPr>
              <w:t xml:space="preserve">WACHTEL, Nathan. </w:t>
            </w:r>
            <w:r>
              <w:rPr>
                <w:rFonts w:ascii="Times New Roman" w:hAnsi="Times New Roman" w:eastAsia="Times New Roman" w:cs="Times New Roman"/>
                <w:b/>
                <w:color w:val="000000"/>
              </w:rPr>
              <w:t>A Fé na lembrança: labirintos marranos</w:t>
            </w:r>
            <w:r>
              <w:rPr>
                <w:rFonts w:ascii="Times New Roman" w:hAnsi="Times New Roman" w:eastAsia="Times New Roman" w:cs="Times New Roman"/>
                <w:color w:val="000000"/>
              </w:rPr>
              <w:t xml:space="preserve">. São Paulo: Edusp, 2009. </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15"/>
        <w:tblW w:w="8879" w:type="dxa"/>
        <w:tblInd w:w="65" w:type="dxa"/>
        <w:tblLayout w:type="fixed"/>
        <w:tblCellMar>
          <w:top w:w="0" w:type="dxa"/>
          <w:left w:w="108" w:type="dxa"/>
          <w:bottom w:w="0" w:type="dxa"/>
          <w:right w:w="108" w:type="dxa"/>
        </w:tblCellMar>
      </w:tblPr>
      <w:tblGrid>
        <w:gridCol w:w="2958"/>
        <w:gridCol w:w="3115"/>
        <w:gridCol w:w="2806"/>
      </w:tblGrid>
      <w:tr>
        <w:tblPrEx>
          <w:tblCellMar>
            <w:top w:w="0" w:type="dxa"/>
            <w:left w:w="108" w:type="dxa"/>
            <w:bottom w:w="0" w:type="dxa"/>
            <w:right w:w="108" w:type="dxa"/>
          </w:tblCellMar>
        </w:tblPrEx>
        <w:tc>
          <w:tcPr>
            <w:tcW w:w="6073" w:type="dxa"/>
            <w:gridSpan w:val="2"/>
            <w:tcBorders>
              <w:top w:val="single" w:color="000000" w:sz="18"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do Componente Curricular em português:</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Histórias emaranhadas: perspectivas sobre a Primeira Modernidade.</w:t>
            </w:r>
          </w:p>
          <w:p>
            <w:pPr>
              <w:spacing w:before="240" w:line="360" w:lineRule="auto"/>
              <w:ind w:left="0" w:hanging="2"/>
              <w:jc w:val="both"/>
              <w:rPr>
                <w:rFonts w:ascii="Times New Roman" w:hAnsi="Times New Roman" w:cs="Times New Roman"/>
              </w:rPr>
            </w:pPr>
            <w:r>
              <w:rPr>
                <w:rFonts w:ascii="Times New Roman" w:hAnsi="Times New Roman" w:eastAsia="Times New Roman" w:cs="Times New Roman"/>
              </w:rPr>
              <w:t xml:space="preserve">Nome do Componente Curricular em inglês: Entangled histories: perspectives on Early modern history </w:t>
            </w:r>
          </w:p>
        </w:tc>
        <w:tc>
          <w:tcPr>
            <w:tcW w:w="2806" w:type="dxa"/>
            <w:tcBorders>
              <w:top w:val="single" w:color="000000" w:sz="18"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Código: HIS944</w:t>
            </w:r>
          </w:p>
        </w:tc>
      </w:tr>
      <w:tr>
        <w:tblPrEx>
          <w:tblCellMar>
            <w:top w:w="0" w:type="dxa"/>
            <w:left w:w="108" w:type="dxa"/>
            <w:bottom w:w="0" w:type="dxa"/>
            <w:right w:w="108" w:type="dxa"/>
          </w:tblCellMar>
        </w:tblPrEx>
        <w:trPr>
          <w:trHeight w:val="641" w:hRule="atLeast"/>
        </w:trPr>
        <w:tc>
          <w:tcPr>
            <w:tcW w:w="6073" w:type="dxa"/>
            <w:gridSpan w:val="2"/>
            <w:tcBorders>
              <w:top w:val="single" w:color="000000" w:sz="4"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e sigla do departamento:</w:t>
            </w:r>
          </w:p>
          <w:p>
            <w:pPr>
              <w:spacing w:line="360" w:lineRule="auto"/>
              <w:ind w:left="0" w:hanging="2"/>
              <w:rPr>
                <w:rFonts w:ascii="Times New Roman" w:hAnsi="Times New Roman" w:cs="Times New Roman"/>
              </w:rPr>
            </w:pPr>
            <w:r>
              <w:rPr>
                <w:rFonts w:ascii="Times New Roman" w:hAnsi="Times New Roman" w:eastAsia="Times New Roman" w:cs="Times New Roman"/>
              </w:rPr>
              <w:t>Departamento de História - DEHIS</w:t>
            </w:r>
          </w:p>
        </w:tc>
        <w:tc>
          <w:tcPr>
            <w:tcW w:w="2806" w:type="dxa"/>
            <w:tcBorders>
              <w:top w:val="single" w:color="000000" w:sz="4"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Unidade acadêmica: ICHS</w:t>
            </w:r>
          </w:p>
        </w:tc>
      </w:tr>
      <w:tr>
        <w:tblPrEx>
          <w:tblCellMar>
            <w:top w:w="0" w:type="dxa"/>
            <w:left w:w="108" w:type="dxa"/>
            <w:bottom w:w="0" w:type="dxa"/>
            <w:right w:w="108" w:type="dxa"/>
          </w:tblCellMar>
        </w:tblPrEx>
        <w:trPr>
          <w:trHeight w:val="641" w:hRule="atLeast"/>
        </w:trPr>
        <w:tc>
          <w:tcPr>
            <w:tcW w:w="2958" w:type="dxa"/>
            <w:tcBorders>
              <w:top w:val="single" w:color="000000" w:sz="4" w:space="0"/>
              <w:left w:val="single" w:color="000000" w:sz="18" w:space="0"/>
              <w:bottom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Carga horária semestral</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60 horas</w:t>
            </w:r>
          </w:p>
        </w:tc>
        <w:tc>
          <w:tcPr>
            <w:tcW w:w="3115" w:type="dxa"/>
            <w:tcBorders>
              <w:top w:val="single" w:color="000000" w:sz="4" w:space="0"/>
              <w:left w:val="single" w:color="000000" w:sz="4" w:space="0"/>
              <w:bottom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 xml:space="preserve">Carga horária semanal teórica </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04 horas/aula</w:t>
            </w:r>
          </w:p>
        </w:tc>
        <w:tc>
          <w:tcPr>
            <w:tcW w:w="2806" w:type="dxa"/>
            <w:tcBorders>
              <w:top w:val="single" w:color="000000" w:sz="4" w:space="0"/>
              <w:left w:val="single" w:color="000000" w:sz="4" w:space="0"/>
              <w:bottom w:val="single" w:color="000000" w:sz="4" w:space="0"/>
              <w:right w:val="single" w:color="000000" w:sz="18"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Carga horária semanal prática</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00 horas/aula</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Ementa: Nesta disciplina estudaremos o trânsito de pessoas, bens, ideias, germes, alimentos, animais etc., que existiu entre algumas regiões do mundo, intensificou-se sobremaneira a partir do final do século XV. Este fenômeno foi descrito e estudado de diferentes maneiras a partir de conceitos como o de globalização, mundialização, ocidentalização, e sob perspectivas as mais diversas como a das histórias conectadas, entrelaçadas, atlântica, global, de estruturação de redes, sistemas-mundo, entre outras. Este curso intenciona mapear tais discussões e temas”.</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Conteúdo programático: </w:t>
            </w:r>
          </w:p>
          <w:p>
            <w:pPr>
              <w:numPr>
                <w:ilvl w:val="0"/>
                <w:numId w:val="101"/>
              </w:numPr>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 xml:space="preserve"> Mundialização e globalização</w:t>
            </w:r>
          </w:p>
          <w:p>
            <w:pPr>
              <w:numPr>
                <w:ilvl w:val="0"/>
                <w:numId w:val="101"/>
              </w:numPr>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Intercâmbio colombiano</w:t>
            </w:r>
          </w:p>
          <w:p>
            <w:pPr>
              <w:numPr>
                <w:ilvl w:val="0"/>
                <w:numId w:val="101"/>
              </w:numPr>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 xml:space="preserve"> Relações entre África, Ásia e América</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Bibliografia básica: </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CAÑIZARES-ESGUERRA, Jorge; FERNANDES, Luiz Estevam de Oliveira; MARTINS, Maria Cristina Bohn (Org.). </w:t>
            </w:r>
            <w:r>
              <w:rPr>
                <w:rFonts w:ascii="Times New Roman" w:hAnsi="Times New Roman" w:eastAsia="Times New Roman" w:cs="Times New Roman"/>
                <w:b/>
              </w:rPr>
              <w:t>As Américas na primeira modernidade/ (1492-1750).</w:t>
            </w:r>
            <w:r>
              <w:rPr>
                <w:rFonts w:ascii="Times New Roman" w:hAnsi="Times New Roman" w:eastAsia="Times New Roman" w:cs="Times New Roman"/>
              </w:rPr>
              <w:t xml:space="preserve"> Curitiba: Prismas, 2017, Vol. 1. </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GRUZINSKI, Serge. </w:t>
            </w:r>
            <w:r>
              <w:rPr>
                <w:rFonts w:ascii="Times New Roman" w:hAnsi="Times New Roman" w:eastAsia="Times New Roman" w:cs="Times New Roman"/>
                <w:b/>
              </w:rPr>
              <w:t>A passagem do século: 1480-1520, as origens da globalização</w:t>
            </w:r>
            <w:r>
              <w:rPr>
                <w:rFonts w:ascii="Times New Roman" w:hAnsi="Times New Roman" w:eastAsia="Times New Roman" w:cs="Times New Roman"/>
              </w:rPr>
              <w:t>. São Paulo: Companhia de Letras, 1999.</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SPENCE, Jonathan D. </w:t>
            </w:r>
            <w:r>
              <w:rPr>
                <w:rFonts w:ascii="Times New Roman" w:hAnsi="Times New Roman" w:eastAsia="Times New Roman" w:cs="Times New Roman"/>
                <w:b/>
              </w:rPr>
              <w:t>O palácio da memória de Matteo Ricci: a história de uma viagem: da Europa da contra-reforma à China da Dinastia Ming</w:t>
            </w:r>
            <w:r>
              <w:rPr>
                <w:rFonts w:ascii="Times New Roman" w:hAnsi="Times New Roman" w:eastAsia="Times New Roman" w:cs="Times New Roman"/>
              </w:rPr>
              <w:t>. São Paulo: Companhia das Letras, 1986.</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THORNTON, John Kelly. </w:t>
            </w:r>
            <w:r>
              <w:rPr>
                <w:rFonts w:ascii="Times New Roman" w:hAnsi="Times New Roman" w:eastAsia="Times New Roman" w:cs="Times New Roman"/>
                <w:b/>
              </w:rPr>
              <w:t>A África e os africanos: na formação do mundo Atlântico, 1400-1800</w:t>
            </w:r>
            <w:r>
              <w:rPr>
                <w:rFonts w:ascii="Times New Roman" w:hAnsi="Times New Roman" w:eastAsia="Times New Roman" w:cs="Times New Roman"/>
              </w:rPr>
              <w:t xml:space="preserve">. 5. ed. Rio de Janeiro: Campus, 2004. </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16"/>
        <w:tblW w:w="8879" w:type="dxa"/>
        <w:tblInd w:w="65" w:type="dxa"/>
        <w:tblLayout w:type="fixed"/>
        <w:tblCellMar>
          <w:top w:w="0" w:type="dxa"/>
          <w:left w:w="108" w:type="dxa"/>
          <w:bottom w:w="0" w:type="dxa"/>
          <w:right w:w="108" w:type="dxa"/>
        </w:tblCellMar>
      </w:tblPr>
      <w:tblGrid>
        <w:gridCol w:w="2958"/>
        <w:gridCol w:w="3115"/>
        <w:gridCol w:w="2806"/>
      </w:tblGrid>
      <w:tr>
        <w:tblPrEx>
          <w:tblCellMar>
            <w:top w:w="0" w:type="dxa"/>
            <w:left w:w="108" w:type="dxa"/>
            <w:bottom w:w="0" w:type="dxa"/>
            <w:right w:w="108" w:type="dxa"/>
          </w:tblCellMar>
        </w:tblPrEx>
        <w:tc>
          <w:tcPr>
            <w:tcW w:w="6073" w:type="dxa"/>
            <w:gridSpan w:val="2"/>
            <w:tcBorders>
              <w:top w:val="single" w:color="000000" w:sz="18"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 xml:space="preserve">Nome do Componente Curricular em português: Leitura Dirigida em História das Américas I </w:t>
            </w:r>
          </w:p>
          <w:p>
            <w:pPr>
              <w:spacing w:before="240" w:line="360" w:lineRule="auto"/>
              <w:ind w:left="0" w:hanging="2"/>
              <w:jc w:val="both"/>
              <w:rPr>
                <w:rFonts w:ascii="Times New Roman" w:hAnsi="Times New Roman" w:cs="Times New Roman"/>
              </w:rPr>
            </w:pPr>
            <w:r>
              <w:rPr>
                <w:rFonts w:ascii="Times New Roman" w:hAnsi="Times New Roman" w:eastAsia="Times New Roman" w:cs="Times New Roman"/>
              </w:rPr>
              <w:t xml:space="preserve">Nome do Componente Curricular em inglês: Guided Reading on America History I  </w:t>
            </w:r>
          </w:p>
        </w:tc>
        <w:tc>
          <w:tcPr>
            <w:tcW w:w="2806" w:type="dxa"/>
            <w:tcBorders>
              <w:top w:val="single" w:color="000000" w:sz="18"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Código: HIS945</w:t>
            </w:r>
          </w:p>
        </w:tc>
      </w:tr>
      <w:tr>
        <w:tblPrEx>
          <w:tblCellMar>
            <w:top w:w="0" w:type="dxa"/>
            <w:left w:w="108" w:type="dxa"/>
            <w:bottom w:w="0" w:type="dxa"/>
            <w:right w:w="108" w:type="dxa"/>
          </w:tblCellMar>
        </w:tblPrEx>
        <w:trPr>
          <w:trHeight w:val="641" w:hRule="atLeast"/>
        </w:trPr>
        <w:tc>
          <w:tcPr>
            <w:tcW w:w="6073" w:type="dxa"/>
            <w:gridSpan w:val="2"/>
            <w:tcBorders>
              <w:top w:val="single" w:color="000000" w:sz="4"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e sigla do departamento:</w:t>
            </w:r>
          </w:p>
          <w:p>
            <w:pPr>
              <w:spacing w:line="360" w:lineRule="auto"/>
              <w:ind w:left="0" w:hanging="2"/>
              <w:rPr>
                <w:rFonts w:ascii="Times New Roman" w:hAnsi="Times New Roman" w:cs="Times New Roman"/>
              </w:rPr>
            </w:pPr>
            <w:r>
              <w:rPr>
                <w:rFonts w:ascii="Times New Roman" w:hAnsi="Times New Roman" w:eastAsia="Times New Roman" w:cs="Times New Roman"/>
              </w:rPr>
              <w:t>Departamento de História - DEHIS</w:t>
            </w:r>
          </w:p>
        </w:tc>
        <w:tc>
          <w:tcPr>
            <w:tcW w:w="2806" w:type="dxa"/>
            <w:tcBorders>
              <w:top w:val="single" w:color="000000" w:sz="4"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Unidade acadêmica: ICHS</w:t>
            </w:r>
          </w:p>
        </w:tc>
      </w:tr>
      <w:tr>
        <w:tblPrEx>
          <w:tblCellMar>
            <w:top w:w="0" w:type="dxa"/>
            <w:left w:w="108" w:type="dxa"/>
            <w:bottom w:w="0" w:type="dxa"/>
            <w:right w:w="108" w:type="dxa"/>
          </w:tblCellMar>
        </w:tblPrEx>
        <w:trPr>
          <w:trHeight w:val="641" w:hRule="atLeast"/>
        </w:trPr>
        <w:tc>
          <w:tcPr>
            <w:tcW w:w="2958" w:type="dxa"/>
            <w:tcBorders>
              <w:top w:val="single" w:color="000000" w:sz="4" w:space="0"/>
              <w:left w:val="single" w:color="000000" w:sz="18" w:space="0"/>
              <w:bottom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Carga horária semestral</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30 horas</w:t>
            </w:r>
          </w:p>
        </w:tc>
        <w:tc>
          <w:tcPr>
            <w:tcW w:w="3115" w:type="dxa"/>
            <w:tcBorders>
              <w:top w:val="single" w:color="000000" w:sz="4" w:space="0"/>
              <w:left w:val="single" w:color="000000" w:sz="4" w:space="0"/>
              <w:bottom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 xml:space="preserve">Carga horária semanal teórica </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02 horas/aula</w:t>
            </w:r>
          </w:p>
        </w:tc>
        <w:tc>
          <w:tcPr>
            <w:tcW w:w="2806" w:type="dxa"/>
            <w:tcBorders>
              <w:top w:val="single" w:color="000000" w:sz="4" w:space="0"/>
              <w:left w:val="single" w:color="000000" w:sz="4" w:space="0"/>
              <w:bottom w:val="single" w:color="000000" w:sz="4" w:space="0"/>
              <w:right w:val="single" w:color="000000" w:sz="18"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Carga horária semanal prática</w:t>
            </w:r>
          </w:p>
          <w:p>
            <w:pPr>
              <w:spacing w:line="360" w:lineRule="auto"/>
              <w:ind w:left="0" w:hanging="2"/>
              <w:jc w:val="center"/>
              <w:rPr>
                <w:rFonts w:ascii="Times New Roman" w:hAnsi="Times New Roman" w:cs="Times New Roman"/>
              </w:rPr>
            </w:pPr>
            <w:r>
              <w:rPr>
                <w:rFonts w:ascii="Times New Roman" w:hAnsi="Times New Roman" w:eastAsia="Times New Roman" w:cs="Times New Roman"/>
              </w:rPr>
              <w:t>00 horas/aula</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Ementa: A disciplina tem por objetivo debates questões mais gerais relacionadas à pesquisa, ensino e extensão em História das Américas.</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Conteúdo programático: </w:t>
            </w:r>
          </w:p>
          <w:p>
            <w:pPr>
              <w:numPr>
                <w:ilvl w:val="0"/>
                <w:numId w:val="102"/>
              </w:numPr>
              <w:tabs>
                <w:tab w:val="left" w:pos="0"/>
                <w:tab w:val="left" w:pos="720"/>
              </w:tabs>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Orientação sobre pesquisa em História das Américas </w:t>
            </w:r>
          </w:p>
          <w:p>
            <w:pPr>
              <w:numPr>
                <w:ilvl w:val="0"/>
                <w:numId w:val="102"/>
              </w:numPr>
              <w:tabs>
                <w:tab w:val="left" w:pos="0"/>
                <w:tab w:val="left" w:pos="720"/>
              </w:tabs>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 xml:space="preserve">Práticas de ensino em História das Américas </w:t>
            </w:r>
          </w:p>
          <w:p>
            <w:pPr>
              <w:numPr>
                <w:ilvl w:val="0"/>
                <w:numId w:val="102"/>
              </w:numPr>
              <w:tabs>
                <w:tab w:val="left" w:pos="0"/>
                <w:tab w:val="left" w:pos="720"/>
              </w:tabs>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Debates sobre extensão em História das Américas</w:t>
            </w:r>
          </w:p>
        </w:tc>
      </w:tr>
      <w:tr>
        <w:tblPrEx>
          <w:tblCellMar>
            <w:top w:w="0" w:type="dxa"/>
            <w:left w:w="108" w:type="dxa"/>
            <w:bottom w:w="0" w:type="dxa"/>
            <w:right w:w="108" w:type="dxa"/>
          </w:tblCellMar>
        </w:tblPrEx>
        <w:trPr>
          <w:trHeight w:val="3518" w:hRule="atLeast"/>
        </w:trPr>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Bibliografia básica: </w:t>
            </w:r>
          </w:p>
          <w:p>
            <w:pPr>
              <w:spacing w:line="360" w:lineRule="auto"/>
              <w:ind w:left="0" w:right="142" w:hanging="2"/>
              <w:rPr>
                <w:rFonts w:ascii="Times New Roman" w:hAnsi="Times New Roman" w:cs="Times New Roman"/>
              </w:rPr>
            </w:pPr>
            <w:r>
              <w:rPr>
                <w:rFonts w:ascii="Times New Roman" w:hAnsi="Times New Roman" w:eastAsia="Times New Roman" w:cs="Times New Roman"/>
              </w:rPr>
              <w:t xml:space="preserve"> BARBOSA, Carlos Alberto; LOPES, Maria A. de Souza. A historiografia da Revolução Mexicana no limiar do século XXI: tendências gerais e novas perspectivas. </w:t>
            </w:r>
            <w:r>
              <w:rPr>
                <w:rFonts w:ascii="Times New Roman" w:hAnsi="Times New Roman" w:eastAsia="Times New Roman" w:cs="Times New Roman"/>
                <w:b/>
              </w:rPr>
              <w:t>História</w:t>
            </w:r>
            <w:r>
              <w:rPr>
                <w:rFonts w:ascii="Times New Roman" w:hAnsi="Times New Roman" w:eastAsia="Times New Roman" w:cs="Times New Roman"/>
              </w:rPr>
              <w:t>, São Paulo, 20:163-198, 2001.</w:t>
            </w:r>
          </w:p>
          <w:p>
            <w:pPr>
              <w:spacing w:line="360" w:lineRule="auto"/>
              <w:ind w:left="0" w:right="142" w:hanging="2"/>
              <w:rPr>
                <w:rFonts w:ascii="Times New Roman" w:hAnsi="Times New Roman" w:cs="Times New Roman"/>
              </w:rPr>
            </w:pPr>
            <w:r>
              <w:rPr>
                <w:rFonts w:ascii="Times New Roman" w:hAnsi="Times New Roman" w:eastAsia="Times New Roman" w:cs="Times New Roman"/>
              </w:rPr>
              <w:t xml:space="preserve">KLEIN, Herbert. A experiência afro-americana numa perspectiva comparativa: a situação atual do debate sobre a escravidão nas Américas. </w:t>
            </w:r>
            <w:r>
              <w:rPr>
                <w:rFonts w:ascii="Times New Roman" w:hAnsi="Times New Roman" w:eastAsia="Times New Roman" w:cs="Times New Roman"/>
                <w:b/>
              </w:rPr>
              <w:t>Afro-Ásia</w:t>
            </w:r>
            <w:r>
              <w:rPr>
                <w:rFonts w:ascii="Times New Roman" w:hAnsi="Times New Roman" w:eastAsia="Times New Roman" w:cs="Times New Roman"/>
              </w:rPr>
              <w:t>, 45 (2012), 95-121.</w:t>
            </w:r>
          </w:p>
          <w:p>
            <w:pPr>
              <w:spacing w:line="360" w:lineRule="auto"/>
              <w:ind w:left="0" w:right="142" w:hanging="2"/>
              <w:rPr>
                <w:rFonts w:ascii="Times New Roman" w:hAnsi="Times New Roman" w:cs="Times New Roman"/>
              </w:rPr>
            </w:pPr>
            <w:r>
              <w:rPr>
                <w:rFonts w:ascii="Times New Roman" w:hAnsi="Times New Roman" w:eastAsia="Times New Roman" w:cs="Times New Roman"/>
              </w:rPr>
              <w:t xml:space="preserve">VILLAÇA, Mariana; PRADO, Maria Ligia Coelho (Org.). </w:t>
            </w:r>
            <w:r>
              <w:rPr>
                <w:rFonts w:ascii="Times New Roman" w:hAnsi="Times New Roman" w:eastAsia="Times New Roman" w:cs="Times New Roman"/>
                <w:b/>
              </w:rPr>
              <w:t>História das Américas: fontes e abordagens historiográficas</w:t>
            </w:r>
            <w:r>
              <w:rPr>
                <w:rFonts w:ascii="Times New Roman" w:hAnsi="Times New Roman" w:eastAsia="Times New Roman" w:cs="Times New Roman"/>
              </w:rPr>
              <w:t xml:space="preserve">. São Paulo: Humanitas: CAPES, 2015. Disponível em: </w:t>
            </w:r>
            <w:r>
              <w:fldChar w:fldCharType="begin"/>
            </w:r>
            <w:r>
              <w:instrText xml:space="preserve"> HYPERLINK "https://edisciplinas.usp.br/pluginfile.php/4380043/" \h </w:instrText>
            </w:r>
            <w:r>
              <w:fldChar w:fldCharType="separate"/>
            </w:r>
            <w:r>
              <w:rPr>
                <w:rFonts w:ascii="Times New Roman" w:hAnsi="Times New Roman" w:eastAsia="Times New Roman" w:cs="Times New Roman"/>
                <w:color w:val="0000FF"/>
                <w:u w:val="single"/>
              </w:rPr>
              <w:t>https://edisciplinas.usp.br/pluginfile.php/4380043/</w:t>
            </w:r>
            <w:r>
              <w:rPr>
                <w:rFonts w:ascii="Times New Roman" w:hAnsi="Times New Roman" w:eastAsia="Times New Roman" w:cs="Times New Roman"/>
                <w:color w:val="0000FF"/>
                <w:u w:val="single"/>
              </w:rPr>
              <w:fldChar w:fldCharType="end"/>
            </w:r>
            <w:r>
              <w:rPr>
                <w:rFonts w:ascii="Times New Roman" w:hAnsi="Times New Roman" w:eastAsia="Times New Roman" w:cs="Times New Roman"/>
                <w:color w:val="0563C1"/>
                <w:u w:val="single"/>
              </w:rPr>
              <w:t xml:space="preserve">mod_resource/ </w:t>
            </w:r>
            <w:r>
              <w:rPr>
                <w:rFonts w:ascii="Times New Roman" w:hAnsi="Times New Roman" w:cs="Times New Roman"/>
                <w:color w:val="0563C1"/>
                <w:u w:val="single"/>
              </w:rPr>
              <w:t xml:space="preserve">                                       </w:t>
            </w:r>
            <w:r>
              <w:rPr>
                <w:rFonts w:ascii="Times New Roman" w:hAnsi="Times New Roman" w:eastAsia="Times New Roman" w:cs="Times New Roman"/>
                <w:color w:val="0563C1"/>
                <w:u w:val="single"/>
              </w:rPr>
              <w:t>content/1 /Historia%20das%20Americas.%20Fontes%20e%20Abordagens%20</w:t>
            </w:r>
          </w:p>
          <w:p>
            <w:pPr>
              <w:spacing w:line="360" w:lineRule="auto"/>
              <w:ind w:left="0" w:right="142" w:hanging="2"/>
              <w:rPr>
                <w:rFonts w:ascii="Times New Roman" w:hAnsi="Times New Roman" w:cs="Times New Roman"/>
              </w:rPr>
            </w:pPr>
            <w:r>
              <w:rPr>
                <w:rFonts w:ascii="Times New Roman" w:hAnsi="Times New Roman" w:eastAsia="Times New Roman" w:cs="Times New Roman"/>
                <w:color w:val="0563C1"/>
                <w:u w:val="single"/>
              </w:rPr>
              <w:t>historiogr%C3%A1ficas.pdf</w:t>
            </w:r>
          </w:p>
          <w:p>
            <w:pPr>
              <w:spacing w:line="360" w:lineRule="auto"/>
              <w:ind w:left="0" w:right="142" w:hanging="2"/>
              <w:rPr>
                <w:rFonts w:ascii="Times New Roman" w:hAnsi="Times New Roman" w:cs="Times New Roman"/>
              </w:rPr>
            </w:pPr>
            <w:r>
              <w:rPr>
                <w:rFonts w:ascii="Times New Roman" w:hAnsi="Times New Roman" w:eastAsia="Times New Roman" w:cs="Times New Roman"/>
              </w:rPr>
              <w:t>WEINSTEIN, Barbara. Pensando a história fora da nação: a historiografia da América Latina e o viés transnacional. </w:t>
            </w:r>
            <w:r>
              <w:rPr>
                <w:rFonts w:ascii="Times New Roman" w:hAnsi="Times New Roman" w:eastAsia="Times New Roman" w:cs="Times New Roman"/>
                <w:b/>
              </w:rPr>
              <w:t>Revista Eletrônica da Anphlac</w:t>
            </w:r>
            <w:r>
              <w:rPr>
                <w:rFonts w:ascii="Times New Roman" w:hAnsi="Times New Roman" w:eastAsia="Times New Roman" w:cs="Times New Roman"/>
              </w:rPr>
              <w:t>, n. 14, p. 13-29, jan.-jun. 2013.</w:t>
            </w:r>
          </w:p>
        </w:tc>
      </w:tr>
      <w:tr>
        <w:tblPrEx>
          <w:tblCellMar>
            <w:top w:w="0" w:type="dxa"/>
            <w:left w:w="108" w:type="dxa"/>
            <w:bottom w:w="0" w:type="dxa"/>
            <w:right w:w="108" w:type="dxa"/>
          </w:tblCellMar>
        </w:tblPrEx>
        <w:trPr>
          <w:trHeight w:val="1904" w:hRule="atLeast"/>
        </w:trPr>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right="142" w:hanging="2"/>
              <w:jc w:val="both"/>
              <w:rPr>
                <w:rFonts w:ascii="Times New Roman" w:hAnsi="Times New Roman" w:cs="Times New Roman"/>
              </w:rPr>
            </w:pPr>
            <w:r>
              <w:rPr>
                <w:rFonts w:ascii="Times New Roman" w:hAnsi="Times New Roman" w:eastAsia="Times New Roman" w:cs="Times New Roman"/>
              </w:rPr>
              <w:t xml:space="preserve">Bibliografia complementar: </w:t>
            </w:r>
          </w:p>
          <w:p>
            <w:pPr>
              <w:spacing w:line="360" w:lineRule="auto"/>
              <w:ind w:left="0" w:right="142" w:hanging="2"/>
              <w:rPr>
                <w:rFonts w:ascii="Times New Roman" w:hAnsi="Times New Roman" w:cs="Times New Roman"/>
              </w:rPr>
            </w:pPr>
            <w:r>
              <w:rPr>
                <w:rFonts w:ascii="Times New Roman" w:hAnsi="Times New Roman" w:eastAsia="Times New Roman" w:cs="Times New Roman"/>
              </w:rPr>
              <w:t xml:space="preserve">CANCLINI, Néstor García. </w:t>
            </w:r>
            <w:r>
              <w:rPr>
                <w:rFonts w:ascii="Times New Roman" w:hAnsi="Times New Roman" w:eastAsia="Times New Roman" w:cs="Times New Roman"/>
                <w:b/>
              </w:rPr>
              <w:t>Culturas Híbridas: estratégias para entrar e sair da modernidade</w:t>
            </w:r>
            <w:r>
              <w:rPr>
                <w:rFonts w:ascii="Times New Roman" w:hAnsi="Times New Roman" w:eastAsia="Times New Roman" w:cs="Times New Roman"/>
              </w:rPr>
              <w:t>. 4ª ed. São Paulo: Edusp, 2011.</w:t>
            </w:r>
          </w:p>
          <w:p>
            <w:pPr>
              <w:spacing w:line="360" w:lineRule="auto"/>
              <w:ind w:left="0" w:right="142" w:hanging="2"/>
              <w:rPr>
                <w:rFonts w:ascii="Times New Roman" w:hAnsi="Times New Roman" w:cs="Times New Roman"/>
              </w:rPr>
            </w:pPr>
            <w:r>
              <w:rPr>
                <w:rFonts w:ascii="Times New Roman" w:hAnsi="Times New Roman" w:eastAsia="Times New Roman" w:cs="Times New Roman"/>
              </w:rPr>
              <w:t xml:space="preserve">CAPELATO Maria Helena R. Modernismo latino-americano e construção de identidades através da pintura. </w:t>
            </w:r>
            <w:r>
              <w:rPr>
                <w:rFonts w:ascii="Times New Roman" w:hAnsi="Times New Roman" w:eastAsia="Times New Roman" w:cs="Times New Roman"/>
                <w:b/>
              </w:rPr>
              <w:t>Revista de História</w:t>
            </w:r>
            <w:r>
              <w:rPr>
                <w:rFonts w:ascii="Times New Roman" w:hAnsi="Times New Roman" w:eastAsia="Times New Roman" w:cs="Times New Roman"/>
              </w:rPr>
              <w:t>, USP, n. 153, p. 251-282, 2º semestre de 2005.</w:t>
            </w:r>
          </w:p>
          <w:p>
            <w:pPr>
              <w:spacing w:line="360" w:lineRule="auto"/>
              <w:ind w:left="0" w:right="142" w:hanging="2"/>
              <w:rPr>
                <w:rFonts w:ascii="Times New Roman" w:hAnsi="Times New Roman" w:cs="Times New Roman"/>
              </w:rPr>
            </w:pPr>
            <w:r>
              <w:rPr>
                <w:rFonts w:ascii="Times New Roman" w:hAnsi="Times New Roman" w:eastAsia="Times New Roman" w:cs="Times New Roman"/>
              </w:rPr>
              <w:t xml:space="preserve">HALL, Stuart. </w:t>
            </w:r>
            <w:r>
              <w:rPr>
                <w:rFonts w:ascii="Times New Roman" w:hAnsi="Times New Roman" w:eastAsia="Times New Roman" w:cs="Times New Roman"/>
                <w:b/>
              </w:rPr>
              <w:t>Da diáspora: identidades e mediações culturais</w:t>
            </w:r>
            <w:r>
              <w:rPr>
                <w:rFonts w:ascii="Times New Roman" w:hAnsi="Times New Roman" w:eastAsia="Times New Roman" w:cs="Times New Roman"/>
              </w:rPr>
              <w:t>. Belo Horizonte: Editora UFMG, 2009.</w:t>
            </w:r>
          </w:p>
          <w:p>
            <w:pPr>
              <w:spacing w:line="360" w:lineRule="auto"/>
              <w:ind w:left="0" w:right="142" w:hanging="2"/>
              <w:rPr>
                <w:rFonts w:ascii="Times New Roman" w:hAnsi="Times New Roman" w:cs="Times New Roman"/>
              </w:rPr>
            </w:pPr>
            <w:r>
              <w:rPr>
                <w:rFonts w:ascii="Times New Roman" w:hAnsi="Times New Roman" w:eastAsia="Times New Roman" w:cs="Times New Roman"/>
              </w:rPr>
              <w:t xml:space="preserve">PIZARRO, Ana (Org.). </w:t>
            </w:r>
            <w:r>
              <w:rPr>
                <w:rFonts w:ascii="Times New Roman" w:hAnsi="Times New Roman" w:eastAsia="Times New Roman" w:cs="Times New Roman"/>
                <w:b/>
              </w:rPr>
              <w:t>América Latina: palavra, literatura e cultura</w:t>
            </w:r>
            <w:r>
              <w:rPr>
                <w:rFonts w:ascii="Times New Roman" w:hAnsi="Times New Roman" w:eastAsia="Times New Roman" w:cs="Times New Roman"/>
              </w:rPr>
              <w:t>. 3 volumes. São Paulo; Campinas: Memorial; Ed. Unicamp, 1994.</w:t>
            </w:r>
          </w:p>
          <w:p>
            <w:pPr>
              <w:spacing w:line="360" w:lineRule="auto"/>
              <w:ind w:left="0" w:right="142" w:hanging="2"/>
              <w:rPr>
                <w:rFonts w:ascii="Times New Roman" w:hAnsi="Times New Roman" w:cs="Times New Roman"/>
              </w:rPr>
            </w:pPr>
            <w:r>
              <w:rPr>
                <w:rFonts w:ascii="Times New Roman" w:hAnsi="Times New Roman" w:eastAsia="Times New Roman" w:cs="Times New Roman"/>
              </w:rPr>
              <w:t xml:space="preserve">PRADO, Maria Ligia Coelho. </w:t>
            </w:r>
            <w:r>
              <w:rPr>
                <w:rFonts w:ascii="Times New Roman" w:hAnsi="Times New Roman" w:eastAsia="Times New Roman" w:cs="Times New Roman"/>
                <w:b/>
              </w:rPr>
              <w:t>América Latina no século XIX: tramas, telas e textos</w:t>
            </w:r>
            <w:r>
              <w:rPr>
                <w:rFonts w:ascii="Times New Roman" w:hAnsi="Times New Roman" w:eastAsia="Times New Roman" w:cs="Times New Roman"/>
              </w:rPr>
              <w:t>. São Paulo: Edusp; Bauru: Edusc, 1999.</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ZEA, Leopoldo (Coord.). </w:t>
            </w:r>
            <w:r>
              <w:rPr>
                <w:rFonts w:ascii="Times New Roman" w:hAnsi="Times New Roman" w:eastAsia="Times New Roman" w:cs="Times New Roman"/>
                <w:b/>
              </w:rPr>
              <w:t>América Latina en sus ideas</w:t>
            </w:r>
            <w:r>
              <w:rPr>
                <w:rFonts w:ascii="Times New Roman" w:hAnsi="Times New Roman" w:eastAsia="Times New Roman" w:cs="Times New Roman"/>
              </w:rPr>
              <w:t>. México: Siglo XXI/UNESCO, 1986.</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17"/>
        <w:tblW w:w="9235" w:type="dxa"/>
        <w:tblInd w:w="59" w:type="dxa"/>
        <w:tblLayout w:type="fixed"/>
        <w:tblCellMar>
          <w:top w:w="0" w:type="dxa"/>
          <w:left w:w="108" w:type="dxa"/>
          <w:bottom w:w="0" w:type="dxa"/>
          <w:right w:w="108" w:type="dxa"/>
        </w:tblCellMar>
      </w:tblPr>
      <w:tblGrid>
        <w:gridCol w:w="6124"/>
        <w:gridCol w:w="3111"/>
      </w:tblGrid>
      <w:tr>
        <w:tblPrEx>
          <w:tblCellMar>
            <w:top w:w="0" w:type="dxa"/>
            <w:left w:w="108" w:type="dxa"/>
            <w:bottom w:w="0" w:type="dxa"/>
            <w:right w:w="108" w:type="dxa"/>
          </w:tblCellMar>
        </w:tblPrEx>
        <w:tc>
          <w:tcPr>
            <w:tcW w:w="6124" w:type="dxa"/>
            <w:tcBorders>
              <w:top w:val="single" w:color="000000" w:sz="20" w:space="0"/>
              <w:left w:val="single" w:color="000000" w:sz="20"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 xml:space="preserve">Nome do Componente Curricular em português: Leitura Dirigida em História das Américas II </w:t>
            </w:r>
          </w:p>
          <w:p>
            <w:pPr>
              <w:spacing w:before="240" w:line="360" w:lineRule="auto"/>
              <w:ind w:left="0" w:hanging="2"/>
              <w:rPr>
                <w:rFonts w:ascii="Times New Roman" w:hAnsi="Times New Roman" w:cs="Times New Roman"/>
              </w:rPr>
            </w:pPr>
            <w:r>
              <w:rPr>
                <w:rFonts w:ascii="Times New Roman" w:hAnsi="Times New Roman" w:eastAsia="Times New Roman" w:cs="Times New Roman"/>
              </w:rPr>
              <w:t xml:space="preserve">Nome do Componente Curricular em inglês: Guided Reading on America History II </w:t>
            </w:r>
          </w:p>
        </w:tc>
        <w:tc>
          <w:tcPr>
            <w:tcW w:w="3111" w:type="dxa"/>
            <w:tcBorders>
              <w:top w:val="single" w:color="000000" w:sz="20" w:space="0"/>
              <w:left w:val="single" w:color="000000" w:sz="4" w:space="0"/>
              <w:bottom w:val="single" w:color="000000" w:sz="4" w:space="0"/>
              <w:right w:val="single" w:color="000000" w:sz="20"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Código: HIS946</w:t>
            </w:r>
          </w:p>
        </w:tc>
      </w:tr>
      <w:tr>
        <w:tblPrEx>
          <w:tblCellMar>
            <w:top w:w="0" w:type="dxa"/>
            <w:left w:w="108" w:type="dxa"/>
            <w:bottom w:w="0" w:type="dxa"/>
            <w:right w:w="108" w:type="dxa"/>
          </w:tblCellMar>
        </w:tblPrEx>
        <w:trPr>
          <w:trHeight w:val="641" w:hRule="atLeast"/>
        </w:trPr>
        <w:tc>
          <w:tcPr>
            <w:tcW w:w="6124" w:type="dxa"/>
            <w:tcBorders>
              <w:top w:val="single" w:color="000000" w:sz="4" w:space="0"/>
              <w:left w:val="single" w:color="000000" w:sz="20"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e sigla do departamento: Departamento de História - DEHIS</w:t>
            </w:r>
          </w:p>
        </w:tc>
        <w:tc>
          <w:tcPr>
            <w:tcW w:w="3111" w:type="dxa"/>
            <w:tcBorders>
              <w:top w:val="single" w:color="000000" w:sz="4" w:space="0"/>
              <w:left w:val="single" w:color="000000" w:sz="4" w:space="0"/>
              <w:bottom w:val="single" w:color="000000" w:sz="4" w:space="0"/>
              <w:right w:val="single" w:color="000000" w:sz="20"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Unidade acadêmica: ICHS</w:t>
            </w:r>
          </w:p>
        </w:tc>
      </w:tr>
      <w:tr>
        <w:tblPrEx>
          <w:tblCellMar>
            <w:top w:w="0" w:type="dxa"/>
            <w:left w:w="108" w:type="dxa"/>
            <w:bottom w:w="0" w:type="dxa"/>
            <w:right w:w="108" w:type="dxa"/>
          </w:tblCellMar>
        </w:tblPrEx>
        <w:tc>
          <w:tcPr>
            <w:tcW w:w="9235" w:type="dxa"/>
            <w:gridSpan w:val="2"/>
            <w:tcBorders>
              <w:top w:val="single" w:color="000000" w:sz="4" w:space="0"/>
              <w:left w:val="single" w:color="000000" w:sz="20" w:space="0"/>
              <w:bottom w:val="single" w:color="000000" w:sz="4" w:space="0"/>
              <w:right w:val="single" w:color="000000" w:sz="20"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cs="Times New Roman"/>
              </w:rPr>
            </w:pPr>
          </w:p>
          <w:tbl>
            <w:tblPr>
              <w:tblStyle w:val="618"/>
              <w:tblW w:w="9103" w:type="dxa"/>
              <w:tblInd w:w="0" w:type="dxa"/>
              <w:tblLayout w:type="fixed"/>
              <w:tblCellMar>
                <w:top w:w="0" w:type="dxa"/>
                <w:left w:w="108" w:type="dxa"/>
                <w:bottom w:w="0" w:type="dxa"/>
                <w:right w:w="108" w:type="dxa"/>
              </w:tblCellMar>
            </w:tblPr>
            <w:tblGrid>
              <w:gridCol w:w="3202"/>
              <w:gridCol w:w="2988"/>
              <w:gridCol w:w="2913"/>
            </w:tblGrid>
            <w:tr>
              <w:trPr>
                <w:trHeight w:val="641" w:hRule="atLeast"/>
              </w:trPr>
              <w:tc>
                <w:tcPr>
                  <w:tcW w:w="3202" w:type="dxa"/>
                  <w:tcBorders>
                    <w:top w:val="single" w:color="000000" w:sz="4" w:space="0"/>
                    <w:left w:val="single" w:color="000000" w:sz="20" w:space="0"/>
                    <w:bottom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color w:val="1C1C1C"/>
                    </w:rPr>
                    <w:t>Carga horária semestral</w:t>
                  </w:r>
                </w:p>
                <w:p>
                  <w:pPr>
                    <w:spacing w:line="360" w:lineRule="auto"/>
                    <w:ind w:left="0" w:hanging="2"/>
                    <w:jc w:val="center"/>
                    <w:rPr>
                      <w:rFonts w:ascii="Times New Roman" w:hAnsi="Times New Roman" w:cs="Times New Roman"/>
                    </w:rPr>
                  </w:pPr>
                  <w:r>
                    <w:rPr>
                      <w:rFonts w:ascii="Times New Roman" w:hAnsi="Times New Roman" w:eastAsia="Times New Roman" w:cs="Times New Roman"/>
                      <w:color w:val="1C1C1C"/>
                    </w:rPr>
                    <w:t>30 horas</w:t>
                  </w:r>
                </w:p>
              </w:tc>
              <w:tc>
                <w:tcPr>
                  <w:tcW w:w="2988" w:type="dxa"/>
                  <w:tcBorders>
                    <w:top w:val="single" w:color="000000" w:sz="4" w:space="0"/>
                    <w:left w:val="single" w:color="000000" w:sz="4" w:space="0"/>
                    <w:bottom w:val="single" w:color="000000" w:sz="4"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color w:val="1C1C1C"/>
                    </w:rPr>
                    <w:t>Carga horária semanal teórica</w:t>
                  </w:r>
                </w:p>
                <w:p>
                  <w:pPr>
                    <w:spacing w:line="360" w:lineRule="auto"/>
                    <w:ind w:left="0" w:hanging="2"/>
                    <w:jc w:val="center"/>
                    <w:rPr>
                      <w:rFonts w:ascii="Times New Roman" w:hAnsi="Times New Roman" w:cs="Times New Roman"/>
                    </w:rPr>
                  </w:pPr>
                  <w:r>
                    <w:rPr>
                      <w:rFonts w:ascii="Times New Roman" w:hAnsi="Times New Roman" w:eastAsia="Times New Roman" w:cs="Times New Roman"/>
                      <w:color w:val="1C1C1C"/>
                    </w:rPr>
                    <w:t>02 horas/aula</w:t>
                  </w:r>
                </w:p>
              </w:tc>
              <w:tc>
                <w:tcPr>
                  <w:tcW w:w="2913" w:type="dxa"/>
                  <w:tcBorders>
                    <w:top w:val="single" w:color="000000" w:sz="4" w:space="0"/>
                    <w:left w:val="single" w:color="000000" w:sz="4" w:space="0"/>
                    <w:bottom w:val="single" w:color="000000" w:sz="4" w:space="0"/>
                    <w:right w:val="single" w:color="000000" w:sz="20" w:space="0"/>
                  </w:tcBorders>
                </w:tcPr>
                <w:p>
                  <w:pPr>
                    <w:spacing w:line="360" w:lineRule="auto"/>
                    <w:ind w:left="0" w:hanging="2"/>
                    <w:jc w:val="center"/>
                    <w:rPr>
                      <w:rFonts w:ascii="Times New Roman" w:hAnsi="Times New Roman" w:cs="Times New Roman"/>
                    </w:rPr>
                  </w:pPr>
                  <w:r>
                    <w:rPr>
                      <w:rFonts w:ascii="Times New Roman" w:hAnsi="Times New Roman" w:eastAsia="Times New Roman" w:cs="Times New Roman"/>
                    </w:rPr>
                    <w:t>Carga horária semanal prática</w:t>
                  </w:r>
                </w:p>
                <w:p>
                  <w:pPr>
                    <w:spacing w:line="360" w:lineRule="auto"/>
                    <w:ind w:left="0" w:hanging="2"/>
                    <w:jc w:val="center"/>
                    <w:rPr>
                      <w:rFonts w:ascii="Times New Roman" w:hAnsi="Times New Roman" w:eastAsia="Times New Roman" w:cs="Times New Roman"/>
                    </w:rPr>
                  </w:pPr>
                </w:p>
              </w:tc>
            </w:tr>
          </w:tbl>
          <w:p>
            <w:pPr>
              <w:spacing w:line="360" w:lineRule="auto"/>
              <w:ind w:left="0" w:hanging="2"/>
              <w:rPr>
                <w:rFonts w:ascii="Times New Roman" w:hAnsi="Times New Roman" w:eastAsia="Times New Roman" w:cs="Times New Roman"/>
              </w:rPr>
            </w:pPr>
          </w:p>
        </w:tc>
      </w:tr>
      <w:tr>
        <w:tblPrEx>
          <w:tblCellMar>
            <w:top w:w="0" w:type="dxa"/>
            <w:left w:w="108" w:type="dxa"/>
            <w:bottom w:w="0" w:type="dxa"/>
            <w:right w:w="108" w:type="dxa"/>
          </w:tblCellMar>
        </w:tblPrEx>
        <w:tc>
          <w:tcPr>
            <w:tcW w:w="9235" w:type="dxa"/>
            <w:gridSpan w:val="2"/>
            <w:tcBorders>
              <w:top w:val="single" w:color="000000" w:sz="4" w:space="0"/>
              <w:left w:val="single" w:color="000000" w:sz="20" w:space="0"/>
              <w:bottom w:val="single" w:color="000000" w:sz="4" w:space="0"/>
              <w:right w:val="single" w:color="000000" w:sz="20"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Ementa: O principal objetivo é abordar de forma mais profunda temas relacionados à pesquisa e o ensino de História das Américas</w:t>
            </w:r>
          </w:p>
        </w:tc>
      </w:tr>
      <w:tr>
        <w:tblPrEx>
          <w:tblCellMar>
            <w:top w:w="0" w:type="dxa"/>
            <w:left w:w="108" w:type="dxa"/>
            <w:bottom w:w="0" w:type="dxa"/>
            <w:right w:w="108" w:type="dxa"/>
          </w:tblCellMar>
        </w:tblPrEx>
        <w:tc>
          <w:tcPr>
            <w:tcW w:w="9235" w:type="dxa"/>
            <w:gridSpan w:val="2"/>
            <w:tcBorders>
              <w:top w:val="single" w:color="000000" w:sz="4" w:space="0"/>
              <w:left w:val="single" w:color="000000" w:sz="20" w:space="0"/>
              <w:bottom w:val="single" w:color="000000" w:sz="4" w:space="0"/>
              <w:right w:val="single" w:color="000000" w:sz="20"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 xml:space="preserve">Conteúdo programático: </w:t>
            </w:r>
          </w:p>
          <w:p>
            <w:pPr>
              <w:numPr>
                <w:ilvl w:val="0"/>
                <w:numId w:val="103"/>
              </w:numPr>
              <w:tabs>
                <w:tab w:val="left" w:pos="0"/>
                <w:tab w:val="left" w:pos="720"/>
              </w:tabs>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Desafios e possibilidades de se fazer pesquisa a respeito de História das Américas no Brasil</w:t>
            </w:r>
          </w:p>
          <w:p>
            <w:pPr>
              <w:numPr>
                <w:ilvl w:val="0"/>
                <w:numId w:val="103"/>
              </w:numPr>
              <w:tabs>
                <w:tab w:val="left" w:pos="0"/>
                <w:tab w:val="left" w:pos="720"/>
              </w:tabs>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O ensino de História das Américas nas universidades brasileiras</w:t>
            </w:r>
          </w:p>
          <w:p>
            <w:pPr>
              <w:numPr>
                <w:ilvl w:val="0"/>
                <w:numId w:val="103"/>
              </w:numPr>
              <w:tabs>
                <w:tab w:val="left" w:pos="0"/>
                <w:tab w:val="left" w:pos="720"/>
              </w:tabs>
              <w:spacing w:after="200"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 xml:space="preserve">Projetos transnacionais de pesquisas sobre História das Américas </w:t>
            </w:r>
          </w:p>
        </w:tc>
      </w:tr>
      <w:tr>
        <w:tblPrEx>
          <w:tblCellMar>
            <w:top w:w="0" w:type="dxa"/>
            <w:left w:w="108" w:type="dxa"/>
            <w:bottom w:w="0" w:type="dxa"/>
            <w:right w:w="108" w:type="dxa"/>
          </w:tblCellMar>
        </w:tblPrEx>
        <w:tc>
          <w:tcPr>
            <w:tcW w:w="9235" w:type="dxa"/>
            <w:gridSpan w:val="2"/>
            <w:tcBorders>
              <w:top w:val="single" w:color="000000" w:sz="4" w:space="0"/>
              <w:left w:val="single" w:color="000000" w:sz="20" w:space="0"/>
              <w:bottom w:val="single" w:color="000000" w:sz="4" w:space="0"/>
              <w:right w:val="single" w:color="000000" w:sz="20" w:space="0"/>
            </w:tcBorders>
            <w:vAlign w:val="center"/>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Bibliografia básica: </w:t>
            </w:r>
          </w:p>
          <w:p>
            <w:pPr>
              <w:spacing w:line="360" w:lineRule="auto"/>
              <w:ind w:left="0" w:right="130" w:hanging="2"/>
              <w:rPr>
                <w:rFonts w:ascii="Times New Roman" w:hAnsi="Times New Roman" w:cs="Times New Roman"/>
              </w:rPr>
            </w:pPr>
            <w:r>
              <w:rPr>
                <w:rFonts w:ascii="Times New Roman" w:hAnsi="Times New Roman" w:eastAsia="Times New Roman" w:cs="Times New Roman"/>
              </w:rPr>
              <w:t xml:space="preserve">ALMEIDA, Jaime de (Org.). </w:t>
            </w:r>
            <w:r>
              <w:rPr>
                <w:rFonts w:ascii="Times New Roman" w:hAnsi="Times New Roman" w:eastAsia="Times New Roman" w:cs="Times New Roman"/>
                <w:b/>
              </w:rPr>
              <w:t>Caminhos da História da América no Brasil: tendências e contornos de um campo historiográfico</w:t>
            </w:r>
            <w:r>
              <w:rPr>
                <w:rFonts w:ascii="Times New Roman" w:hAnsi="Times New Roman" w:eastAsia="Times New Roman" w:cs="Times New Roman"/>
              </w:rPr>
              <w:t>. Brasília: ANPHLAC, 1998.</w:t>
            </w:r>
          </w:p>
          <w:p>
            <w:pPr>
              <w:spacing w:line="360" w:lineRule="auto"/>
              <w:ind w:left="0" w:right="130" w:hanging="2"/>
              <w:rPr>
                <w:rFonts w:ascii="Times New Roman" w:hAnsi="Times New Roman" w:cs="Times New Roman"/>
              </w:rPr>
            </w:pPr>
            <w:r>
              <w:rPr>
                <w:rFonts w:ascii="Times New Roman" w:hAnsi="Times New Roman" w:eastAsia="Times New Roman" w:cs="Times New Roman"/>
              </w:rPr>
              <w:t xml:space="preserve">BEIRED, José Luiz, GERAB, Kária e Resende, Maria Angélica. Os Problemas do Ensino de História na América. In: </w:t>
            </w:r>
            <w:r>
              <w:rPr>
                <w:rFonts w:ascii="Times New Roman" w:hAnsi="Times New Roman" w:eastAsia="Times New Roman" w:cs="Times New Roman"/>
                <w:b/>
              </w:rPr>
              <w:t>Anais do Seminário Perspectivas do Ensino de História</w:t>
            </w:r>
            <w:r>
              <w:rPr>
                <w:rFonts w:ascii="Times New Roman" w:hAnsi="Times New Roman" w:eastAsia="Times New Roman" w:cs="Times New Roman"/>
              </w:rPr>
              <w:t>. São Paulo: FE-USP, 1988, p. 210-228.</w:t>
            </w:r>
          </w:p>
          <w:p>
            <w:pPr>
              <w:spacing w:line="360" w:lineRule="auto"/>
              <w:ind w:left="0" w:right="130" w:hanging="2"/>
              <w:rPr>
                <w:rFonts w:ascii="Times New Roman" w:hAnsi="Times New Roman" w:cs="Times New Roman"/>
              </w:rPr>
            </w:pPr>
            <w:r>
              <w:rPr>
                <w:rFonts w:ascii="Times New Roman" w:hAnsi="Times New Roman" w:eastAsia="Times New Roman" w:cs="Times New Roman"/>
              </w:rPr>
              <w:t xml:space="preserve">KLEIN, Herbert. A experiência afro-americana numa perspectiva comparativa: a situação atual do debate sobre a escravidão nas Américas. </w:t>
            </w:r>
            <w:r>
              <w:rPr>
                <w:rFonts w:ascii="Times New Roman" w:hAnsi="Times New Roman" w:eastAsia="Times New Roman" w:cs="Times New Roman"/>
                <w:b/>
              </w:rPr>
              <w:t>Afro-Ásia</w:t>
            </w:r>
            <w:r>
              <w:rPr>
                <w:rFonts w:ascii="Times New Roman" w:hAnsi="Times New Roman" w:eastAsia="Times New Roman" w:cs="Times New Roman"/>
              </w:rPr>
              <w:t>, 45 (2012), 95-121.</w:t>
            </w:r>
          </w:p>
          <w:p>
            <w:pPr>
              <w:spacing w:line="360" w:lineRule="auto"/>
              <w:ind w:left="0" w:right="130" w:hanging="2"/>
              <w:rPr>
                <w:rFonts w:ascii="Times New Roman" w:hAnsi="Times New Roman" w:cs="Times New Roman"/>
              </w:rPr>
            </w:pPr>
            <w:r>
              <w:rPr>
                <w:rFonts w:ascii="Times New Roman" w:hAnsi="Times New Roman" w:eastAsia="Times New Roman" w:cs="Times New Roman"/>
              </w:rPr>
              <w:t xml:space="preserve">PRADO, Maria Ligia Coelho. Repensando a história comparada da América Latina. </w:t>
            </w:r>
            <w:r>
              <w:rPr>
                <w:rFonts w:ascii="Times New Roman" w:hAnsi="Times New Roman" w:eastAsia="Times New Roman" w:cs="Times New Roman"/>
                <w:b/>
              </w:rPr>
              <w:t>Revista de História</w:t>
            </w:r>
            <w:r>
              <w:rPr>
                <w:rFonts w:ascii="Times New Roman" w:hAnsi="Times New Roman" w:eastAsia="Times New Roman" w:cs="Times New Roman"/>
              </w:rPr>
              <w:t>, São Paulo, n.153, p. 11-33, 2</w:t>
            </w:r>
            <w:r>
              <w:rPr>
                <w:rFonts w:ascii="Times New Roman" w:hAnsi="Times New Roman" w:eastAsia="Times New Roman" w:cs="Times New Roman"/>
                <w:vertAlign w:val="superscript"/>
              </w:rPr>
              <w:t xml:space="preserve">o </w:t>
            </w:r>
            <w:r>
              <w:rPr>
                <w:rFonts w:ascii="Times New Roman" w:hAnsi="Times New Roman" w:eastAsia="Times New Roman" w:cs="Times New Roman"/>
              </w:rPr>
              <w:t xml:space="preserve">semestre de 2005.  </w:t>
            </w:r>
          </w:p>
        </w:tc>
      </w:tr>
      <w:tr>
        <w:tblPrEx>
          <w:tblCellMar>
            <w:top w:w="0" w:type="dxa"/>
            <w:left w:w="108" w:type="dxa"/>
            <w:bottom w:w="0" w:type="dxa"/>
            <w:right w:w="108" w:type="dxa"/>
          </w:tblCellMar>
        </w:tblPrEx>
        <w:tc>
          <w:tcPr>
            <w:tcW w:w="9235" w:type="dxa"/>
            <w:gridSpan w:val="2"/>
            <w:tcBorders>
              <w:top w:val="single" w:color="000000" w:sz="4" w:space="0"/>
              <w:left w:val="single" w:color="000000" w:sz="20" w:space="0"/>
              <w:bottom w:val="single" w:color="000000" w:sz="4" w:space="0"/>
              <w:right w:val="single" w:color="000000" w:sz="20"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Bibliografia complementar: </w:t>
            </w:r>
          </w:p>
          <w:p>
            <w:pPr>
              <w:spacing w:line="360" w:lineRule="auto"/>
              <w:ind w:left="0" w:right="142" w:hanging="2"/>
              <w:jc w:val="both"/>
              <w:rPr>
                <w:rFonts w:ascii="Times New Roman" w:hAnsi="Times New Roman" w:cs="Times New Roman"/>
              </w:rPr>
            </w:pPr>
            <w:r>
              <w:rPr>
                <w:rFonts w:ascii="Times New Roman" w:hAnsi="Times New Roman" w:eastAsia="Times New Roman" w:cs="Times New Roman"/>
              </w:rPr>
              <w:t xml:space="preserve">BELLOTO, Manoel Lelo &amp; CORRÊA, Ana Maria Martinez (Orgs.). </w:t>
            </w:r>
            <w:r>
              <w:rPr>
                <w:rFonts w:ascii="Times New Roman" w:hAnsi="Times New Roman" w:eastAsia="Times New Roman" w:cs="Times New Roman"/>
                <w:b/>
              </w:rPr>
              <w:t xml:space="preserve">América Latina de </w:t>
            </w:r>
          </w:p>
          <w:p>
            <w:pPr>
              <w:spacing w:line="360" w:lineRule="auto"/>
              <w:ind w:left="0" w:right="142" w:hanging="2"/>
              <w:jc w:val="both"/>
              <w:rPr>
                <w:rFonts w:ascii="Times New Roman" w:hAnsi="Times New Roman" w:cs="Times New Roman"/>
              </w:rPr>
            </w:pPr>
            <w:r>
              <w:rPr>
                <w:rFonts w:ascii="Times New Roman" w:hAnsi="Times New Roman" w:eastAsia="Times New Roman" w:cs="Times New Roman"/>
                <w:b/>
              </w:rPr>
              <w:t>Colonização Espanhola: Antologia de Textos Históricos</w:t>
            </w:r>
            <w:r>
              <w:rPr>
                <w:rFonts w:ascii="Times New Roman" w:hAnsi="Times New Roman" w:eastAsia="Times New Roman" w:cs="Times New Roman"/>
              </w:rPr>
              <w:t>. São Paulo: Hucitec/Edusp, 1979.</w:t>
            </w:r>
          </w:p>
          <w:p>
            <w:pPr>
              <w:spacing w:line="360" w:lineRule="auto"/>
              <w:ind w:left="0" w:right="142" w:hanging="2"/>
              <w:jc w:val="both"/>
              <w:rPr>
                <w:rFonts w:ascii="Times New Roman" w:hAnsi="Times New Roman" w:cs="Times New Roman"/>
              </w:rPr>
            </w:pPr>
            <w:r>
              <w:rPr>
                <w:rFonts w:ascii="Times New Roman" w:hAnsi="Times New Roman" w:eastAsia="Times New Roman" w:cs="Times New Roman"/>
              </w:rPr>
              <w:t xml:space="preserve">PIZARRO, Ana (Org.). </w:t>
            </w:r>
            <w:r>
              <w:rPr>
                <w:rFonts w:ascii="Times New Roman" w:hAnsi="Times New Roman" w:eastAsia="Times New Roman" w:cs="Times New Roman"/>
                <w:b/>
              </w:rPr>
              <w:t>América Latina: palavra, literatura e cultura</w:t>
            </w:r>
            <w:r>
              <w:rPr>
                <w:rFonts w:ascii="Times New Roman" w:hAnsi="Times New Roman" w:eastAsia="Times New Roman" w:cs="Times New Roman"/>
              </w:rPr>
              <w:t>. 3 volumes. São Paulo;  Campinas: Memorial; Ed. Unicamp, 1994.</w:t>
            </w:r>
          </w:p>
          <w:p>
            <w:pPr>
              <w:spacing w:line="360" w:lineRule="auto"/>
              <w:ind w:left="0" w:right="142" w:hanging="2"/>
              <w:jc w:val="both"/>
              <w:rPr>
                <w:rFonts w:ascii="Times New Roman" w:hAnsi="Times New Roman" w:cs="Times New Roman"/>
              </w:rPr>
            </w:pPr>
            <w:r>
              <w:rPr>
                <w:rFonts w:ascii="Times New Roman" w:hAnsi="Times New Roman" w:eastAsia="Times New Roman" w:cs="Times New Roman"/>
              </w:rPr>
              <w:t xml:space="preserve">PRADO, Maria Ligia Coelho. </w:t>
            </w:r>
            <w:r>
              <w:rPr>
                <w:rFonts w:ascii="Times New Roman" w:hAnsi="Times New Roman" w:eastAsia="Times New Roman" w:cs="Times New Roman"/>
                <w:b/>
              </w:rPr>
              <w:t>América Latina no século XIX: tramas, telas e textos</w:t>
            </w:r>
            <w:r>
              <w:rPr>
                <w:rFonts w:ascii="Times New Roman" w:hAnsi="Times New Roman" w:eastAsia="Times New Roman" w:cs="Times New Roman"/>
              </w:rPr>
              <w:t>. São Paulo: Edusp;  Bauru: Edusc, 1999.</w:t>
            </w:r>
          </w:p>
          <w:p>
            <w:pPr>
              <w:spacing w:line="360" w:lineRule="auto"/>
              <w:ind w:left="0" w:right="142" w:hanging="2"/>
              <w:jc w:val="both"/>
              <w:rPr>
                <w:rFonts w:ascii="Times New Roman" w:hAnsi="Times New Roman" w:cs="Times New Roman"/>
              </w:rPr>
            </w:pPr>
            <w:r>
              <w:rPr>
                <w:rFonts w:ascii="Times New Roman" w:hAnsi="Times New Roman" w:eastAsia="Times New Roman" w:cs="Times New Roman"/>
              </w:rPr>
              <w:t xml:space="preserve">RONIGER, Luis. Reflexões sobre o exílio como tema de investigação: avanços teóricos e desafios. In: VIZ QUADRAT, Samantha (Org.). </w:t>
            </w:r>
            <w:r>
              <w:rPr>
                <w:rFonts w:ascii="Times New Roman" w:hAnsi="Times New Roman" w:eastAsia="Times New Roman" w:cs="Times New Roman"/>
                <w:b/>
              </w:rPr>
              <w:t>Caminhos cruzados: história e memória dos exílios latino-americanos no século XX</w:t>
            </w:r>
            <w:r>
              <w:rPr>
                <w:rFonts w:ascii="Times New Roman" w:hAnsi="Times New Roman" w:eastAsia="Times New Roman" w:cs="Times New Roman"/>
              </w:rPr>
              <w:t xml:space="preserve">. Rio de Janeiro: Editora FGV, 2011, p. 31-61.  </w:t>
            </w:r>
          </w:p>
          <w:p>
            <w:pPr>
              <w:spacing w:line="360" w:lineRule="auto"/>
              <w:ind w:left="0" w:right="142" w:hanging="2"/>
              <w:jc w:val="both"/>
              <w:rPr>
                <w:rFonts w:ascii="Times New Roman" w:hAnsi="Times New Roman" w:cs="Times New Roman"/>
              </w:rPr>
            </w:pPr>
            <w:r>
              <w:rPr>
                <w:rFonts w:ascii="Times New Roman" w:hAnsi="Times New Roman" w:eastAsia="Times New Roman" w:cs="Times New Roman"/>
              </w:rPr>
              <w:t>WEINSTEIN, Barbara. Pensando a história fora da nação: a historiografia da América Latina e o viés transnacional. </w:t>
            </w:r>
            <w:r>
              <w:rPr>
                <w:rFonts w:ascii="Times New Roman" w:hAnsi="Times New Roman" w:eastAsia="Times New Roman" w:cs="Times New Roman"/>
                <w:b/>
              </w:rPr>
              <w:t>Revista Eletrônica da Anphlac</w:t>
            </w:r>
            <w:r>
              <w:rPr>
                <w:rFonts w:ascii="Times New Roman" w:hAnsi="Times New Roman" w:eastAsia="Times New Roman" w:cs="Times New Roman"/>
              </w:rPr>
              <w:t>, n. 14, p. 13-29, jan.-jun. 2013.</w:t>
            </w:r>
          </w:p>
          <w:p>
            <w:pPr>
              <w:spacing w:line="360" w:lineRule="auto"/>
              <w:ind w:left="0" w:right="142" w:hanging="2"/>
              <w:jc w:val="both"/>
              <w:rPr>
                <w:rFonts w:ascii="Times New Roman" w:hAnsi="Times New Roman" w:cs="Times New Roman"/>
              </w:rPr>
            </w:pPr>
            <w:r>
              <w:rPr>
                <w:rFonts w:ascii="Times New Roman" w:hAnsi="Times New Roman" w:eastAsia="Times New Roman" w:cs="Times New Roman"/>
              </w:rPr>
              <w:t xml:space="preserve">ZEA, Leopoldo (Coord.). </w:t>
            </w:r>
            <w:r>
              <w:rPr>
                <w:rFonts w:ascii="Times New Roman" w:hAnsi="Times New Roman" w:eastAsia="Times New Roman" w:cs="Times New Roman"/>
                <w:b/>
              </w:rPr>
              <w:t>América Latina en sus ideas</w:t>
            </w:r>
            <w:r>
              <w:rPr>
                <w:rFonts w:ascii="Times New Roman" w:hAnsi="Times New Roman" w:eastAsia="Times New Roman" w:cs="Times New Roman"/>
              </w:rPr>
              <w:t>. México: Siglo XXI/UNESCO, 1986.</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19"/>
        <w:tblW w:w="9257" w:type="dxa"/>
        <w:tblInd w:w="65" w:type="dxa"/>
        <w:tblLayout w:type="fixed"/>
        <w:tblCellMar>
          <w:top w:w="0" w:type="dxa"/>
          <w:left w:w="108" w:type="dxa"/>
          <w:bottom w:w="0" w:type="dxa"/>
          <w:right w:w="108" w:type="dxa"/>
        </w:tblCellMar>
      </w:tblPr>
      <w:tblGrid>
        <w:gridCol w:w="2958"/>
        <w:gridCol w:w="3115"/>
        <w:gridCol w:w="3184"/>
      </w:tblGrid>
      <w:tr>
        <w:tblPrEx>
          <w:tblCellMar>
            <w:top w:w="0" w:type="dxa"/>
            <w:left w:w="108" w:type="dxa"/>
            <w:bottom w:w="0" w:type="dxa"/>
            <w:right w:w="108" w:type="dxa"/>
          </w:tblCellMar>
        </w:tblPrEx>
        <w:tc>
          <w:tcPr>
            <w:tcW w:w="6073" w:type="dxa"/>
            <w:gridSpan w:val="2"/>
            <w:tcBorders>
              <w:top w:val="single" w:color="000000" w:sz="18"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do Componente Curricular em português:</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 xml:space="preserve">Leitura Dirigida em História das Américas III </w:t>
            </w:r>
          </w:p>
          <w:p>
            <w:pPr>
              <w:pBdr>
                <w:top w:val="none" w:color="auto" w:sz="0" w:space="0"/>
                <w:left w:val="none" w:color="auto" w:sz="0" w:space="0"/>
                <w:bottom w:val="none" w:color="auto" w:sz="0" w:space="0"/>
                <w:right w:val="none" w:color="auto" w:sz="0" w:space="0"/>
                <w:between w:val="none" w:color="auto" w:sz="0" w:space="0"/>
              </w:pBdr>
              <w:spacing w:before="240"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 xml:space="preserve">Nome do Componente Curricular em inglês: Guided Reading on America History III </w:t>
            </w:r>
          </w:p>
        </w:tc>
        <w:tc>
          <w:tcPr>
            <w:tcW w:w="3184" w:type="dxa"/>
            <w:tcBorders>
              <w:top w:val="single" w:color="000000" w:sz="18"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Código: HIS947</w:t>
            </w:r>
          </w:p>
        </w:tc>
      </w:tr>
      <w:tr>
        <w:tblPrEx>
          <w:tblCellMar>
            <w:top w:w="0" w:type="dxa"/>
            <w:left w:w="108" w:type="dxa"/>
            <w:bottom w:w="0" w:type="dxa"/>
            <w:right w:w="108" w:type="dxa"/>
          </w:tblCellMar>
        </w:tblPrEx>
        <w:trPr>
          <w:trHeight w:val="641" w:hRule="atLeast"/>
        </w:trPr>
        <w:tc>
          <w:tcPr>
            <w:tcW w:w="6073" w:type="dxa"/>
            <w:gridSpan w:val="2"/>
            <w:tcBorders>
              <w:top w:val="single" w:color="000000" w:sz="4"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e sigla do departamento:</w:t>
            </w:r>
          </w:p>
          <w:p>
            <w:pPr>
              <w:spacing w:line="360" w:lineRule="auto"/>
              <w:ind w:left="0" w:hanging="2"/>
              <w:rPr>
                <w:rFonts w:ascii="Times New Roman" w:hAnsi="Times New Roman" w:cs="Times New Roman"/>
              </w:rPr>
            </w:pPr>
            <w:r>
              <w:rPr>
                <w:rFonts w:ascii="Times New Roman" w:hAnsi="Times New Roman" w:eastAsia="Times New Roman" w:cs="Times New Roman"/>
              </w:rPr>
              <w:t>Departamento de História - DEHIS</w:t>
            </w:r>
          </w:p>
        </w:tc>
        <w:tc>
          <w:tcPr>
            <w:tcW w:w="3184" w:type="dxa"/>
            <w:tcBorders>
              <w:top w:val="single" w:color="000000" w:sz="4"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Unidade acadêmica: ICHS</w:t>
            </w:r>
          </w:p>
        </w:tc>
      </w:tr>
      <w:tr>
        <w:tblPrEx>
          <w:tblCellMar>
            <w:top w:w="0" w:type="dxa"/>
            <w:left w:w="108" w:type="dxa"/>
            <w:bottom w:w="0" w:type="dxa"/>
            <w:right w:w="108" w:type="dxa"/>
          </w:tblCellMar>
        </w:tblPrEx>
        <w:trPr>
          <w:trHeight w:val="641" w:hRule="atLeast"/>
        </w:trPr>
        <w:tc>
          <w:tcPr>
            <w:tcW w:w="2958" w:type="dxa"/>
            <w:tcBorders>
              <w:top w:val="single" w:color="000000" w:sz="4" w:space="0"/>
              <w:left w:val="single" w:color="000000" w:sz="18" w:space="0"/>
              <w:bottom w:val="single" w:color="000000" w:sz="4" w:space="0"/>
            </w:tcBorders>
          </w:tcPr>
          <w:p>
            <w:pPr>
              <w:spacing w:line="276" w:lineRule="auto"/>
              <w:ind w:left="0" w:hanging="2"/>
              <w:jc w:val="center"/>
              <w:rPr>
                <w:rFonts w:ascii="Times New Roman" w:hAnsi="Times New Roman" w:cs="Times New Roman"/>
              </w:rPr>
            </w:pPr>
            <w:r>
              <w:rPr>
                <w:rFonts w:ascii="Times New Roman" w:hAnsi="Times New Roman" w:eastAsia="Times New Roman" w:cs="Times New Roman"/>
              </w:rPr>
              <w:t>Carga horária semestral</w:t>
            </w:r>
          </w:p>
          <w:p>
            <w:pPr>
              <w:spacing w:line="276" w:lineRule="auto"/>
              <w:ind w:left="0" w:hanging="2"/>
              <w:jc w:val="center"/>
              <w:rPr>
                <w:rFonts w:ascii="Times New Roman" w:hAnsi="Times New Roman" w:cs="Times New Roman"/>
              </w:rPr>
            </w:pPr>
            <w:r>
              <w:rPr>
                <w:rFonts w:ascii="Times New Roman" w:hAnsi="Times New Roman" w:eastAsia="Times New Roman" w:cs="Times New Roman"/>
              </w:rPr>
              <w:t>30 horas</w:t>
            </w:r>
          </w:p>
        </w:tc>
        <w:tc>
          <w:tcPr>
            <w:tcW w:w="3115" w:type="dxa"/>
            <w:tcBorders>
              <w:top w:val="single" w:color="000000" w:sz="4" w:space="0"/>
              <w:left w:val="single" w:color="000000" w:sz="4" w:space="0"/>
              <w:bottom w:val="single" w:color="000000" w:sz="4" w:space="0"/>
            </w:tcBorders>
          </w:tcPr>
          <w:p>
            <w:pPr>
              <w:spacing w:line="276" w:lineRule="auto"/>
              <w:ind w:left="0" w:hanging="2"/>
              <w:jc w:val="center"/>
              <w:rPr>
                <w:rFonts w:ascii="Times New Roman" w:hAnsi="Times New Roman" w:cs="Times New Roman"/>
              </w:rPr>
            </w:pPr>
            <w:r>
              <w:rPr>
                <w:rFonts w:ascii="Times New Roman" w:hAnsi="Times New Roman" w:eastAsia="Times New Roman" w:cs="Times New Roman"/>
              </w:rPr>
              <w:t xml:space="preserve">Carga horária semanal teórica </w:t>
            </w:r>
          </w:p>
          <w:p>
            <w:pPr>
              <w:spacing w:line="276" w:lineRule="auto"/>
              <w:ind w:left="0" w:hanging="2"/>
              <w:jc w:val="center"/>
              <w:rPr>
                <w:rFonts w:ascii="Times New Roman" w:hAnsi="Times New Roman" w:cs="Times New Roman"/>
              </w:rPr>
            </w:pPr>
            <w:r>
              <w:rPr>
                <w:rFonts w:ascii="Times New Roman" w:hAnsi="Times New Roman" w:eastAsia="Times New Roman" w:cs="Times New Roman"/>
              </w:rPr>
              <w:t>02 horas/aula</w:t>
            </w:r>
          </w:p>
        </w:tc>
        <w:tc>
          <w:tcPr>
            <w:tcW w:w="3184" w:type="dxa"/>
            <w:tcBorders>
              <w:top w:val="single" w:color="000000" w:sz="4" w:space="0"/>
              <w:left w:val="single" w:color="000000" w:sz="4" w:space="0"/>
              <w:bottom w:val="single" w:color="000000" w:sz="4" w:space="0"/>
              <w:right w:val="single" w:color="000000" w:sz="18" w:space="0"/>
            </w:tcBorders>
          </w:tcPr>
          <w:p>
            <w:pPr>
              <w:spacing w:line="276" w:lineRule="auto"/>
              <w:ind w:left="0" w:hanging="2"/>
              <w:jc w:val="center"/>
              <w:rPr>
                <w:rFonts w:ascii="Times New Roman" w:hAnsi="Times New Roman" w:cs="Times New Roman"/>
              </w:rPr>
            </w:pPr>
            <w:r>
              <w:rPr>
                <w:rFonts w:ascii="Times New Roman" w:hAnsi="Times New Roman" w:eastAsia="Times New Roman" w:cs="Times New Roman"/>
              </w:rPr>
              <w:t>Carga horária semanal prática</w:t>
            </w:r>
          </w:p>
          <w:p>
            <w:pPr>
              <w:spacing w:line="276" w:lineRule="auto"/>
              <w:ind w:left="0" w:hanging="2"/>
              <w:jc w:val="center"/>
              <w:rPr>
                <w:rFonts w:ascii="Times New Roman" w:hAnsi="Times New Roman" w:cs="Times New Roman"/>
              </w:rPr>
            </w:pPr>
            <w:r>
              <w:rPr>
                <w:rFonts w:ascii="Times New Roman" w:hAnsi="Times New Roman" w:eastAsia="Times New Roman" w:cs="Times New Roman"/>
              </w:rPr>
              <w:t>00 horas/aula</w:t>
            </w:r>
          </w:p>
        </w:tc>
      </w:tr>
      <w:tr>
        <w:tblPrEx>
          <w:tblCellMar>
            <w:top w:w="0" w:type="dxa"/>
            <w:left w:w="108" w:type="dxa"/>
            <w:bottom w:w="0" w:type="dxa"/>
            <w:right w:w="108" w:type="dxa"/>
          </w:tblCellMar>
        </w:tblPrEx>
        <w:tc>
          <w:tcPr>
            <w:tcW w:w="9257"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Ementa: A disciplina promoverá o aprofundamento de debates sobre a pesquisa de História das Américas no Brasil e em alguns países da América do Sul, América Central, América do Norte e Caribe.</w:t>
            </w:r>
          </w:p>
        </w:tc>
      </w:tr>
      <w:tr>
        <w:tblPrEx>
          <w:tblCellMar>
            <w:top w:w="0" w:type="dxa"/>
            <w:left w:w="108" w:type="dxa"/>
            <w:bottom w:w="0" w:type="dxa"/>
            <w:right w:w="108" w:type="dxa"/>
          </w:tblCellMar>
        </w:tblPrEx>
        <w:tc>
          <w:tcPr>
            <w:tcW w:w="9257"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Conteúdo programático: </w:t>
            </w:r>
          </w:p>
          <w:p>
            <w:pPr>
              <w:numPr>
                <w:ilvl w:val="0"/>
                <w:numId w:val="104"/>
              </w:numPr>
              <w:pBdr>
                <w:top w:val="none" w:color="auto" w:sz="0" w:space="0"/>
                <w:left w:val="none" w:color="auto" w:sz="0" w:space="0"/>
                <w:bottom w:val="none" w:color="auto" w:sz="0" w:space="0"/>
                <w:right w:val="none" w:color="auto" w:sz="0" w:space="0"/>
                <w:between w:val="none" w:color="auto" w:sz="0" w:space="0"/>
              </w:pBdr>
              <w:tabs>
                <w:tab w:val="left" w:pos="0"/>
                <w:tab w:val="left" w:pos="720"/>
              </w:tabs>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 formação da área de História da América no Brasil.</w:t>
            </w:r>
          </w:p>
          <w:p>
            <w:pPr>
              <w:numPr>
                <w:ilvl w:val="0"/>
                <w:numId w:val="104"/>
              </w:numPr>
              <w:pBdr>
                <w:top w:val="none" w:color="auto" w:sz="0" w:space="0"/>
                <w:left w:val="none" w:color="auto" w:sz="0" w:space="0"/>
                <w:bottom w:val="none" w:color="auto" w:sz="0" w:space="0"/>
                <w:right w:val="none" w:color="auto" w:sz="0" w:space="0"/>
                <w:between w:val="none" w:color="auto" w:sz="0" w:space="0"/>
              </w:pBdr>
              <w:tabs>
                <w:tab w:val="left" w:pos="0"/>
                <w:tab w:val="left" w:pos="720"/>
              </w:tabs>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Grupos de pesquisa em perspectiva transnacional.</w:t>
            </w:r>
          </w:p>
          <w:p>
            <w:pPr>
              <w:numPr>
                <w:ilvl w:val="0"/>
                <w:numId w:val="104"/>
              </w:numPr>
              <w:pBdr>
                <w:top w:val="none" w:color="auto" w:sz="0" w:space="0"/>
                <w:left w:val="none" w:color="auto" w:sz="0" w:space="0"/>
                <w:bottom w:val="none" w:color="auto" w:sz="0" w:space="0"/>
                <w:right w:val="none" w:color="auto" w:sz="0" w:space="0"/>
                <w:between w:val="none" w:color="auto" w:sz="0" w:space="0"/>
              </w:pBdr>
              <w:tabs>
                <w:tab w:val="left" w:pos="0"/>
                <w:tab w:val="left" w:pos="720"/>
              </w:tabs>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Intercâmbios e trânsitos nas Américas.</w:t>
            </w:r>
          </w:p>
        </w:tc>
      </w:tr>
      <w:tr>
        <w:tblPrEx>
          <w:tblCellMar>
            <w:top w:w="0" w:type="dxa"/>
            <w:left w:w="108" w:type="dxa"/>
            <w:bottom w:w="0" w:type="dxa"/>
            <w:right w:w="108" w:type="dxa"/>
          </w:tblCellMar>
        </w:tblPrEx>
        <w:trPr>
          <w:trHeight w:val="2483" w:hRule="atLeast"/>
        </w:trPr>
        <w:tc>
          <w:tcPr>
            <w:tcW w:w="9257"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Bibliografia básica: </w:t>
            </w:r>
          </w:p>
          <w:p>
            <w:pPr>
              <w:pBdr>
                <w:top w:val="none" w:color="auto" w:sz="0" w:space="0"/>
                <w:left w:val="none" w:color="auto" w:sz="0" w:space="0"/>
                <w:bottom w:val="none" w:color="auto" w:sz="0" w:space="0"/>
                <w:right w:val="none" w:color="auto" w:sz="0" w:space="0"/>
                <w:between w:val="none" w:color="auto" w:sz="0" w:space="0"/>
              </w:pBdr>
              <w:spacing w:line="360" w:lineRule="auto"/>
              <w:ind w:left="0" w:right="154" w:hanging="2"/>
              <w:rPr>
                <w:rFonts w:ascii="Times New Roman" w:hAnsi="Times New Roman" w:eastAsia="Liberation Serif" w:cs="Times New Roman"/>
                <w:color w:val="000000"/>
              </w:rPr>
            </w:pPr>
            <w:r>
              <w:rPr>
                <w:rFonts w:ascii="Times New Roman" w:hAnsi="Times New Roman" w:eastAsia="Times New Roman" w:cs="Times New Roman"/>
                <w:color w:val="000000"/>
              </w:rPr>
              <w:t xml:space="preserve"> BITTENCOURT, C. M. F. Ensino de História da América: reflexões sobre problemas de identidades. </w:t>
            </w:r>
            <w:r>
              <w:rPr>
                <w:rFonts w:ascii="Times New Roman" w:hAnsi="Times New Roman" w:eastAsia="Times New Roman" w:cs="Times New Roman"/>
                <w:b/>
                <w:color w:val="000000"/>
              </w:rPr>
              <w:t>Revista Eletrônica da ANPHLAC</w:t>
            </w:r>
            <w:r>
              <w:rPr>
                <w:rFonts w:ascii="Times New Roman" w:hAnsi="Times New Roman" w:eastAsia="Times New Roman" w:cs="Times New Roman"/>
                <w:color w:val="000000"/>
              </w:rPr>
              <w:t>, São Paulo, n. 4, p. 5-15, 2005.</w:t>
            </w:r>
          </w:p>
          <w:p>
            <w:pPr>
              <w:pBdr>
                <w:top w:val="none" w:color="auto" w:sz="0" w:space="0"/>
                <w:left w:val="none" w:color="auto" w:sz="0" w:space="0"/>
                <w:bottom w:val="none" w:color="auto" w:sz="0" w:space="0"/>
                <w:right w:val="none" w:color="auto" w:sz="0" w:space="0"/>
                <w:between w:val="none" w:color="auto" w:sz="0" w:space="0"/>
              </w:pBdr>
              <w:spacing w:line="360" w:lineRule="auto"/>
              <w:ind w:left="0" w:right="154" w:hanging="2"/>
              <w:rPr>
                <w:rFonts w:ascii="Times New Roman" w:hAnsi="Times New Roman" w:eastAsia="Liberation Serif" w:cs="Times New Roman"/>
                <w:color w:val="000000"/>
              </w:rPr>
            </w:pPr>
            <w:r>
              <w:rPr>
                <w:rFonts w:ascii="Times New Roman" w:hAnsi="Times New Roman" w:eastAsia="Times New Roman" w:cs="Times New Roman"/>
                <w:color w:val="000000"/>
              </w:rPr>
              <w:t xml:space="preserve">DIAS, W. S da. Qual América Latina? Os livros didáticos e suas referências teóricas para a  construção da região. </w:t>
            </w:r>
            <w:r>
              <w:rPr>
                <w:rFonts w:ascii="Times New Roman" w:hAnsi="Times New Roman" w:eastAsia="Times New Roman" w:cs="Times New Roman"/>
                <w:b/>
                <w:color w:val="000000"/>
              </w:rPr>
              <w:t>Revista Geográfica de América Central</w:t>
            </w:r>
            <w:r>
              <w:rPr>
                <w:rFonts w:ascii="Times New Roman" w:hAnsi="Times New Roman" w:eastAsia="Times New Roman" w:cs="Times New Roman"/>
                <w:color w:val="000000"/>
              </w:rPr>
              <w:t>, Costa Rica, v. 2, n. 47, Especial, p. 1-13, 2011.</w:t>
            </w:r>
          </w:p>
          <w:p>
            <w:pPr>
              <w:pBdr>
                <w:top w:val="none" w:color="auto" w:sz="0" w:space="0"/>
                <w:left w:val="none" w:color="auto" w:sz="0" w:space="0"/>
                <w:bottom w:val="none" w:color="auto" w:sz="0" w:space="0"/>
                <w:right w:val="none" w:color="auto" w:sz="0" w:space="0"/>
                <w:between w:val="none" w:color="auto" w:sz="0" w:space="0"/>
              </w:pBdr>
              <w:spacing w:line="360" w:lineRule="auto"/>
              <w:ind w:left="0" w:right="154" w:hanging="2"/>
              <w:rPr>
                <w:rFonts w:ascii="Times New Roman" w:hAnsi="Times New Roman" w:eastAsia="Liberation Serif" w:cs="Times New Roman"/>
                <w:color w:val="000000"/>
              </w:rPr>
            </w:pPr>
            <w:r>
              <w:rPr>
                <w:rFonts w:ascii="Times New Roman" w:hAnsi="Times New Roman" w:eastAsia="Times New Roman" w:cs="Times New Roman"/>
                <w:color w:val="000000"/>
              </w:rPr>
              <w:t xml:space="preserve">PRADO, Maria Ligia Coelho. Repensando a história comparada da América Latina. </w:t>
            </w:r>
            <w:r>
              <w:rPr>
                <w:rFonts w:ascii="Times New Roman" w:hAnsi="Times New Roman" w:eastAsia="Times New Roman" w:cs="Times New Roman"/>
                <w:b/>
                <w:color w:val="000000"/>
              </w:rPr>
              <w:t>Revista de  História</w:t>
            </w:r>
            <w:r>
              <w:rPr>
                <w:rFonts w:ascii="Times New Roman" w:hAnsi="Times New Roman" w:eastAsia="Times New Roman" w:cs="Times New Roman"/>
                <w:color w:val="000000"/>
              </w:rPr>
              <w:t>, São Paulo, n.153, p. 11-33, 2</w:t>
            </w:r>
            <w:r>
              <w:rPr>
                <w:rFonts w:ascii="Times New Roman" w:hAnsi="Times New Roman" w:eastAsia="Times New Roman" w:cs="Times New Roman"/>
                <w:color w:val="000000"/>
                <w:vertAlign w:val="superscript"/>
              </w:rPr>
              <w:t xml:space="preserve">o </w:t>
            </w:r>
            <w:r>
              <w:rPr>
                <w:rFonts w:ascii="Times New Roman" w:hAnsi="Times New Roman" w:eastAsia="Times New Roman" w:cs="Times New Roman"/>
                <w:color w:val="000000"/>
              </w:rPr>
              <w:t xml:space="preserve">semestre de 2005. </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SADER, E.; JINKINGS, I.; MARTINS, C. E.; NOBILE, R. (Coords.). </w:t>
            </w:r>
            <w:r>
              <w:rPr>
                <w:rFonts w:ascii="Times New Roman" w:hAnsi="Times New Roman" w:eastAsia="Times New Roman" w:cs="Times New Roman"/>
                <w:b/>
              </w:rPr>
              <w:t>Latinoamericana: enciclopédia contemporânea da América Latina e do Caribe</w:t>
            </w:r>
            <w:r>
              <w:rPr>
                <w:rFonts w:ascii="Times New Roman" w:hAnsi="Times New Roman" w:eastAsia="Times New Roman" w:cs="Times New Roman"/>
              </w:rPr>
              <w:t>. São Paulo: Boitempo, 2006.</w:t>
            </w:r>
          </w:p>
        </w:tc>
      </w:tr>
      <w:tr>
        <w:tblPrEx>
          <w:tblCellMar>
            <w:top w:w="0" w:type="dxa"/>
            <w:left w:w="108" w:type="dxa"/>
            <w:bottom w:w="0" w:type="dxa"/>
            <w:right w:w="108" w:type="dxa"/>
          </w:tblCellMar>
        </w:tblPrEx>
        <w:trPr>
          <w:trHeight w:val="2482" w:hRule="atLeast"/>
        </w:trPr>
        <w:tc>
          <w:tcPr>
            <w:tcW w:w="9257" w:type="dxa"/>
            <w:gridSpan w:val="3"/>
            <w:tcBorders>
              <w:top w:val="single" w:color="000000" w:sz="4" w:space="0"/>
              <w:left w:val="single" w:color="000000" w:sz="18"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right="154"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Bibliografia complementar:</w:t>
            </w:r>
          </w:p>
          <w:p>
            <w:pPr>
              <w:pBdr>
                <w:top w:val="none" w:color="auto" w:sz="0" w:space="0"/>
                <w:left w:val="none" w:color="auto" w:sz="0" w:space="0"/>
                <w:bottom w:val="none" w:color="auto" w:sz="0" w:space="0"/>
                <w:right w:val="none" w:color="auto" w:sz="0" w:space="0"/>
                <w:between w:val="none" w:color="auto" w:sz="0" w:space="0"/>
              </w:pBdr>
              <w:spacing w:line="360" w:lineRule="auto"/>
              <w:ind w:left="0" w:right="154" w:hanging="2"/>
              <w:rPr>
                <w:rFonts w:ascii="Times New Roman" w:hAnsi="Times New Roman" w:eastAsia="Liberation Serif" w:cs="Times New Roman"/>
                <w:color w:val="000000"/>
              </w:rPr>
            </w:pPr>
            <w:r>
              <w:rPr>
                <w:rFonts w:ascii="Times New Roman" w:hAnsi="Times New Roman" w:eastAsia="Times New Roman" w:cs="Times New Roman"/>
                <w:color w:val="000000"/>
              </w:rPr>
              <w:t xml:space="preserve">ALMEIDA, Jaime de (Org.). </w:t>
            </w:r>
            <w:r>
              <w:rPr>
                <w:rFonts w:ascii="Times New Roman" w:hAnsi="Times New Roman" w:eastAsia="Times New Roman" w:cs="Times New Roman"/>
                <w:b/>
                <w:color w:val="000000"/>
              </w:rPr>
              <w:t>Caminhos da História da América no Brasil: tendências e contornos de um campo historiográfico</w:t>
            </w:r>
            <w:r>
              <w:rPr>
                <w:rFonts w:ascii="Times New Roman" w:hAnsi="Times New Roman" w:eastAsia="Times New Roman" w:cs="Times New Roman"/>
                <w:color w:val="000000"/>
              </w:rPr>
              <w:t>. Brasília: ANPHLAC, 1998.</w:t>
            </w:r>
          </w:p>
          <w:p>
            <w:pPr>
              <w:pBdr>
                <w:top w:val="none" w:color="auto" w:sz="0" w:space="0"/>
                <w:left w:val="none" w:color="auto" w:sz="0" w:space="0"/>
                <w:bottom w:val="none" w:color="auto" w:sz="0" w:space="0"/>
                <w:right w:val="none" w:color="auto" w:sz="0" w:space="0"/>
                <w:between w:val="none" w:color="auto" w:sz="0" w:space="0"/>
              </w:pBdr>
              <w:spacing w:line="360" w:lineRule="auto"/>
              <w:ind w:left="0" w:right="154" w:hanging="2"/>
              <w:rPr>
                <w:rFonts w:ascii="Times New Roman" w:hAnsi="Times New Roman" w:eastAsia="Liberation Serif" w:cs="Times New Roman"/>
                <w:color w:val="000000"/>
              </w:rPr>
            </w:pPr>
            <w:r>
              <w:rPr>
                <w:rFonts w:ascii="Times New Roman" w:hAnsi="Times New Roman" w:eastAsia="Times New Roman" w:cs="Times New Roman"/>
                <w:color w:val="000000"/>
              </w:rPr>
              <w:t xml:space="preserve">BELLOTO, Manoel Lelo &amp; CORRÊA, Ana Maria Martinez (Orgs.). </w:t>
            </w:r>
            <w:r>
              <w:rPr>
                <w:rFonts w:ascii="Times New Roman" w:hAnsi="Times New Roman" w:eastAsia="Times New Roman" w:cs="Times New Roman"/>
                <w:b/>
                <w:color w:val="000000"/>
              </w:rPr>
              <w:t>América Latina de Colonização Espanhola: Antologia de Textos Históricos</w:t>
            </w:r>
            <w:r>
              <w:rPr>
                <w:rFonts w:ascii="Times New Roman" w:hAnsi="Times New Roman" w:eastAsia="Times New Roman" w:cs="Times New Roman"/>
                <w:color w:val="000000"/>
              </w:rPr>
              <w:t>. São Paulo: Hucitec/Edusp, 1979.</w:t>
            </w:r>
          </w:p>
          <w:p>
            <w:pPr>
              <w:pBdr>
                <w:top w:val="none" w:color="auto" w:sz="0" w:space="0"/>
                <w:left w:val="none" w:color="auto" w:sz="0" w:space="0"/>
                <w:bottom w:val="none" w:color="auto" w:sz="0" w:space="0"/>
                <w:right w:val="none" w:color="auto" w:sz="0" w:space="0"/>
                <w:between w:val="none" w:color="auto" w:sz="0" w:space="0"/>
              </w:pBdr>
              <w:spacing w:line="360" w:lineRule="auto"/>
              <w:ind w:left="0" w:right="154" w:hanging="2"/>
              <w:rPr>
                <w:rFonts w:ascii="Times New Roman" w:hAnsi="Times New Roman" w:eastAsia="Liberation Serif" w:cs="Times New Roman"/>
                <w:color w:val="000000"/>
              </w:rPr>
            </w:pPr>
            <w:r>
              <w:rPr>
                <w:rFonts w:ascii="Times New Roman" w:hAnsi="Times New Roman" w:eastAsia="Times New Roman" w:cs="Times New Roman"/>
                <w:color w:val="000000"/>
              </w:rPr>
              <w:t xml:space="preserve">PIZARRO, Ana (Org.). </w:t>
            </w:r>
            <w:r>
              <w:rPr>
                <w:rFonts w:ascii="Times New Roman" w:hAnsi="Times New Roman" w:eastAsia="Times New Roman" w:cs="Times New Roman"/>
                <w:b/>
                <w:color w:val="000000"/>
              </w:rPr>
              <w:t>América Latina: palavra, literatura e cultura</w:t>
            </w:r>
            <w:r>
              <w:rPr>
                <w:rFonts w:ascii="Times New Roman" w:hAnsi="Times New Roman" w:eastAsia="Times New Roman" w:cs="Times New Roman"/>
                <w:color w:val="000000"/>
              </w:rPr>
              <w:t>. 3 volumes. São Paulo;  Campinas: Memorial; Ed. Unicamp, 1994.</w:t>
            </w:r>
          </w:p>
          <w:p>
            <w:pPr>
              <w:pBdr>
                <w:top w:val="none" w:color="auto" w:sz="0" w:space="0"/>
                <w:left w:val="none" w:color="auto" w:sz="0" w:space="0"/>
                <w:bottom w:val="none" w:color="auto" w:sz="0" w:space="0"/>
                <w:right w:val="none" w:color="auto" w:sz="0" w:space="0"/>
                <w:between w:val="none" w:color="auto" w:sz="0" w:space="0"/>
              </w:pBdr>
              <w:spacing w:line="360" w:lineRule="auto"/>
              <w:ind w:left="0" w:right="154" w:hanging="2"/>
              <w:rPr>
                <w:rFonts w:ascii="Times New Roman" w:hAnsi="Times New Roman" w:eastAsia="Liberation Serif" w:cs="Times New Roman"/>
                <w:color w:val="000000"/>
              </w:rPr>
            </w:pPr>
            <w:r>
              <w:rPr>
                <w:rFonts w:ascii="Times New Roman" w:hAnsi="Times New Roman" w:eastAsia="Times New Roman" w:cs="Times New Roman"/>
                <w:color w:val="000000"/>
              </w:rPr>
              <w:t xml:space="preserve">REICHEL, H. J. A identidade latino-americana na visão dos intelectuais da década de 1960. </w:t>
            </w:r>
            <w:r>
              <w:rPr>
                <w:rFonts w:ascii="Times New Roman" w:hAnsi="Times New Roman" w:eastAsia="Times New Roman" w:cs="Times New Roman"/>
                <w:b/>
                <w:color w:val="000000"/>
              </w:rPr>
              <w:t>Estudos Ibero-Americanos</w:t>
            </w:r>
            <w:r>
              <w:rPr>
                <w:rFonts w:ascii="Times New Roman" w:hAnsi="Times New Roman" w:eastAsia="Times New Roman" w:cs="Times New Roman"/>
                <w:color w:val="000000"/>
              </w:rPr>
              <w:t>, Porto Alegre, v. XXXIII, n. 2, p. 116-133, dez. 2007.</w:t>
            </w:r>
          </w:p>
          <w:p>
            <w:pPr>
              <w:pBdr>
                <w:top w:val="none" w:color="auto" w:sz="0" w:space="0"/>
                <w:left w:val="none" w:color="auto" w:sz="0" w:space="0"/>
                <w:bottom w:val="none" w:color="auto" w:sz="0" w:space="0"/>
                <w:right w:val="none" w:color="auto" w:sz="0" w:space="0"/>
                <w:between w:val="none" w:color="auto" w:sz="0" w:space="0"/>
              </w:pBdr>
              <w:spacing w:line="360" w:lineRule="auto"/>
              <w:ind w:left="0" w:right="154" w:hanging="2"/>
              <w:rPr>
                <w:rFonts w:ascii="Times New Roman" w:hAnsi="Times New Roman" w:eastAsia="Liberation Serif" w:cs="Times New Roman"/>
                <w:color w:val="000000"/>
              </w:rPr>
            </w:pPr>
            <w:r>
              <w:rPr>
                <w:rFonts w:ascii="Times New Roman" w:hAnsi="Times New Roman" w:eastAsia="Times New Roman" w:cs="Times New Roman"/>
                <w:color w:val="000000"/>
              </w:rPr>
              <w:t xml:space="preserve">VENERA, R. A. S.; CONCEIÇÃO, J. P. Tensões curriculares e narrativas: o ensino de </w:t>
            </w:r>
          </w:p>
          <w:p>
            <w:pPr>
              <w:pBdr>
                <w:top w:val="none" w:color="auto" w:sz="0" w:space="0"/>
                <w:left w:val="none" w:color="auto" w:sz="0" w:space="0"/>
                <w:bottom w:val="none" w:color="auto" w:sz="0" w:space="0"/>
                <w:right w:val="none" w:color="auto" w:sz="0" w:space="0"/>
                <w:between w:val="none" w:color="auto" w:sz="0" w:space="0"/>
              </w:pBdr>
              <w:spacing w:line="360" w:lineRule="auto"/>
              <w:ind w:left="0" w:right="154" w:hanging="2"/>
              <w:rPr>
                <w:rFonts w:ascii="Times New Roman" w:hAnsi="Times New Roman" w:eastAsia="Liberation Serif" w:cs="Times New Roman"/>
                <w:color w:val="000000"/>
              </w:rPr>
            </w:pPr>
            <w:r>
              <w:rPr>
                <w:rFonts w:ascii="Times New Roman" w:hAnsi="Times New Roman" w:eastAsia="Times New Roman" w:cs="Times New Roman"/>
                <w:color w:val="000000"/>
              </w:rPr>
              <w:t xml:space="preserve">História da América Latina. </w:t>
            </w:r>
            <w:r>
              <w:rPr>
                <w:rFonts w:ascii="Times New Roman" w:hAnsi="Times New Roman" w:eastAsia="Times New Roman" w:cs="Times New Roman"/>
                <w:b/>
                <w:color w:val="000000"/>
              </w:rPr>
              <w:t>Tempo e Argumento</w:t>
            </w:r>
            <w:r>
              <w:rPr>
                <w:rFonts w:ascii="Times New Roman" w:hAnsi="Times New Roman" w:eastAsia="Times New Roman" w:cs="Times New Roman"/>
                <w:color w:val="000000"/>
              </w:rPr>
              <w:t>, Florianópolis, v. 4, n. 2, p. 128-151, jul./dez. 2012.</w:t>
            </w:r>
          </w:p>
          <w:p>
            <w:pPr>
              <w:spacing w:line="360" w:lineRule="auto"/>
              <w:ind w:left="0" w:hanging="2"/>
              <w:rPr>
                <w:rFonts w:ascii="Times New Roman" w:hAnsi="Times New Roman" w:cs="Times New Roman"/>
              </w:rPr>
            </w:pPr>
            <w:r>
              <w:rPr>
                <w:rFonts w:ascii="Times New Roman" w:hAnsi="Times New Roman" w:eastAsia="Times New Roman" w:cs="Times New Roman"/>
              </w:rPr>
              <w:t>WEINSTEIN, Barbara. Pensando a história fora da nação: a historiografia da América Latina e o viés transnacional. </w:t>
            </w:r>
            <w:r>
              <w:rPr>
                <w:rFonts w:ascii="Times New Roman" w:hAnsi="Times New Roman" w:eastAsia="Times New Roman" w:cs="Times New Roman"/>
                <w:b/>
              </w:rPr>
              <w:t>Revista Eletrônica da Anphlac</w:t>
            </w:r>
            <w:r>
              <w:rPr>
                <w:rFonts w:ascii="Times New Roman" w:hAnsi="Times New Roman" w:eastAsia="Times New Roman" w:cs="Times New Roman"/>
              </w:rPr>
              <w:t>, n. 14, p. 13-29, jan.-jun. 2013.</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20"/>
        <w:tblW w:w="8879" w:type="dxa"/>
        <w:tblInd w:w="65" w:type="dxa"/>
        <w:tblLayout w:type="fixed"/>
        <w:tblCellMar>
          <w:top w:w="0" w:type="dxa"/>
          <w:left w:w="108" w:type="dxa"/>
          <w:bottom w:w="0" w:type="dxa"/>
          <w:right w:w="108" w:type="dxa"/>
        </w:tblCellMar>
      </w:tblPr>
      <w:tblGrid>
        <w:gridCol w:w="2958"/>
        <w:gridCol w:w="3115"/>
        <w:gridCol w:w="2806"/>
      </w:tblGrid>
      <w:tr>
        <w:tblPrEx>
          <w:tblCellMar>
            <w:top w:w="0" w:type="dxa"/>
            <w:left w:w="108" w:type="dxa"/>
            <w:bottom w:w="0" w:type="dxa"/>
            <w:right w:w="108" w:type="dxa"/>
          </w:tblCellMar>
        </w:tblPrEx>
        <w:tc>
          <w:tcPr>
            <w:tcW w:w="6073" w:type="dxa"/>
            <w:gridSpan w:val="2"/>
            <w:tcBorders>
              <w:top w:val="single" w:color="000000" w:sz="18"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 xml:space="preserve">Nome do Componente Curricular em português: História das Mulheres e Gênero nas Américas I </w:t>
            </w:r>
          </w:p>
          <w:p>
            <w:pPr>
              <w:spacing w:before="240" w:line="360" w:lineRule="auto"/>
              <w:ind w:left="0" w:hanging="2"/>
              <w:rPr>
                <w:rFonts w:ascii="Times New Roman" w:hAnsi="Times New Roman" w:cs="Times New Roman"/>
              </w:rPr>
            </w:pPr>
            <w:r>
              <w:rPr>
                <w:rFonts w:ascii="Times New Roman" w:hAnsi="Times New Roman" w:eastAsia="Times New Roman" w:cs="Times New Roman"/>
              </w:rPr>
              <w:t>Nome do Componente Curricular em inglês: History of Women and Gender in the Americas</w:t>
            </w:r>
          </w:p>
        </w:tc>
        <w:tc>
          <w:tcPr>
            <w:tcW w:w="2806" w:type="dxa"/>
            <w:tcBorders>
              <w:top w:val="single" w:color="000000" w:sz="18"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Código: HIS948</w:t>
            </w:r>
          </w:p>
        </w:tc>
      </w:tr>
      <w:tr>
        <w:tblPrEx>
          <w:tblCellMar>
            <w:top w:w="0" w:type="dxa"/>
            <w:left w:w="108" w:type="dxa"/>
            <w:bottom w:w="0" w:type="dxa"/>
            <w:right w:w="108" w:type="dxa"/>
          </w:tblCellMar>
        </w:tblPrEx>
        <w:trPr>
          <w:trHeight w:val="641" w:hRule="atLeast"/>
        </w:trPr>
        <w:tc>
          <w:tcPr>
            <w:tcW w:w="6073" w:type="dxa"/>
            <w:gridSpan w:val="2"/>
            <w:tcBorders>
              <w:top w:val="single" w:color="000000" w:sz="4" w:space="0"/>
              <w:left w:val="single" w:color="000000" w:sz="18" w:space="0"/>
              <w:bottom w:val="single" w:color="000000" w:sz="4"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Nome e sigla do departamento:</w:t>
            </w:r>
          </w:p>
          <w:p>
            <w:pPr>
              <w:spacing w:line="360" w:lineRule="auto"/>
              <w:ind w:left="0" w:hanging="2"/>
              <w:rPr>
                <w:rFonts w:ascii="Times New Roman" w:hAnsi="Times New Roman" w:cs="Times New Roman"/>
              </w:rPr>
            </w:pPr>
            <w:r>
              <w:rPr>
                <w:rFonts w:ascii="Times New Roman" w:hAnsi="Times New Roman" w:eastAsia="Times New Roman" w:cs="Times New Roman"/>
              </w:rPr>
              <w:t>Departamento de História - DEHIS</w:t>
            </w:r>
          </w:p>
        </w:tc>
        <w:tc>
          <w:tcPr>
            <w:tcW w:w="2806" w:type="dxa"/>
            <w:tcBorders>
              <w:top w:val="single" w:color="000000" w:sz="4" w:space="0"/>
              <w:left w:val="single" w:color="000000" w:sz="4" w:space="0"/>
              <w:bottom w:val="single" w:color="000000" w:sz="4" w:space="0"/>
              <w:right w:val="single" w:color="000000" w:sz="18" w:space="0"/>
            </w:tcBorders>
          </w:tcPr>
          <w:p>
            <w:pPr>
              <w:spacing w:line="360" w:lineRule="auto"/>
              <w:ind w:left="0" w:hanging="2"/>
              <w:rPr>
                <w:rFonts w:ascii="Times New Roman" w:hAnsi="Times New Roman" w:cs="Times New Roman"/>
              </w:rPr>
            </w:pPr>
            <w:r>
              <w:rPr>
                <w:rFonts w:ascii="Times New Roman" w:hAnsi="Times New Roman" w:eastAsia="Times New Roman" w:cs="Times New Roman"/>
              </w:rPr>
              <w:t>Unidade acadêmica: ICHS</w:t>
            </w:r>
          </w:p>
        </w:tc>
      </w:tr>
      <w:tr>
        <w:tblPrEx>
          <w:tblCellMar>
            <w:top w:w="0" w:type="dxa"/>
            <w:left w:w="108" w:type="dxa"/>
            <w:bottom w:w="0" w:type="dxa"/>
            <w:right w:w="108" w:type="dxa"/>
          </w:tblCellMar>
        </w:tblPrEx>
        <w:trPr>
          <w:trHeight w:val="641" w:hRule="atLeast"/>
        </w:trPr>
        <w:tc>
          <w:tcPr>
            <w:tcW w:w="2958" w:type="dxa"/>
            <w:tcBorders>
              <w:top w:val="single" w:color="000000" w:sz="4" w:space="0"/>
              <w:left w:val="single" w:color="000000" w:sz="18" w:space="0"/>
              <w:bottom w:val="single" w:color="000000" w:sz="4" w:space="0"/>
            </w:tcBorders>
          </w:tcPr>
          <w:p>
            <w:pPr>
              <w:spacing w:line="276" w:lineRule="auto"/>
              <w:ind w:left="0" w:hanging="2"/>
              <w:jc w:val="center"/>
              <w:rPr>
                <w:rFonts w:ascii="Times New Roman" w:hAnsi="Times New Roman" w:cs="Times New Roman"/>
              </w:rPr>
            </w:pPr>
            <w:r>
              <w:rPr>
                <w:rFonts w:ascii="Times New Roman" w:hAnsi="Times New Roman" w:eastAsia="Times New Roman" w:cs="Times New Roman"/>
              </w:rPr>
              <w:t>Carga horária semestral</w:t>
            </w:r>
          </w:p>
          <w:p>
            <w:pPr>
              <w:spacing w:line="276" w:lineRule="auto"/>
              <w:ind w:left="0" w:hanging="2"/>
              <w:jc w:val="center"/>
              <w:rPr>
                <w:rFonts w:ascii="Times New Roman" w:hAnsi="Times New Roman" w:cs="Times New Roman"/>
              </w:rPr>
            </w:pPr>
            <w:r>
              <w:rPr>
                <w:rFonts w:ascii="Times New Roman" w:hAnsi="Times New Roman" w:eastAsia="Times New Roman" w:cs="Times New Roman"/>
              </w:rPr>
              <w:t>90 horas</w:t>
            </w:r>
          </w:p>
        </w:tc>
        <w:tc>
          <w:tcPr>
            <w:tcW w:w="3115" w:type="dxa"/>
            <w:tcBorders>
              <w:top w:val="single" w:color="000000" w:sz="4" w:space="0"/>
              <w:left w:val="single" w:color="000000" w:sz="4" w:space="0"/>
              <w:bottom w:val="single" w:color="000000" w:sz="4" w:space="0"/>
            </w:tcBorders>
          </w:tcPr>
          <w:p>
            <w:pPr>
              <w:spacing w:line="276" w:lineRule="auto"/>
              <w:ind w:left="0" w:hanging="2"/>
              <w:jc w:val="center"/>
              <w:rPr>
                <w:rFonts w:ascii="Times New Roman" w:hAnsi="Times New Roman" w:cs="Times New Roman"/>
              </w:rPr>
            </w:pPr>
            <w:r>
              <w:rPr>
                <w:rFonts w:ascii="Times New Roman" w:hAnsi="Times New Roman" w:eastAsia="Times New Roman" w:cs="Times New Roman"/>
              </w:rPr>
              <w:t xml:space="preserve">Carga horária semanal teórica </w:t>
            </w:r>
          </w:p>
          <w:p>
            <w:pPr>
              <w:spacing w:line="276" w:lineRule="auto"/>
              <w:ind w:left="0" w:hanging="2"/>
              <w:jc w:val="center"/>
              <w:rPr>
                <w:rFonts w:ascii="Times New Roman" w:hAnsi="Times New Roman" w:cs="Times New Roman"/>
              </w:rPr>
            </w:pPr>
            <w:r>
              <w:rPr>
                <w:rFonts w:ascii="Times New Roman" w:hAnsi="Times New Roman" w:eastAsia="Times New Roman" w:cs="Times New Roman"/>
              </w:rPr>
              <w:t>04 horas/aula</w:t>
            </w:r>
          </w:p>
        </w:tc>
        <w:tc>
          <w:tcPr>
            <w:tcW w:w="2806" w:type="dxa"/>
            <w:tcBorders>
              <w:top w:val="single" w:color="000000" w:sz="4" w:space="0"/>
              <w:left w:val="single" w:color="000000" w:sz="4" w:space="0"/>
              <w:bottom w:val="single" w:color="000000" w:sz="4" w:space="0"/>
              <w:right w:val="single" w:color="000000" w:sz="18" w:space="0"/>
            </w:tcBorders>
          </w:tcPr>
          <w:p>
            <w:pPr>
              <w:spacing w:line="276" w:lineRule="auto"/>
              <w:ind w:left="0" w:hanging="2"/>
              <w:jc w:val="center"/>
              <w:rPr>
                <w:rFonts w:ascii="Times New Roman" w:hAnsi="Times New Roman" w:cs="Times New Roman"/>
              </w:rPr>
            </w:pPr>
            <w:r>
              <w:rPr>
                <w:rFonts w:ascii="Times New Roman" w:hAnsi="Times New Roman" w:eastAsia="Times New Roman" w:cs="Times New Roman"/>
              </w:rPr>
              <w:t>Carga horária semanal prática</w:t>
            </w:r>
          </w:p>
          <w:p>
            <w:pPr>
              <w:spacing w:line="276" w:lineRule="auto"/>
              <w:ind w:left="0" w:hanging="2"/>
              <w:jc w:val="center"/>
              <w:rPr>
                <w:rFonts w:ascii="Times New Roman" w:hAnsi="Times New Roman" w:cs="Times New Roman"/>
              </w:rPr>
            </w:pPr>
            <w:r>
              <w:rPr>
                <w:rFonts w:ascii="Times New Roman" w:hAnsi="Times New Roman" w:eastAsia="Times New Roman" w:cs="Times New Roman"/>
              </w:rPr>
              <w:t>02 horas/aula</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Ementa: O curso debaterá questões importantes para o debate a respeito tanto da história das mulheres quanto sobre gênero nas Américas ao longo dos séculos XX e XXI</w:t>
            </w:r>
          </w:p>
        </w:tc>
      </w:tr>
      <w:tr>
        <w:tblPrEx>
          <w:tblCellMar>
            <w:top w:w="0" w:type="dxa"/>
            <w:left w:w="108" w:type="dxa"/>
            <w:bottom w:w="0" w:type="dxa"/>
            <w:right w:w="108" w:type="dxa"/>
          </w:tblCellMar>
        </w:tblPrEx>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Conteúdo programático: </w:t>
            </w:r>
          </w:p>
          <w:p>
            <w:pPr>
              <w:numPr>
                <w:ilvl w:val="0"/>
                <w:numId w:val="105"/>
              </w:numPr>
              <w:spacing w:line="360" w:lineRule="auto"/>
              <w:ind w:left="0" w:right="39" w:hanging="2"/>
              <w:jc w:val="both"/>
              <w:rPr>
                <w:rFonts w:ascii="Times New Roman" w:hAnsi="Times New Roman" w:eastAsia="Times New Roman" w:cs="Times New Roman"/>
              </w:rPr>
            </w:pPr>
            <w:r>
              <w:rPr>
                <w:rFonts w:ascii="Times New Roman" w:hAnsi="Times New Roman" w:eastAsia="Times New Roman" w:cs="Times New Roman"/>
              </w:rPr>
              <w:t xml:space="preserve">Em busca do respeito sobre a diversidade sexual: de Stonewall ao reconhecimento dos direitos LGBTQI+; </w:t>
            </w:r>
          </w:p>
          <w:p>
            <w:pPr>
              <w:numPr>
                <w:ilvl w:val="0"/>
                <w:numId w:val="105"/>
              </w:numPr>
              <w:spacing w:line="360" w:lineRule="auto"/>
              <w:ind w:left="0" w:right="39" w:hanging="2"/>
              <w:jc w:val="both"/>
              <w:rPr>
                <w:rFonts w:ascii="Times New Roman" w:hAnsi="Times New Roman" w:eastAsia="Times New Roman" w:cs="Times New Roman"/>
              </w:rPr>
            </w:pPr>
            <w:r>
              <w:rPr>
                <w:rFonts w:ascii="Times New Roman" w:hAnsi="Times New Roman" w:eastAsia="Times New Roman" w:cs="Times New Roman"/>
              </w:rPr>
              <w:t xml:space="preserve"> Filme </w:t>
            </w:r>
            <w:r>
              <w:rPr>
                <w:rFonts w:ascii="Times New Roman" w:hAnsi="Times New Roman" w:eastAsia="Times New Roman" w:cs="Times New Roman"/>
                <w:i/>
              </w:rPr>
              <w:t>Stonewall</w:t>
            </w:r>
            <w:r>
              <w:rPr>
                <w:rFonts w:ascii="Times New Roman" w:hAnsi="Times New Roman" w:eastAsia="Times New Roman" w:cs="Times New Roman"/>
              </w:rPr>
              <w:t xml:space="preserve"> e documentário </w:t>
            </w:r>
            <w:r>
              <w:rPr>
                <w:rFonts w:ascii="Times New Roman" w:hAnsi="Times New Roman" w:eastAsia="Times New Roman" w:cs="Times New Roman"/>
                <w:i/>
              </w:rPr>
              <w:t>Morte e vida de Marsha Johnson;</w:t>
            </w:r>
          </w:p>
          <w:p>
            <w:pPr>
              <w:numPr>
                <w:ilvl w:val="0"/>
                <w:numId w:val="105"/>
              </w:numPr>
              <w:spacing w:line="360" w:lineRule="auto"/>
              <w:ind w:left="0" w:right="39" w:hanging="2"/>
              <w:jc w:val="both"/>
              <w:rPr>
                <w:rFonts w:ascii="Times New Roman" w:hAnsi="Times New Roman" w:eastAsia="Times New Roman" w:cs="Times New Roman"/>
              </w:rPr>
            </w:pPr>
            <w:r>
              <w:rPr>
                <w:rFonts w:ascii="Times New Roman" w:hAnsi="Times New Roman" w:eastAsia="Times New Roman" w:cs="Times New Roman"/>
              </w:rPr>
              <w:t xml:space="preserve"> As lutas das mulheres pela inclusão nos projetos de cidadania. Prêmio Nobel para a escritora chilena Gabriela Mistral (1945) e documentário </w:t>
            </w:r>
            <w:r>
              <w:rPr>
                <w:rFonts w:ascii="Times New Roman" w:hAnsi="Times New Roman" w:eastAsia="Times New Roman" w:cs="Times New Roman"/>
                <w:i/>
              </w:rPr>
              <w:t>She's Beautiful When She's Angry</w:t>
            </w:r>
            <w:r>
              <w:rPr>
                <w:rFonts w:ascii="Times New Roman" w:hAnsi="Times New Roman" w:eastAsia="Times New Roman" w:cs="Times New Roman"/>
              </w:rPr>
              <w:t xml:space="preserve"> (EUA);</w:t>
            </w:r>
          </w:p>
          <w:p>
            <w:pPr>
              <w:numPr>
                <w:ilvl w:val="0"/>
                <w:numId w:val="105"/>
              </w:numPr>
              <w:spacing w:line="360" w:lineRule="auto"/>
              <w:ind w:left="0" w:right="39" w:hanging="2"/>
              <w:jc w:val="both"/>
              <w:rPr>
                <w:rFonts w:ascii="Times New Roman" w:hAnsi="Times New Roman" w:eastAsia="Times New Roman" w:cs="Times New Roman"/>
              </w:rPr>
            </w:pPr>
            <w:r>
              <w:rPr>
                <w:rFonts w:ascii="Times New Roman" w:hAnsi="Times New Roman" w:eastAsia="Times New Roman" w:cs="Times New Roman"/>
              </w:rPr>
              <w:t xml:space="preserve"> Leitura de </w:t>
            </w:r>
            <w:r>
              <w:rPr>
                <w:rFonts w:ascii="Times New Roman" w:hAnsi="Times New Roman" w:eastAsia="Times New Roman" w:cs="Times New Roman"/>
                <w:i/>
              </w:rPr>
              <w:t>A mulher habitada</w:t>
            </w:r>
            <w:r>
              <w:rPr>
                <w:rFonts w:ascii="Times New Roman" w:hAnsi="Times New Roman" w:eastAsia="Times New Roman" w:cs="Times New Roman"/>
              </w:rPr>
              <w:t>, de Gioconda Belli;</w:t>
            </w:r>
          </w:p>
          <w:p>
            <w:pPr>
              <w:numPr>
                <w:ilvl w:val="0"/>
                <w:numId w:val="105"/>
              </w:numPr>
              <w:spacing w:line="360" w:lineRule="auto"/>
              <w:ind w:left="0" w:right="39" w:hanging="2"/>
              <w:jc w:val="both"/>
              <w:rPr>
                <w:rFonts w:ascii="Times New Roman" w:hAnsi="Times New Roman" w:eastAsia="Times New Roman" w:cs="Times New Roman"/>
              </w:rPr>
            </w:pPr>
            <w:r>
              <w:rPr>
                <w:rFonts w:ascii="Times New Roman" w:hAnsi="Times New Roman" w:eastAsia="Times New Roman" w:cs="Times New Roman"/>
              </w:rPr>
              <w:t xml:space="preserve"> Modernismos e vanguardas artísticas. Entre a memória masculina e as vozes femininas da ruptura: Frida Kahlo, Juana de Ibarbourou, Gabriela Mistral, Débora Arango, Norah Lange, Delia del Carril, Nora Borges, Alfonsina Storni, Salvadora Medina Onrubia;-   </w:t>
            </w:r>
          </w:p>
          <w:p>
            <w:pPr>
              <w:numPr>
                <w:ilvl w:val="0"/>
                <w:numId w:val="105"/>
              </w:numPr>
              <w:spacing w:line="360" w:lineRule="auto"/>
              <w:ind w:left="0" w:right="39" w:hanging="2"/>
              <w:jc w:val="both"/>
              <w:rPr>
                <w:rFonts w:ascii="Times New Roman" w:hAnsi="Times New Roman" w:eastAsia="Times New Roman" w:cs="Times New Roman"/>
              </w:rPr>
            </w:pPr>
            <w:r>
              <w:rPr>
                <w:rFonts w:ascii="Times New Roman" w:hAnsi="Times New Roman" w:eastAsia="Times New Roman" w:cs="Times New Roman"/>
              </w:rPr>
              <w:t xml:space="preserve"> Magda Portal. </w:t>
            </w:r>
            <w:r>
              <w:rPr>
                <w:rFonts w:ascii="Times New Roman" w:hAnsi="Times New Roman" w:eastAsia="Times New Roman" w:cs="Times New Roman"/>
                <w:i/>
              </w:rPr>
              <w:t>Hacia la mujer nueva;</w:t>
            </w:r>
          </w:p>
          <w:p>
            <w:pPr>
              <w:numPr>
                <w:ilvl w:val="0"/>
                <w:numId w:val="105"/>
              </w:numPr>
              <w:spacing w:line="360" w:lineRule="auto"/>
              <w:ind w:left="0" w:right="39"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 Colonialidade e violências contra as mulheres indígenas. </w:t>
            </w:r>
          </w:p>
          <w:p>
            <w:pPr>
              <w:numPr>
                <w:ilvl w:val="0"/>
                <w:numId w:val="105"/>
              </w:numPr>
              <w:pBdr>
                <w:top w:val="none" w:color="auto" w:sz="0" w:space="0"/>
                <w:left w:val="none" w:color="auto" w:sz="0" w:space="0"/>
                <w:bottom w:val="none" w:color="auto" w:sz="0" w:space="0"/>
                <w:right w:val="none" w:color="auto" w:sz="0" w:space="0"/>
                <w:between w:val="none" w:color="auto" w:sz="0" w:space="0"/>
              </w:pBdr>
              <w:spacing w:after="200" w:line="360" w:lineRule="auto"/>
              <w:ind w:left="0" w:right="39"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Feminismo crítico e críticas ao feminismo.</w:t>
            </w:r>
          </w:p>
        </w:tc>
      </w:tr>
      <w:tr>
        <w:tblPrEx>
          <w:tblCellMar>
            <w:top w:w="0" w:type="dxa"/>
            <w:left w:w="108" w:type="dxa"/>
            <w:bottom w:w="0" w:type="dxa"/>
            <w:right w:w="108" w:type="dxa"/>
          </w:tblCellMar>
        </w:tblPrEx>
        <w:trPr>
          <w:trHeight w:val="1336" w:hRule="atLeast"/>
        </w:trPr>
        <w:tc>
          <w:tcPr>
            <w:tcW w:w="8879" w:type="dxa"/>
            <w:gridSpan w:val="3"/>
            <w:tcBorders>
              <w:top w:val="single" w:color="000000" w:sz="4" w:space="0"/>
              <w:left w:val="single" w:color="000000" w:sz="18" w:space="0"/>
              <w:bottom w:val="single" w:color="000000" w:sz="4" w:space="0"/>
              <w:right w:val="single" w:color="000000" w:sz="18" w:space="0"/>
            </w:tcBorders>
          </w:tcPr>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Bibliografia básica: </w:t>
            </w:r>
          </w:p>
          <w:p>
            <w:pPr>
              <w:spacing w:line="360" w:lineRule="auto"/>
              <w:ind w:left="0" w:right="39" w:hanging="2"/>
              <w:rPr>
                <w:rFonts w:ascii="Times New Roman" w:hAnsi="Times New Roman" w:cs="Times New Roman"/>
              </w:rPr>
            </w:pPr>
            <w:r>
              <w:rPr>
                <w:rFonts w:ascii="Times New Roman" w:hAnsi="Times New Roman" w:eastAsia="Times New Roman" w:cs="Times New Roman"/>
              </w:rPr>
              <w:t xml:space="preserve">BUTLER, J. “Corpos que pesam: sobre os limites discursivos do sexo”. In: LOURO, G. L. (org.). </w:t>
            </w:r>
            <w:r>
              <w:rPr>
                <w:rFonts w:ascii="Times New Roman" w:hAnsi="Times New Roman" w:eastAsia="Times New Roman" w:cs="Times New Roman"/>
                <w:b/>
              </w:rPr>
              <w:t>O corpo educado: pedagogias da sexualidade</w:t>
            </w:r>
            <w:r>
              <w:rPr>
                <w:rFonts w:ascii="Times New Roman" w:hAnsi="Times New Roman" w:eastAsia="Times New Roman" w:cs="Times New Roman"/>
              </w:rPr>
              <w:t xml:space="preserve">. Belo Horizonte: Autêntica, 2001, p. 151-172. </w:t>
            </w:r>
          </w:p>
          <w:p>
            <w:pPr>
              <w:spacing w:line="360" w:lineRule="auto"/>
              <w:ind w:left="0" w:right="39" w:hanging="2"/>
              <w:rPr>
                <w:rFonts w:ascii="Times New Roman" w:hAnsi="Times New Roman" w:eastAsia="Times New Roman" w:cs="Times New Roman"/>
              </w:rPr>
            </w:pPr>
            <w:r>
              <w:rPr>
                <w:rFonts w:ascii="Times New Roman" w:hAnsi="Times New Roman" w:eastAsia="Times New Roman" w:cs="Times New Roman"/>
              </w:rPr>
              <w:t xml:space="preserve">CABRERA, M.; VARGAS, L. . Transfeminismo, decolonialidad y el asunto del conocimiento: inflexiones de los feminismos disidentes contemporáneos. </w:t>
            </w:r>
            <w:r>
              <w:rPr>
                <w:rFonts w:ascii="Times New Roman" w:hAnsi="Times New Roman" w:eastAsia="Times New Roman" w:cs="Times New Roman"/>
                <w:b/>
              </w:rPr>
              <w:t>Universitas  Humanística</w:t>
            </w:r>
            <w:r>
              <w:rPr>
                <w:rFonts w:ascii="Times New Roman" w:hAnsi="Times New Roman" w:eastAsia="Times New Roman" w:cs="Times New Roman"/>
              </w:rPr>
              <w:t>, 78, 19-37. Disponível em:</w:t>
            </w:r>
            <w:r>
              <w:fldChar w:fldCharType="begin"/>
            </w:r>
            <w:r>
              <w:instrText xml:space="preserve"> HYPERLINK "http://dx.doi.org/10.11144/Javeriana.UH78.tdac" \h </w:instrText>
            </w:r>
            <w:r>
              <w:fldChar w:fldCharType="separate"/>
            </w:r>
            <w:r>
              <w:rPr>
                <w:rFonts w:ascii="Times New Roman" w:hAnsi="Times New Roman" w:eastAsia="Times New Roman" w:cs="Times New Roman"/>
                <w:color w:val="0000FF"/>
                <w:u w:val="single"/>
              </w:rPr>
              <w:t>http://dx.doi.org/10.11144/Javeriana.UH78.tdac</w:t>
            </w:r>
            <w:r>
              <w:rPr>
                <w:rFonts w:ascii="Times New Roman" w:hAnsi="Times New Roman" w:eastAsia="Times New Roman" w:cs="Times New Roman"/>
                <w:color w:val="0000FF"/>
                <w:u w:val="single"/>
              </w:rPr>
              <w:fldChar w:fldCharType="end"/>
            </w:r>
          </w:p>
          <w:p>
            <w:pPr>
              <w:spacing w:line="360" w:lineRule="auto"/>
              <w:ind w:left="0" w:right="-660" w:hanging="2"/>
              <w:rPr>
                <w:rFonts w:ascii="Times New Roman" w:hAnsi="Times New Roman" w:cs="Times New Roman"/>
              </w:rPr>
            </w:pPr>
            <w:r>
              <w:rPr>
                <w:rFonts w:ascii="Times New Roman" w:hAnsi="Times New Roman" w:eastAsia="Times New Roman" w:cs="Times New Roman"/>
              </w:rPr>
              <w:t xml:space="preserve">MENDOZA, Breny. La epistemología del sur, la colonialidad del género y el feminismo </w:t>
            </w:r>
          </w:p>
          <w:p>
            <w:pPr>
              <w:spacing w:line="360" w:lineRule="auto"/>
              <w:ind w:left="0" w:right="-660" w:hanging="2"/>
              <w:rPr>
                <w:rFonts w:ascii="Times New Roman" w:hAnsi="Times New Roman" w:cs="Times New Roman"/>
              </w:rPr>
            </w:pPr>
            <w:r>
              <w:rPr>
                <w:rFonts w:ascii="Times New Roman" w:hAnsi="Times New Roman" w:eastAsia="Times New Roman" w:cs="Times New Roman"/>
              </w:rPr>
              <w:t xml:space="preserve">latinoamericano. In: ESPINOSA-MIÑOSO, Y. </w:t>
            </w:r>
            <w:r>
              <w:rPr>
                <w:rFonts w:ascii="Times New Roman" w:hAnsi="Times New Roman" w:eastAsia="Times New Roman" w:cs="Times New Roman"/>
                <w:b/>
              </w:rPr>
              <w:t>Aproximaciones críticas a las prácticas teórico-políticas del feminismo latinoamericano</w:t>
            </w:r>
            <w:r>
              <w:rPr>
                <w:rFonts w:ascii="Times New Roman" w:hAnsi="Times New Roman" w:eastAsia="Times New Roman" w:cs="Times New Roman"/>
              </w:rPr>
              <w:t xml:space="preserve">. Disponível em: </w:t>
            </w:r>
            <w:r>
              <w:fldChar w:fldCharType="begin"/>
            </w:r>
            <w:r>
              <w:instrText xml:space="preserve"> HYPERLINK "http://www.uabierta.uchile.cl/c4x/Universidad_de_Chile/UCH_12/asset/mendoza%20la_epistemologia_del_sur.pdf" \h </w:instrText>
            </w:r>
            <w:r>
              <w:fldChar w:fldCharType="separate"/>
            </w:r>
            <w:r>
              <w:rPr>
                <w:rFonts w:ascii="Times New Roman" w:hAnsi="Times New Roman" w:eastAsia="Times New Roman" w:cs="Times New Roman"/>
                <w:color w:val="0000FF"/>
                <w:u w:val="single"/>
              </w:rPr>
              <w:t>http://www.uabierta.uchile.cl/c4x/Universidad_de_Chile/UCH_12/asset/mendoza la_epistemologia_del_sur.pdf</w:t>
            </w:r>
            <w:r>
              <w:rPr>
                <w:rFonts w:ascii="Times New Roman" w:hAnsi="Times New Roman" w:eastAsia="Times New Roman" w:cs="Times New Roman"/>
                <w:color w:val="0000FF"/>
                <w:u w:val="single"/>
              </w:rPr>
              <w:fldChar w:fldCharType="end"/>
            </w:r>
            <w:r>
              <w:rPr>
                <w:rFonts w:ascii="Times New Roman" w:hAnsi="Times New Roman" w:eastAsia="Times New Roman" w:cs="Times New Roman"/>
                <w:color w:val="0563C1"/>
                <w:u w:val="single"/>
              </w:rPr>
              <w:t>.</w:t>
            </w:r>
          </w:p>
          <w:p>
            <w:pPr>
              <w:spacing w:line="360" w:lineRule="auto"/>
              <w:ind w:left="0" w:hanging="2"/>
              <w:rPr>
                <w:rFonts w:ascii="Times New Roman" w:hAnsi="Times New Roman" w:cs="Times New Roman"/>
              </w:rPr>
            </w:pPr>
            <w:r>
              <w:rPr>
                <w:rFonts w:ascii="Times New Roman" w:hAnsi="Times New Roman" w:eastAsia="Times New Roman" w:cs="Times New Roman"/>
              </w:rPr>
              <w:t xml:space="preserve">PISCITELLI, A. Recriando a (categoria) mulher?. In: ALGRANTI, L. (org.). A prática </w:t>
            </w:r>
          </w:p>
          <w:p>
            <w:pPr>
              <w:spacing w:line="360" w:lineRule="auto"/>
              <w:ind w:left="0" w:hanging="2"/>
              <w:rPr>
                <w:rFonts w:ascii="Times New Roman" w:hAnsi="Times New Roman" w:cs="Times New Roman"/>
              </w:rPr>
            </w:pPr>
            <w:r>
              <w:rPr>
                <w:rFonts w:ascii="Times New Roman" w:hAnsi="Times New Roman" w:eastAsia="Times New Roman" w:cs="Times New Roman"/>
              </w:rPr>
              <w:t>feminista e o conceito de gênero. Textos Didáticos, nº 48. Campinas, IFCH-Unicamp, 2002, p. 7-42. Disponível em: http://www.pagu.unicamp.br/sites/www.pagu.unicamp.br/files/Adriana01.pdf</w:t>
            </w:r>
          </w:p>
          <w:p>
            <w:pPr>
              <w:pBdr>
                <w:top w:val="none" w:color="auto" w:sz="0" w:space="0"/>
                <w:left w:val="none" w:color="auto" w:sz="0" w:space="0"/>
                <w:bottom w:val="none" w:color="auto" w:sz="0" w:space="0"/>
                <w:right w:val="none" w:color="auto" w:sz="0" w:space="0"/>
                <w:between w:val="none" w:color="auto" w:sz="0" w:space="0"/>
              </w:pBdr>
              <w:spacing w:after="200" w:line="360" w:lineRule="auto"/>
              <w:ind w:left="0" w:hanging="2"/>
              <w:rPr>
                <w:rFonts w:ascii="Times New Roman" w:hAnsi="Times New Roman" w:eastAsia="Calibri" w:cs="Times New Roman"/>
                <w:color w:val="000000"/>
              </w:rPr>
            </w:pPr>
            <w:r>
              <w:rPr>
                <w:rFonts w:ascii="Times New Roman" w:hAnsi="Times New Roman" w:eastAsia="Times New Roman" w:cs="Times New Roman"/>
                <w:color w:val="000000"/>
              </w:rPr>
              <w:t>SCOTT, J. W. Gênero: uma categoria útil de análise histórica. Educação e Realidade, Porto Alegre, v.20, n.2, p. 71-99, 1995.</w:t>
            </w:r>
          </w:p>
        </w:tc>
      </w:tr>
      <w:tr>
        <w:tblPrEx>
          <w:tblCellMar>
            <w:top w:w="0" w:type="dxa"/>
            <w:left w:w="108" w:type="dxa"/>
            <w:bottom w:w="0" w:type="dxa"/>
            <w:right w:w="108" w:type="dxa"/>
          </w:tblCellMar>
        </w:tblPrEx>
        <w:trPr>
          <w:trHeight w:val="1257" w:hRule="atLeast"/>
        </w:trPr>
        <w:tc>
          <w:tcPr>
            <w:tcW w:w="8879" w:type="dxa"/>
            <w:gridSpan w:val="3"/>
            <w:tcBorders>
              <w:top w:val="single" w:color="000000" w:sz="4" w:space="0"/>
              <w:left w:val="single" w:color="000000" w:sz="18" w:space="0"/>
              <w:bottom w:val="single" w:color="000000" w:sz="4" w:space="0"/>
              <w:right w:val="single" w:color="000000" w:sz="18"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right="154"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Bibliografia complementar:</w:t>
            </w:r>
          </w:p>
          <w:p>
            <w:pPr>
              <w:spacing w:line="360" w:lineRule="auto"/>
              <w:ind w:left="0" w:right="39" w:hanging="2"/>
              <w:jc w:val="both"/>
              <w:rPr>
                <w:rFonts w:ascii="Times New Roman" w:hAnsi="Times New Roman" w:cs="Times New Roman"/>
              </w:rPr>
            </w:pPr>
            <w:r>
              <w:rPr>
                <w:rFonts w:ascii="Times New Roman" w:hAnsi="Times New Roman" w:eastAsia="Times New Roman" w:cs="Times New Roman"/>
              </w:rPr>
              <w:t xml:space="preserve">DAVIS, Angela. </w:t>
            </w:r>
            <w:r>
              <w:rPr>
                <w:rFonts w:ascii="Times New Roman" w:hAnsi="Times New Roman" w:eastAsia="Times New Roman" w:cs="Times New Roman"/>
                <w:b/>
              </w:rPr>
              <w:t xml:space="preserve">Mulheres, raça e classe. </w:t>
            </w:r>
            <w:r>
              <w:rPr>
                <w:rFonts w:ascii="Times New Roman" w:hAnsi="Times New Roman" w:eastAsia="Times New Roman" w:cs="Times New Roman"/>
              </w:rPr>
              <w:t>São Paulo: Boitempo, 2016.</w:t>
            </w:r>
          </w:p>
          <w:p>
            <w:pPr>
              <w:pBdr>
                <w:top w:val="none" w:color="auto" w:sz="0" w:space="0"/>
                <w:left w:val="none" w:color="auto" w:sz="0" w:space="0"/>
                <w:bottom w:val="none" w:color="auto" w:sz="0" w:space="0"/>
                <w:right w:val="none" w:color="auto" w:sz="0" w:space="0"/>
                <w:between w:val="none" w:color="auto" w:sz="0" w:space="0"/>
              </w:pBdr>
              <w:spacing w:line="360" w:lineRule="auto"/>
              <w:ind w:left="0" w:right="39"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ESPINOSA MIÑOSO, Yuderkys; GÓMEZ CORREAL, Diana; OCHOA MUÑOZ, Karina (Eds.). </w:t>
            </w:r>
            <w:r>
              <w:rPr>
                <w:rFonts w:ascii="Times New Roman" w:hAnsi="Times New Roman" w:eastAsia="Times New Roman" w:cs="Times New Roman"/>
                <w:b/>
                <w:color w:val="000000"/>
              </w:rPr>
              <w:t>Tejiendo de otro modo: Feminismo, epistemología y apuestas descoloniales en Abya Yala.</w:t>
            </w:r>
            <w:r>
              <w:rPr>
                <w:rFonts w:ascii="Times New Roman" w:hAnsi="Times New Roman" w:eastAsia="Times New Roman" w:cs="Times New Roman"/>
                <w:color w:val="000000"/>
              </w:rPr>
              <w:t xml:space="preserve"> Popayán: Editorial Universidad del Cauca, 2014. </w:t>
            </w:r>
          </w:p>
          <w:p>
            <w:pPr>
              <w:pBdr>
                <w:top w:val="none" w:color="auto" w:sz="0" w:space="0"/>
                <w:left w:val="none" w:color="auto" w:sz="0" w:space="0"/>
                <w:bottom w:val="none" w:color="auto" w:sz="0" w:space="0"/>
                <w:right w:val="none" w:color="auto" w:sz="0" w:space="0"/>
                <w:between w:val="none" w:color="auto" w:sz="0" w:space="0"/>
              </w:pBdr>
              <w:spacing w:line="360" w:lineRule="auto"/>
              <w:ind w:left="0" w:right="39"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LUGONES, María. Colonialidad y Género. </w:t>
            </w:r>
            <w:r>
              <w:rPr>
                <w:rFonts w:ascii="Times New Roman" w:hAnsi="Times New Roman" w:eastAsia="Times New Roman" w:cs="Times New Roman"/>
                <w:b/>
                <w:color w:val="000000"/>
              </w:rPr>
              <w:t>Tabula Rasa</w:t>
            </w:r>
            <w:r>
              <w:rPr>
                <w:rFonts w:ascii="Times New Roman" w:hAnsi="Times New Roman" w:eastAsia="Times New Roman" w:cs="Times New Roman"/>
                <w:color w:val="000000"/>
              </w:rPr>
              <w:t xml:space="preserve"> [online]. 2008, n.9, p.73-102. Disponível em: </w:t>
            </w:r>
            <w:r>
              <w:fldChar w:fldCharType="begin"/>
            </w:r>
            <w:r>
              <w:instrText xml:space="preserve"> HYPERLINK "http://www.scielo.org.co/pdf/tara/n9/n9a06.pdf" \h </w:instrText>
            </w:r>
            <w:r>
              <w:fldChar w:fldCharType="separate"/>
            </w:r>
            <w:r>
              <w:rPr>
                <w:rFonts w:ascii="Times New Roman" w:hAnsi="Times New Roman" w:eastAsia="Times New Roman" w:cs="Times New Roman"/>
                <w:color w:val="0000FF"/>
                <w:u w:val="single"/>
              </w:rPr>
              <w:t>http://www.scielo.org.co/pdf/tara/n9/n9a06.pdf</w:t>
            </w:r>
            <w:r>
              <w:rPr>
                <w:rFonts w:ascii="Times New Roman" w:hAnsi="Times New Roman" w:eastAsia="Times New Roman" w:cs="Times New Roman"/>
                <w:color w:val="0000FF"/>
                <w:u w:val="single"/>
              </w:rPr>
              <w:fldChar w:fldCharType="end"/>
            </w:r>
          </w:p>
          <w:p>
            <w:pPr>
              <w:spacing w:line="360" w:lineRule="auto"/>
              <w:ind w:left="0" w:right="39" w:hanging="2"/>
              <w:jc w:val="both"/>
              <w:rPr>
                <w:rFonts w:ascii="Times New Roman" w:hAnsi="Times New Roman" w:cs="Times New Roman"/>
              </w:rPr>
            </w:pPr>
            <w:r>
              <w:rPr>
                <w:rFonts w:ascii="Times New Roman" w:hAnsi="Times New Roman" w:eastAsia="Times New Roman" w:cs="Times New Roman"/>
              </w:rPr>
              <w:t xml:space="preserve">PRADO, Maria Ligia Coelho. </w:t>
            </w:r>
            <w:r>
              <w:rPr>
                <w:rFonts w:ascii="Times New Roman" w:hAnsi="Times New Roman" w:eastAsia="Times New Roman" w:cs="Times New Roman"/>
                <w:b/>
              </w:rPr>
              <w:t>América Latina no século XIX: tramas, telas e textos</w:t>
            </w:r>
            <w:r>
              <w:rPr>
                <w:rFonts w:ascii="Times New Roman" w:hAnsi="Times New Roman" w:eastAsia="Times New Roman" w:cs="Times New Roman"/>
              </w:rPr>
              <w:t>. São Paulo: Edusp; Bauru: Edusc, 1999.</w:t>
            </w:r>
          </w:p>
          <w:p>
            <w:pPr>
              <w:spacing w:line="360" w:lineRule="auto"/>
              <w:ind w:left="0" w:right="39" w:hanging="2"/>
              <w:jc w:val="both"/>
              <w:rPr>
                <w:rFonts w:ascii="Times New Roman" w:hAnsi="Times New Roman" w:cs="Times New Roman"/>
              </w:rPr>
            </w:pPr>
            <w:r>
              <w:rPr>
                <w:rFonts w:ascii="Times New Roman" w:hAnsi="Times New Roman" w:eastAsia="Times New Roman" w:cs="Times New Roman"/>
              </w:rPr>
              <w:t xml:space="preserve">PIZARRO, Ana (Org.). </w:t>
            </w:r>
            <w:r>
              <w:rPr>
                <w:rFonts w:ascii="Times New Roman" w:hAnsi="Times New Roman" w:eastAsia="Times New Roman" w:cs="Times New Roman"/>
                <w:b/>
              </w:rPr>
              <w:t>América Latina: palavra, literatura e cultura</w:t>
            </w:r>
            <w:r>
              <w:rPr>
                <w:rFonts w:ascii="Times New Roman" w:hAnsi="Times New Roman" w:eastAsia="Times New Roman" w:cs="Times New Roman"/>
              </w:rPr>
              <w:t>. 3 volumes. São Paulo;  Campinas: Memorial; Ed. Unicamp, 1994.</w:t>
            </w:r>
          </w:p>
        </w:tc>
      </w:tr>
    </w:tbl>
    <w:p>
      <w:pPr>
        <w:ind w:left="0" w:hanging="2"/>
        <w:rPr>
          <w:rFonts w:ascii="Times New Roman" w:hAnsi="Times New Roman" w:eastAsia="Times New Roman" w:cs="Times New Roman"/>
        </w:rPr>
      </w:pPr>
    </w:p>
    <w:p>
      <w:pPr>
        <w:ind w:left="0" w:leftChars="0" w:firstLine="0" w:firstLineChars="0"/>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21"/>
        <w:tblW w:w="8888" w:type="dxa"/>
        <w:tblInd w:w="59" w:type="dxa"/>
        <w:tblLayout w:type="fixed"/>
        <w:tblCellMar>
          <w:top w:w="0" w:type="dxa"/>
          <w:left w:w="108" w:type="dxa"/>
          <w:bottom w:w="0" w:type="dxa"/>
          <w:right w:w="108" w:type="dxa"/>
        </w:tblCellMar>
      </w:tblPr>
      <w:tblGrid>
        <w:gridCol w:w="5670"/>
        <w:gridCol w:w="3218"/>
      </w:tblGrid>
      <w:tr>
        <w:tblPrEx>
          <w:tblCellMar>
            <w:top w:w="0" w:type="dxa"/>
            <w:left w:w="108" w:type="dxa"/>
            <w:bottom w:w="0" w:type="dxa"/>
            <w:right w:w="108" w:type="dxa"/>
          </w:tblCellMar>
        </w:tblPrEx>
        <w:tc>
          <w:tcPr>
            <w:tcW w:w="5670" w:type="dxa"/>
            <w:tcBorders>
              <w:top w:val="single" w:color="000000" w:sz="20" w:space="0"/>
              <w:left w:val="single" w:color="000000" w:sz="20"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 xml:space="preserve">Nome do Componente Curricular em português: História das Mulheres e Gênero nas Américas II </w:t>
            </w:r>
          </w:p>
          <w:p>
            <w:pPr>
              <w:pBdr>
                <w:top w:val="none" w:color="auto" w:sz="0" w:space="0"/>
                <w:left w:val="none" w:color="auto" w:sz="0" w:space="0"/>
                <w:bottom w:val="none" w:color="auto" w:sz="0" w:space="0"/>
                <w:right w:val="none" w:color="auto" w:sz="0" w:space="0"/>
                <w:between w:val="none" w:color="auto" w:sz="0" w:space="0"/>
              </w:pBdr>
              <w:spacing w:before="240"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Nome do Componente Curricular em inglês: History of Women and Gender in the Americas</w:t>
            </w:r>
          </w:p>
        </w:tc>
        <w:tc>
          <w:tcPr>
            <w:tcW w:w="3218" w:type="dxa"/>
            <w:tcBorders>
              <w:top w:val="single" w:color="000000" w:sz="20" w:space="0"/>
              <w:left w:val="single" w:color="000000" w:sz="4" w:space="0"/>
              <w:bottom w:val="single" w:color="000000" w:sz="4" w:space="0"/>
              <w:right w:val="single" w:color="000000" w:sz="20"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Código: HIS949</w:t>
            </w:r>
          </w:p>
        </w:tc>
      </w:tr>
      <w:tr>
        <w:tblPrEx>
          <w:tblCellMar>
            <w:top w:w="0" w:type="dxa"/>
            <w:left w:w="108" w:type="dxa"/>
            <w:bottom w:w="0" w:type="dxa"/>
            <w:right w:w="108" w:type="dxa"/>
          </w:tblCellMar>
        </w:tblPrEx>
        <w:trPr>
          <w:trHeight w:val="641" w:hRule="atLeast"/>
        </w:trPr>
        <w:tc>
          <w:tcPr>
            <w:tcW w:w="5670" w:type="dxa"/>
            <w:tcBorders>
              <w:top w:val="single" w:color="000000" w:sz="4" w:space="0"/>
              <w:left w:val="single" w:color="000000" w:sz="20"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Nome e sigla do departamento: Departamento de História - DEHIS</w:t>
            </w:r>
          </w:p>
        </w:tc>
        <w:tc>
          <w:tcPr>
            <w:tcW w:w="3218" w:type="dxa"/>
            <w:tcBorders>
              <w:top w:val="single" w:color="000000" w:sz="4" w:space="0"/>
              <w:left w:val="single" w:color="000000" w:sz="4" w:space="0"/>
              <w:bottom w:val="single" w:color="000000" w:sz="4" w:space="0"/>
              <w:right w:val="single" w:color="000000" w:sz="20"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Unidade acadêmica: ICHS</w:t>
            </w:r>
          </w:p>
        </w:tc>
      </w:tr>
      <w:tr>
        <w:tblPrEx>
          <w:tblCellMar>
            <w:top w:w="0" w:type="dxa"/>
            <w:left w:w="108" w:type="dxa"/>
            <w:bottom w:w="0" w:type="dxa"/>
            <w:right w:w="108" w:type="dxa"/>
          </w:tblCellMar>
        </w:tblPrEx>
        <w:tc>
          <w:tcPr>
            <w:tcW w:w="8888" w:type="dxa"/>
            <w:gridSpan w:val="2"/>
            <w:tcBorders>
              <w:top w:val="single" w:color="000000" w:sz="4" w:space="0"/>
              <w:left w:val="single" w:color="000000" w:sz="20" w:space="0"/>
              <w:bottom w:val="single" w:color="000000" w:sz="4" w:space="0"/>
              <w:right w:val="single" w:color="000000" w:sz="20"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eastAsia="Liberation Serif" w:cs="Times New Roman"/>
                <w:color w:val="000000"/>
              </w:rPr>
            </w:pPr>
          </w:p>
          <w:tbl>
            <w:tblPr>
              <w:tblStyle w:val="622"/>
              <w:tblW w:w="8790" w:type="dxa"/>
              <w:tblInd w:w="0" w:type="dxa"/>
              <w:tblLayout w:type="fixed"/>
              <w:tblCellMar>
                <w:top w:w="0" w:type="dxa"/>
                <w:left w:w="108" w:type="dxa"/>
                <w:bottom w:w="0" w:type="dxa"/>
                <w:right w:w="108" w:type="dxa"/>
              </w:tblCellMar>
            </w:tblPr>
            <w:tblGrid>
              <w:gridCol w:w="2912"/>
              <w:gridCol w:w="2747"/>
              <w:gridCol w:w="3131"/>
            </w:tblGrid>
            <w:tr>
              <w:tblPrEx>
                <w:tblCellMar>
                  <w:top w:w="0" w:type="dxa"/>
                  <w:left w:w="108" w:type="dxa"/>
                  <w:bottom w:w="0" w:type="dxa"/>
                  <w:right w:w="108" w:type="dxa"/>
                </w:tblCellMar>
              </w:tblPrEx>
              <w:trPr>
                <w:trHeight w:val="641" w:hRule="atLeast"/>
              </w:trPr>
              <w:tc>
                <w:tcPr>
                  <w:tcW w:w="2912" w:type="dxa"/>
                  <w:tcBorders>
                    <w:top w:val="single" w:color="000000" w:sz="4" w:space="0"/>
                    <w:left w:val="single" w:color="000000" w:sz="20"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1C1C1C"/>
                    </w:rPr>
                    <w:t>Carga horária semestral</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1C1C1C"/>
                    </w:rPr>
                    <w:t>60 horas</w:t>
                  </w:r>
                </w:p>
              </w:tc>
              <w:tc>
                <w:tcPr>
                  <w:tcW w:w="2747" w:type="dxa"/>
                  <w:tcBorders>
                    <w:top w:val="single" w:color="000000" w:sz="4" w:space="0"/>
                    <w:left w:val="single" w:color="000000" w:sz="4" w:space="0"/>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1C1C1C"/>
                    </w:rPr>
                    <w:t>Carga horária semanal teórica</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1C1C1C"/>
                    </w:rPr>
                    <w:t>04 horas/aula</w:t>
                  </w:r>
                </w:p>
              </w:tc>
              <w:tc>
                <w:tcPr>
                  <w:tcW w:w="3131" w:type="dxa"/>
                  <w:tcBorders>
                    <w:top w:val="single" w:color="000000" w:sz="4" w:space="0"/>
                    <w:left w:val="single" w:color="000000" w:sz="4" w:space="0"/>
                    <w:bottom w:val="single" w:color="000000" w:sz="4" w:space="0"/>
                    <w:right w:val="single" w:color="000000" w:sz="20"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right="637"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Carga horária semanal</w:t>
                  </w:r>
                </w:p>
                <w:p>
                  <w:pPr>
                    <w:pBdr>
                      <w:top w:val="none" w:color="auto" w:sz="0" w:space="0"/>
                      <w:left w:val="none" w:color="auto" w:sz="0" w:space="0"/>
                      <w:bottom w:val="none" w:color="auto" w:sz="0" w:space="0"/>
                      <w:right w:val="none" w:color="auto" w:sz="0" w:space="0"/>
                      <w:between w:val="none" w:color="auto" w:sz="0" w:space="0"/>
                    </w:pBdr>
                    <w:spacing w:line="360" w:lineRule="auto"/>
                    <w:ind w:left="0" w:right="637"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 xml:space="preserve"> Prática</w:t>
                  </w:r>
                </w:p>
                <w:p>
                  <w:pPr>
                    <w:pBdr>
                      <w:top w:val="none" w:color="auto" w:sz="0" w:space="0"/>
                      <w:left w:val="none" w:color="auto" w:sz="0" w:space="0"/>
                      <w:bottom w:val="none" w:color="auto" w:sz="0" w:space="0"/>
                      <w:right w:val="none" w:color="auto" w:sz="0" w:space="0"/>
                      <w:between w:val="none" w:color="auto" w:sz="0" w:space="0"/>
                    </w:pBdr>
                    <w:spacing w:line="360" w:lineRule="auto"/>
                    <w:ind w:left="0" w:right="637" w:hanging="2"/>
                    <w:jc w:val="center"/>
                    <w:rPr>
                      <w:rFonts w:ascii="Times New Roman" w:hAnsi="Times New Roman" w:eastAsia="Liberation Serif" w:cs="Times New Roman"/>
                      <w:color w:val="000000"/>
                    </w:rPr>
                  </w:pPr>
                  <w:r>
                    <w:rPr>
                      <w:rFonts w:ascii="Times New Roman" w:hAnsi="Times New Roman" w:eastAsia="Times New Roman" w:cs="Times New Roman"/>
                      <w:color w:val="1C1C1C"/>
                    </w:rPr>
                    <w:t>00 horas/aula</w:t>
                  </w:r>
                </w:p>
              </w:tc>
            </w:tr>
          </w:tbl>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p>
        </w:tc>
      </w:tr>
      <w:tr>
        <w:tblPrEx>
          <w:tblCellMar>
            <w:top w:w="0" w:type="dxa"/>
            <w:left w:w="108" w:type="dxa"/>
            <w:bottom w:w="0" w:type="dxa"/>
            <w:right w:w="108" w:type="dxa"/>
          </w:tblCellMar>
        </w:tblPrEx>
        <w:tc>
          <w:tcPr>
            <w:tcW w:w="8888" w:type="dxa"/>
            <w:gridSpan w:val="2"/>
            <w:tcBorders>
              <w:top w:val="single" w:color="000000" w:sz="4" w:space="0"/>
              <w:left w:val="single" w:color="000000" w:sz="20" w:space="0"/>
              <w:bottom w:val="single" w:color="000000" w:sz="4" w:space="0"/>
              <w:right w:val="single" w:color="000000" w:sz="20"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Ementa: O curso enfocará parte do debate a respeito das relações de gênero nas Américas, de meados do século XX até os dias atuais</w:t>
            </w:r>
          </w:p>
        </w:tc>
      </w:tr>
      <w:tr>
        <w:tblPrEx>
          <w:tblCellMar>
            <w:top w:w="0" w:type="dxa"/>
            <w:left w:w="108" w:type="dxa"/>
            <w:bottom w:w="0" w:type="dxa"/>
            <w:right w:w="108" w:type="dxa"/>
          </w:tblCellMar>
        </w:tblPrEx>
        <w:tc>
          <w:tcPr>
            <w:tcW w:w="8888" w:type="dxa"/>
            <w:gridSpan w:val="2"/>
            <w:tcBorders>
              <w:top w:val="single" w:color="000000" w:sz="4" w:space="0"/>
              <w:left w:val="single" w:color="000000" w:sz="20" w:space="0"/>
              <w:bottom w:val="single" w:color="000000" w:sz="4" w:space="0"/>
              <w:right w:val="single" w:color="000000" w:sz="20"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 xml:space="preserve">Conteúdo programático: </w:t>
            </w:r>
          </w:p>
          <w:p>
            <w:pPr>
              <w:numPr>
                <w:ilvl w:val="0"/>
                <w:numId w:val="106"/>
              </w:numPr>
              <w:pBdr>
                <w:top w:val="none" w:color="auto" w:sz="0" w:space="0"/>
                <w:left w:val="none" w:color="auto" w:sz="0" w:space="0"/>
                <w:bottom w:val="none" w:color="auto" w:sz="0" w:space="0"/>
                <w:right w:val="none" w:color="auto" w:sz="0" w:space="0"/>
                <w:between w:val="none" w:color="auto" w:sz="0" w:space="0"/>
              </w:pBdr>
              <w:tabs>
                <w:tab w:val="left" w:pos="0"/>
                <w:tab w:val="left" w:pos="720"/>
              </w:tabs>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Feminismo afrodiaspórico.</w:t>
            </w:r>
          </w:p>
          <w:p>
            <w:pPr>
              <w:numPr>
                <w:ilvl w:val="0"/>
                <w:numId w:val="106"/>
              </w:numPr>
              <w:pBdr>
                <w:top w:val="none" w:color="auto" w:sz="0" w:space="0"/>
                <w:left w:val="none" w:color="auto" w:sz="0" w:space="0"/>
                <w:bottom w:val="none" w:color="auto" w:sz="0" w:space="0"/>
                <w:right w:val="none" w:color="auto" w:sz="0" w:space="0"/>
                <w:between w:val="none" w:color="auto" w:sz="0" w:space="0"/>
              </w:pBdr>
              <w:tabs>
                <w:tab w:val="left" w:pos="0"/>
                <w:tab w:val="left" w:pos="720"/>
              </w:tabs>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 busca do respeito sobre a diversidade sexual: de Stonewall ao reconhecimento dos direitos LGBTQI+ .</w:t>
            </w:r>
          </w:p>
          <w:p>
            <w:pPr>
              <w:numPr>
                <w:ilvl w:val="0"/>
                <w:numId w:val="106"/>
              </w:numPr>
              <w:pBdr>
                <w:top w:val="none" w:color="auto" w:sz="0" w:space="0"/>
                <w:left w:val="none" w:color="auto" w:sz="0" w:space="0"/>
                <w:bottom w:val="none" w:color="auto" w:sz="0" w:space="0"/>
                <w:right w:val="none" w:color="auto" w:sz="0" w:space="0"/>
                <w:between w:val="none" w:color="auto" w:sz="0" w:space="0"/>
              </w:pBdr>
              <w:tabs>
                <w:tab w:val="left" w:pos="0"/>
                <w:tab w:val="left" w:pos="720"/>
              </w:tabs>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Filme </w:t>
            </w:r>
            <w:r>
              <w:rPr>
                <w:rFonts w:ascii="Times New Roman" w:hAnsi="Times New Roman" w:eastAsia="Times New Roman" w:cs="Times New Roman"/>
                <w:i/>
                <w:color w:val="000000"/>
              </w:rPr>
              <w:t>Stonewall</w:t>
            </w:r>
            <w:r>
              <w:rPr>
                <w:rFonts w:ascii="Times New Roman" w:hAnsi="Times New Roman" w:eastAsia="Times New Roman" w:cs="Times New Roman"/>
                <w:color w:val="000000"/>
              </w:rPr>
              <w:t xml:space="preserve"> e documentário </w:t>
            </w:r>
            <w:r>
              <w:rPr>
                <w:rFonts w:ascii="Times New Roman" w:hAnsi="Times New Roman" w:eastAsia="Times New Roman" w:cs="Times New Roman"/>
                <w:i/>
                <w:color w:val="000000"/>
              </w:rPr>
              <w:t>Morte e vida de Marsha Johnson.</w:t>
            </w:r>
          </w:p>
          <w:p>
            <w:pPr>
              <w:numPr>
                <w:ilvl w:val="0"/>
                <w:numId w:val="106"/>
              </w:numPr>
              <w:pBdr>
                <w:top w:val="none" w:color="auto" w:sz="0" w:space="0"/>
                <w:left w:val="none" w:color="auto" w:sz="0" w:space="0"/>
                <w:bottom w:val="none" w:color="auto" w:sz="0" w:space="0"/>
                <w:right w:val="none" w:color="auto" w:sz="0" w:space="0"/>
                <w:between w:val="none" w:color="auto" w:sz="0" w:space="0"/>
              </w:pBdr>
              <w:tabs>
                <w:tab w:val="left" w:pos="0"/>
                <w:tab w:val="left" w:pos="720"/>
              </w:tabs>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 lutas das mulheres pela inclusão nos projetos de cidadania. Prêmio Nobel para a escritora chilena Gabriela Mistral (1945) e documentário </w:t>
            </w:r>
            <w:r>
              <w:rPr>
                <w:rFonts w:ascii="Times New Roman" w:hAnsi="Times New Roman" w:eastAsia="Times New Roman" w:cs="Times New Roman"/>
                <w:i/>
                <w:color w:val="000000"/>
              </w:rPr>
              <w:t>She's Beautiful When She's Angry</w:t>
            </w:r>
            <w:r>
              <w:rPr>
                <w:rFonts w:ascii="Times New Roman" w:hAnsi="Times New Roman" w:eastAsia="Times New Roman" w:cs="Times New Roman"/>
                <w:color w:val="000000"/>
              </w:rPr>
              <w:t xml:space="preserve"> (EUA).</w:t>
            </w:r>
          </w:p>
          <w:p>
            <w:pPr>
              <w:numPr>
                <w:ilvl w:val="0"/>
                <w:numId w:val="106"/>
              </w:numPr>
              <w:pBdr>
                <w:top w:val="none" w:color="auto" w:sz="0" w:space="0"/>
                <w:left w:val="none" w:color="auto" w:sz="0" w:space="0"/>
                <w:bottom w:val="none" w:color="auto" w:sz="0" w:space="0"/>
                <w:right w:val="none" w:color="auto" w:sz="0" w:space="0"/>
                <w:between w:val="none" w:color="auto" w:sz="0" w:space="0"/>
              </w:pBdr>
              <w:tabs>
                <w:tab w:val="left" w:pos="0"/>
                <w:tab w:val="left" w:pos="720"/>
              </w:tabs>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Colonialidade e violências contra as mulheres indígenas. </w:t>
            </w:r>
          </w:p>
          <w:p>
            <w:pPr>
              <w:numPr>
                <w:ilvl w:val="0"/>
                <w:numId w:val="106"/>
              </w:numPr>
              <w:pBdr>
                <w:top w:val="none" w:color="auto" w:sz="0" w:space="0"/>
                <w:left w:val="none" w:color="auto" w:sz="0" w:space="0"/>
                <w:bottom w:val="none" w:color="auto" w:sz="0" w:space="0"/>
                <w:right w:val="none" w:color="auto" w:sz="0" w:space="0"/>
                <w:between w:val="none" w:color="auto" w:sz="0" w:space="0"/>
              </w:pBdr>
              <w:tabs>
                <w:tab w:val="left" w:pos="0"/>
                <w:tab w:val="left" w:pos="720"/>
              </w:tabs>
              <w:spacing w:after="200"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Feminismo crítico e críticas ao feminismo.</w:t>
            </w:r>
          </w:p>
        </w:tc>
      </w:tr>
      <w:tr>
        <w:tblPrEx>
          <w:tblCellMar>
            <w:top w:w="0" w:type="dxa"/>
            <w:left w:w="108" w:type="dxa"/>
            <w:bottom w:w="0" w:type="dxa"/>
            <w:right w:w="108" w:type="dxa"/>
          </w:tblCellMar>
        </w:tblPrEx>
        <w:tc>
          <w:tcPr>
            <w:tcW w:w="8888" w:type="dxa"/>
            <w:gridSpan w:val="2"/>
            <w:tcBorders>
              <w:top w:val="single" w:color="000000" w:sz="4" w:space="0"/>
              <w:left w:val="single" w:color="000000" w:sz="20" w:space="0"/>
              <w:bottom w:val="single" w:color="000000" w:sz="4" w:space="0"/>
              <w:right w:val="single" w:color="000000" w:sz="20" w:space="0"/>
            </w:tcBorders>
            <w:vAlign w:val="center"/>
          </w:tcPr>
          <w:p>
            <w:pPr>
              <w:pBdr>
                <w:top w:val="none" w:color="auto" w:sz="0" w:space="0"/>
                <w:left w:val="none" w:color="auto" w:sz="0" w:space="0"/>
                <w:bottom w:val="none" w:color="auto" w:sz="0" w:space="0"/>
                <w:right w:val="none" w:color="auto" w:sz="0" w:space="0"/>
                <w:between w:val="none" w:color="auto" w:sz="0" w:space="0"/>
              </w:pBdr>
              <w:spacing w:line="360" w:lineRule="auto"/>
              <w:ind w:left="0" w:right="245"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 xml:space="preserve">Bibliografia básica: </w:t>
            </w:r>
          </w:p>
          <w:p>
            <w:pPr>
              <w:pBdr>
                <w:top w:val="none" w:color="auto" w:sz="0" w:space="0"/>
                <w:left w:val="none" w:color="auto" w:sz="0" w:space="0"/>
                <w:bottom w:val="none" w:color="auto" w:sz="0" w:space="0"/>
                <w:right w:val="none" w:color="auto" w:sz="0" w:space="0"/>
                <w:between w:val="none" w:color="auto" w:sz="0" w:space="0"/>
              </w:pBdr>
              <w:spacing w:line="360" w:lineRule="auto"/>
              <w:ind w:left="0" w:right="245" w:hanging="2"/>
              <w:rPr>
                <w:rFonts w:ascii="Times New Roman" w:hAnsi="Times New Roman" w:eastAsia="Liberation Serif" w:cs="Times New Roman"/>
                <w:color w:val="000000"/>
              </w:rPr>
            </w:pPr>
            <w:r>
              <w:rPr>
                <w:rFonts w:ascii="Times New Roman" w:hAnsi="Times New Roman" w:eastAsia="Times New Roman" w:cs="Times New Roman"/>
                <w:color w:val="000000"/>
              </w:rPr>
              <w:t xml:space="preserve">BUTLER, J. “Corpos que pesam: sobre os limites discursivos do sexo”. In: LOURO, G. L. (org.). </w:t>
            </w:r>
            <w:r>
              <w:rPr>
                <w:rFonts w:ascii="Times New Roman" w:hAnsi="Times New Roman" w:eastAsia="Times New Roman" w:cs="Times New Roman"/>
                <w:b/>
                <w:color w:val="000000"/>
              </w:rPr>
              <w:t>O corpo educado: pedagogias da sexualidade</w:t>
            </w:r>
            <w:r>
              <w:rPr>
                <w:rFonts w:ascii="Times New Roman" w:hAnsi="Times New Roman" w:eastAsia="Times New Roman" w:cs="Times New Roman"/>
                <w:color w:val="000000"/>
              </w:rPr>
              <w:t xml:space="preserve">. Belo Horizonte: Autêntica, 2001, p. 151-172. </w:t>
            </w:r>
          </w:p>
          <w:p>
            <w:pPr>
              <w:pBdr>
                <w:top w:val="none" w:color="auto" w:sz="0" w:space="0"/>
                <w:left w:val="none" w:color="auto" w:sz="0" w:space="0"/>
                <w:bottom w:val="none" w:color="auto" w:sz="0" w:space="0"/>
                <w:right w:val="none" w:color="auto" w:sz="0" w:space="0"/>
                <w:between w:val="none" w:color="auto" w:sz="0" w:space="0"/>
              </w:pBdr>
              <w:spacing w:line="360" w:lineRule="auto"/>
              <w:ind w:left="0" w:right="245" w:hanging="2"/>
              <w:rPr>
                <w:rFonts w:ascii="Times New Roman" w:hAnsi="Times New Roman" w:eastAsia="Liberation Serif" w:cs="Times New Roman"/>
                <w:color w:val="000000"/>
              </w:rPr>
            </w:pPr>
            <w:r>
              <w:rPr>
                <w:rFonts w:ascii="Times New Roman" w:hAnsi="Times New Roman" w:eastAsia="Times New Roman" w:cs="Times New Roman"/>
                <w:color w:val="000000"/>
              </w:rPr>
              <w:t xml:space="preserve">DAVIS, Angela. </w:t>
            </w:r>
            <w:r>
              <w:rPr>
                <w:rFonts w:ascii="Times New Roman" w:hAnsi="Times New Roman" w:eastAsia="Times New Roman" w:cs="Times New Roman"/>
                <w:b/>
                <w:color w:val="000000"/>
              </w:rPr>
              <w:t xml:space="preserve">Mulheres, raça e classe. </w:t>
            </w:r>
            <w:r>
              <w:rPr>
                <w:rFonts w:ascii="Times New Roman" w:hAnsi="Times New Roman" w:eastAsia="Times New Roman" w:cs="Times New Roman"/>
                <w:color w:val="000000"/>
              </w:rPr>
              <w:t>São Paulo: Boitempo, 2016.</w:t>
            </w:r>
          </w:p>
          <w:p>
            <w:pPr>
              <w:pBdr>
                <w:top w:val="none" w:color="auto" w:sz="0" w:space="0"/>
                <w:left w:val="none" w:color="auto" w:sz="0" w:space="0"/>
                <w:bottom w:val="none" w:color="auto" w:sz="0" w:space="0"/>
                <w:right w:val="none" w:color="auto" w:sz="0" w:space="0"/>
                <w:between w:val="none" w:color="auto" w:sz="0" w:space="0"/>
              </w:pBdr>
              <w:spacing w:line="360" w:lineRule="auto"/>
              <w:ind w:left="0" w:right="245"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CABRERA, M.; VARGAS, L. . Transfeminismo, decolonialidad y el asunto del conocimiento: inflexiones de los feminismos disidentes contemporáneos. </w:t>
            </w:r>
            <w:r>
              <w:rPr>
                <w:rFonts w:ascii="Times New Roman" w:hAnsi="Times New Roman" w:eastAsia="Times New Roman" w:cs="Times New Roman"/>
                <w:b/>
                <w:color w:val="000000"/>
              </w:rPr>
              <w:t>Universitas Humanística</w:t>
            </w:r>
            <w:r>
              <w:rPr>
                <w:rFonts w:ascii="Times New Roman" w:hAnsi="Times New Roman" w:eastAsia="Times New Roman" w:cs="Times New Roman"/>
                <w:color w:val="000000"/>
              </w:rPr>
              <w:t xml:space="preserve">, 78,19-37. Disponível em: </w:t>
            </w:r>
            <w:r>
              <w:fldChar w:fldCharType="begin"/>
            </w:r>
            <w:r>
              <w:instrText xml:space="preserve"> HYPERLINK "http://dx.doi.org/10.11144/Javeriana.UH78.tdac" \h </w:instrText>
            </w:r>
            <w:r>
              <w:fldChar w:fldCharType="separate"/>
            </w:r>
            <w:r>
              <w:rPr>
                <w:rFonts w:ascii="Times New Roman" w:hAnsi="Times New Roman" w:eastAsia="Times New Roman" w:cs="Times New Roman"/>
                <w:color w:val="0000FF"/>
                <w:u w:val="single"/>
              </w:rPr>
              <w:t>http://dx.doi.org/10.11144/Javeriana.UH78.tdac</w:t>
            </w:r>
            <w:r>
              <w:rPr>
                <w:rFonts w:ascii="Times New Roman" w:hAnsi="Times New Roman" w:eastAsia="Times New Roman" w:cs="Times New Roman"/>
                <w:color w:val="0000FF"/>
                <w:u w:val="single"/>
              </w:rPr>
              <w:fldChar w:fldCharType="end"/>
            </w:r>
          </w:p>
          <w:p>
            <w:pPr>
              <w:pBdr>
                <w:top w:val="none" w:color="auto" w:sz="0" w:space="0"/>
                <w:left w:val="none" w:color="auto" w:sz="0" w:space="0"/>
                <w:bottom w:val="none" w:color="auto" w:sz="0" w:space="0"/>
                <w:right w:val="none" w:color="auto" w:sz="0" w:space="0"/>
                <w:between w:val="none" w:color="auto" w:sz="0" w:space="0"/>
              </w:pBdr>
              <w:spacing w:line="360" w:lineRule="auto"/>
              <w:ind w:left="0" w:right="245" w:hanging="2"/>
              <w:rPr>
                <w:rFonts w:ascii="Times New Roman" w:hAnsi="Times New Roman" w:eastAsia="Liberation Serif" w:cs="Times New Roman"/>
                <w:color w:val="000000"/>
              </w:rPr>
            </w:pPr>
            <w:r>
              <w:rPr>
                <w:rFonts w:ascii="Times New Roman" w:hAnsi="Times New Roman" w:eastAsia="Times New Roman" w:cs="Times New Roman"/>
                <w:color w:val="000000"/>
              </w:rPr>
              <w:t>PISCITELLI, A. Recriando a (categoria) mulher?. In: ALGRANTI, L. (org.).  A prática feminista e o conceito de gênero. Textos Didáticos, nº 48. Campinas, IFCH-Unicamp, 2002, p. 7-42. Disponível em: http://www.pagu.unicamp.br/sites/www.pagu.unicamp.br/files/Adriana01.pdf</w:t>
            </w:r>
          </w:p>
          <w:p>
            <w:pPr>
              <w:pBdr>
                <w:top w:val="none" w:color="auto" w:sz="0" w:space="0"/>
                <w:left w:val="none" w:color="auto" w:sz="0" w:space="0"/>
                <w:bottom w:val="none" w:color="auto" w:sz="0" w:space="0"/>
                <w:right w:val="none" w:color="auto" w:sz="0" w:space="0"/>
                <w:between w:val="none" w:color="auto" w:sz="0" w:space="0"/>
              </w:pBdr>
              <w:spacing w:line="360" w:lineRule="auto"/>
              <w:ind w:left="0" w:right="245" w:hanging="2"/>
              <w:rPr>
                <w:rFonts w:ascii="Times New Roman" w:hAnsi="Times New Roman" w:eastAsia="Calibri" w:cs="Times New Roman"/>
                <w:color w:val="000000"/>
              </w:rPr>
            </w:pPr>
            <w:r>
              <w:rPr>
                <w:rFonts w:ascii="Times New Roman" w:hAnsi="Times New Roman" w:eastAsia="Times New Roman" w:cs="Times New Roman"/>
                <w:color w:val="000000"/>
              </w:rPr>
              <w:t xml:space="preserve">VERGARA, A.; ARBOLEDA, K. (2014). Feminismo afrodiaspórico.  Una agenda emergente del feminismo negro en Colombia. </w:t>
            </w:r>
            <w:r>
              <w:rPr>
                <w:rFonts w:ascii="Times New Roman" w:hAnsi="Times New Roman" w:eastAsia="Times New Roman" w:cs="Times New Roman"/>
                <w:b/>
                <w:color w:val="000000"/>
              </w:rPr>
              <w:t>Universitas Humanística</w:t>
            </w:r>
            <w:r>
              <w:rPr>
                <w:rFonts w:ascii="Times New Roman" w:hAnsi="Times New Roman" w:eastAsia="Times New Roman" w:cs="Times New Roman"/>
                <w:color w:val="000000"/>
              </w:rPr>
              <w:t>, n. 78, p. 109-134. Disponível em: http://dx.doi.org/10.11144/Javeriana.UH78.fafnUH 78.indd13410/09/1410:47.</w:t>
            </w:r>
          </w:p>
        </w:tc>
      </w:tr>
      <w:tr>
        <w:tblPrEx>
          <w:tblCellMar>
            <w:top w:w="0" w:type="dxa"/>
            <w:left w:w="108" w:type="dxa"/>
            <w:bottom w:w="0" w:type="dxa"/>
            <w:right w:w="108" w:type="dxa"/>
          </w:tblCellMar>
        </w:tblPrEx>
        <w:tc>
          <w:tcPr>
            <w:tcW w:w="8888" w:type="dxa"/>
            <w:gridSpan w:val="2"/>
            <w:tcBorders>
              <w:top w:val="single" w:color="000000" w:sz="4" w:space="0"/>
              <w:left w:val="single" w:color="000000" w:sz="20" w:space="0"/>
              <w:bottom w:val="single" w:color="000000" w:sz="4" w:space="0"/>
              <w:right w:val="single" w:color="000000" w:sz="20" w:space="0"/>
            </w:tcBorders>
          </w:tcPr>
          <w:p>
            <w:pPr>
              <w:pBdr>
                <w:top w:val="none" w:color="auto" w:sz="0" w:space="0"/>
                <w:left w:val="none" w:color="auto" w:sz="0" w:space="0"/>
                <w:bottom w:val="none" w:color="auto" w:sz="0" w:space="0"/>
                <w:right w:val="none" w:color="auto" w:sz="0" w:space="0"/>
                <w:between w:val="none" w:color="auto" w:sz="0" w:space="0"/>
              </w:pBdr>
              <w:spacing w:line="360" w:lineRule="auto"/>
              <w:ind w:left="0" w:right="245"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 xml:space="preserve">Bibliografia complementar: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ESPINOSA MIÑOSO, Yuderkys; GÓMEZ CORREAL, Diana; OCHOA MUÑOZ,  Karina(Eds.). </w:t>
            </w:r>
            <w:r>
              <w:rPr>
                <w:rFonts w:ascii="Times New Roman" w:hAnsi="Times New Roman" w:eastAsia="Times New Roman" w:cs="Times New Roman"/>
                <w:b/>
                <w:color w:val="000000"/>
              </w:rPr>
              <w:t xml:space="preserve">Tejiendo de otro modo: Feminismo, epistemología y apuestas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b/>
                <w:color w:val="000000"/>
              </w:rPr>
              <w:t>descoloniales en Abya Yala.</w:t>
            </w:r>
            <w:r>
              <w:rPr>
                <w:rFonts w:ascii="Times New Roman" w:hAnsi="Times New Roman" w:eastAsia="Times New Roman" w:cs="Times New Roman"/>
                <w:color w:val="000000"/>
              </w:rPr>
              <w:t xml:space="preserve"> Popayán: Editorial Universidad del Cauca, 2014.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LUGONES, María. Colonialidad y Género. </w:t>
            </w:r>
            <w:r>
              <w:rPr>
                <w:rFonts w:ascii="Times New Roman" w:hAnsi="Times New Roman" w:eastAsia="Times New Roman" w:cs="Times New Roman"/>
                <w:b/>
                <w:color w:val="000000"/>
              </w:rPr>
              <w:t>Tabula Rasa</w:t>
            </w:r>
            <w:r>
              <w:rPr>
                <w:rFonts w:ascii="Times New Roman" w:hAnsi="Times New Roman" w:eastAsia="Times New Roman" w:cs="Times New Roman"/>
                <w:color w:val="000000"/>
              </w:rPr>
              <w:t xml:space="preserve"> [online]. 2008, n.9, p.73-102.</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 Disponível em: </w:t>
            </w:r>
            <w:r>
              <w:fldChar w:fldCharType="begin"/>
            </w:r>
            <w:r>
              <w:instrText xml:space="preserve"> HYPERLINK "http://www.scielo.org.co/pdf/tara/n9/n9a06.pdf" \h </w:instrText>
            </w:r>
            <w:r>
              <w:fldChar w:fldCharType="separate"/>
            </w:r>
            <w:r>
              <w:rPr>
                <w:rFonts w:ascii="Times New Roman" w:hAnsi="Times New Roman" w:eastAsia="Times New Roman" w:cs="Times New Roman"/>
                <w:color w:val="0000FF"/>
                <w:u w:val="single"/>
              </w:rPr>
              <w:t>http://www.scielo.org.co/pdf/tara/n9/n9a06.pdf</w:t>
            </w:r>
            <w:r>
              <w:rPr>
                <w:rFonts w:ascii="Times New Roman" w:hAnsi="Times New Roman" w:eastAsia="Times New Roman" w:cs="Times New Roman"/>
                <w:color w:val="0000FF"/>
                <w:u w:val="single"/>
              </w:rPr>
              <w:fldChar w:fldCharType="end"/>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MENDOZA, Breny. La epistemología del sur, la colonialidad del género y el feminismo latinoamericano. In: ESPINOSA-MIÑOSO, Y. </w:t>
            </w:r>
            <w:r>
              <w:rPr>
                <w:rFonts w:ascii="Times New Roman" w:hAnsi="Times New Roman" w:eastAsia="Times New Roman" w:cs="Times New Roman"/>
                <w:b/>
                <w:color w:val="000000"/>
              </w:rPr>
              <w:t>Aproximaciones críticas a  las prácticas teórico-políticas del feminismo latinoamericano</w:t>
            </w:r>
            <w:r>
              <w:rPr>
                <w:rFonts w:ascii="Times New Roman" w:hAnsi="Times New Roman" w:eastAsia="Times New Roman" w:cs="Times New Roman"/>
                <w:color w:val="000000"/>
              </w:rPr>
              <w:t xml:space="preserve">. Disponível em: </w:t>
            </w:r>
            <w:r>
              <w:fldChar w:fldCharType="begin"/>
            </w:r>
            <w:r>
              <w:instrText xml:space="preserve"> HYPERLINK "http://www.uabierta.uchile.cl/c4x/Universidad_de_Chile/UCH_12/asset/mendoza%20%20_la_epistemologia_del_sur.pdf" \h </w:instrText>
            </w:r>
            <w:r>
              <w:fldChar w:fldCharType="separate"/>
            </w:r>
            <w:r>
              <w:rPr>
                <w:rFonts w:ascii="Times New Roman" w:hAnsi="Times New Roman" w:eastAsia="Times New Roman" w:cs="Times New Roman"/>
                <w:color w:val="0000FF"/>
                <w:u w:val="single"/>
              </w:rPr>
              <w:t xml:space="preserve">http://www.uabierta.uchile.cl/c4x/Universidad_de_Chile/UCH_12/asset/mendoza </w:t>
            </w:r>
            <w:r>
              <w:rPr>
                <w:rFonts w:ascii="Times New Roman" w:hAnsi="Times New Roman" w:eastAsia="Times New Roman" w:cs="Times New Roman"/>
                <w:color w:val="0000FF"/>
                <w:u w:val="single"/>
              </w:rPr>
              <w:fldChar w:fldCharType="end"/>
            </w:r>
            <w:r>
              <w:fldChar w:fldCharType="begin"/>
            </w:r>
            <w:r>
              <w:instrText xml:space="preserve"> HYPERLINK "http://www.uabierta.uchile.cl/c4x/Universidad_de_Chile/UCH_12/asset/mendoza%20%20_la_epistemologia_del_sur.pdf" \h </w:instrText>
            </w:r>
            <w:r>
              <w:fldChar w:fldCharType="separate"/>
            </w:r>
            <w:r>
              <w:rPr>
                <w:rFonts w:ascii="Times New Roman" w:hAnsi="Times New Roman" w:eastAsia="Liberation Serif" w:cs="Times New Roman"/>
                <w:color w:val="0000FF"/>
                <w:u w:val="single"/>
              </w:rPr>
              <w:t xml:space="preserve"> </w:t>
            </w:r>
            <w:r>
              <w:rPr>
                <w:rFonts w:ascii="Times New Roman" w:hAnsi="Times New Roman" w:eastAsia="Liberation Serif" w:cs="Times New Roman"/>
                <w:color w:val="0000FF"/>
                <w:u w:val="single"/>
              </w:rPr>
              <w:fldChar w:fldCharType="end"/>
            </w:r>
            <w:r>
              <w:fldChar w:fldCharType="begin"/>
            </w:r>
            <w:r>
              <w:instrText xml:space="preserve"> HYPERLINK "http://www.uabierta.uchile.cl/c4x/Universidad_de_Chile/UCH_12/asset/mendoza%20%20_la_epistemologia_del_sur.pdf" \h </w:instrText>
            </w:r>
            <w:r>
              <w:fldChar w:fldCharType="separate"/>
            </w:r>
            <w:r>
              <w:rPr>
                <w:rFonts w:ascii="Times New Roman" w:hAnsi="Times New Roman" w:eastAsia="Times New Roman" w:cs="Times New Roman"/>
                <w:color w:val="0000FF"/>
                <w:u w:val="single"/>
              </w:rPr>
              <w:t>_la_epistemologia_del_sur.pdf</w:t>
            </w:r>
            <w:r>
              <w:rPr>
                <w:rFonts w:ascii="Times New Roman" w:hAnsi="Times New Roman" w:eastAsia="Times New Roman" w:cs="Times New Roman"/>
                <w:color w:val="0000FF"/>
                <w:u w:val="single"/>
              </w:rPr>
              <w:fldChar w:fldCharType="end"/>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 xml:space="preserve">PRADO, Maria Ligia Coelho. </w:t>
            </w:r>
            <w:r>
              <w:rPr>
                <w:rFonts w:ascii="Times New Roman" w:hAnsi="Times New Roman" w:eastAsia="Times New Roman" w:cs="Times New Roman"/>
                <w:b/>
                <w:color w:val="000000"/>
              </w:rPr>
              <w:t>América Latina no século XIX: tramas, telas e textos</w:t>
            </w:r>
            <w:r>
              <w:rPr>
                <w:rFonts w:ascii="Times New Roman" w:hAnsi="Times New Roman" w:eastAsia="Times New Roman" w:cs="Times New Roman"/>
                <w:color w:val="000000"/>
              </w:rPr>
              <w:t>. São Paulo: Edusp; Bauru: Edusc, 1999.</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 xml:space="preserve">PIZARRO, Ana (Org.). </w:t>
            </w:r>
            <w:r>
              <w:rPr>
                <w:rFonts w:ascii="Times New Roman" w:hAnsi="Times New Roman" w:eastAsia="Times New Roman" w:cs="Times New Roman"/>
                <w:b/>
                <w:color w:val="000000"/>
              </w:rPr>
              <w:t>América Latina: palavra, literatura e cultura</w:t>
            </w:r>
            <w:r>
              <w:rPr>
                <w:rFonts w:ascii="Times New Roman" w:hAnsi="Times New Roman" w:eastAsia="Times New Roman" w:cs="Times New Roman"/>
                <w:color w:val="000000"/>
              </w:rPr>
              <w:t xml:space="preserve">. 3 volumes. São Paulo;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Campinas: Memorial; Ed. Unicamp, 1994.</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Calibri" w:cs="Times New Roman"/>
                <w:color w:val="000000"/>
              </w:rPr>
            </w:pPr>
            <w:r>
              <w:rPr>
                <w:rFonts w:ascii="Times New Roman" w:hAnsi="Times New Roman" w:eastAsia="Times New Roman" w:cs="Times New Roman"/>
                <w:color w:val="000000"/>
              </w:rPr>
              <w:t xml:space="preserve">SCOTT, J. W. Gênero: uma categoria útil de análise histórica. Educação e Realidade, </w:t>
            </w:r>
          </w:p>
          <w:p>
            <w:pPr>
              <w:pBdr>
                <w:top w:val="none" w:color="auto" w:sz="0" w:space="0"/>
                <w:left w:val="none" w:color="auto" w:sz="0" w:space="0"/>
                <w:bottom w:val="none" w:color="auto" w:sz="0" w:space="0"/>
                <w:right w:val="none" w:color="auto" w:sz="0" w:space="0"/>
                <w:between w:val="none" w:color="auto" w:sz="0" w:space="0"/>
              </w:pBdr>
              <w:spacing w:after="200" w:line="360" w:lineRule="auto"/>
              <w:ind w:left="0" w:hanging="2"/>
              <w:jc w:val="both"/>
              <w:rPr>
                <w:rFonts w:ascii="Times New Roman" w:hAnsi="Times New Roman" w:eastAsia="Calibri" w:cs="Times New Roman"/>
                <w:color w:val="000000"/>
              </w:rPr>
            </w:pPr>
            <w:r>
              <w:rPr>
                <w:rFonts w:ascii="Times New Roman" w:hAnsi="Times New Roman" w:eastAsia="Times New Roman" w:cs="Times New Roman"/>
                <w:color w:val="000000"/>
              </w:rPr>
              <w:t>Porto Alegre, v.20, n.2, p. 71-99, 1995.</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23"/>
        <w:tblW w:w="8880" w:type="dxa"/>
        <w:tblInd w:w="22" w:type="dxa"/>
        <w:tblLayout w:type="fixed"/>
        <w:tblCellMar>
          <w:top w:w="0" w:type="dxa"/>
          <w:left w:w="22" w:type="dxa"/>
          <w:bottom w:w="0" w:type="dxa"/>
          <w:right w:w="22" w:type="dxa"/>
        </w:tblCellMar>
      </w:tblPr>
      <w:tblGrid>
        <w:gridCol w:w="3119"/>
        <w:gridCol w:w="3260"/>
        <w:gridCol w:w="2501"/>
      </w:tblGrid>
      <w:tr>
        <w:tblPrEx>
          <w:tblCellMar>
            <w:top w:w="0" w:type="dxa"/>
            <w:left w:w="22" w:type="dxa"/>
            <w:bottom w:w="0" w:type="dxa"/>
            <w:right w:w="22" w:type="dxa"/>
          </w:tblCellMar>
        </w:tblPrEx>
        <w:trPr>
          <w:trHeight w:val="1402" w:hRule="atLeast"/>
        </w:trPr>
        <w:tc>
          <w:tcPr>
            <w:tcW w:w="6379"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História das utopias e das distopias: política, cinema e literatura.</w:t>
            </w:r>
          </w:p>
          <w:p>
            <w:pPr>
              <w:widowControl w:val="0"/>
              <w:pBdr>
                <w:top w:val="none" w:color="auto" w:sz="0" w:space="0"/>
                <w:left w:val="none" w:color="auto" w:sz="0" w:space="0"/>
                <w:bottom w:val="none" w:color="auto" w:sz="0" w:space="0"/>
                <w:right w:val="none" w:color="auto" w:sz="0" w:space="0"/>
                <w:between w:val="none" w:color="auto" w:sz="0" w:space="0"/>
              </w:pBdr>
              <w:spacing w:before="240"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History of utopias and dystopias: politics, cinema, and literature</w:t>
            </w:r>
          </w:p>
        </w:tc>
        <w:tc>
          <w:tcPr>
            <w:tcW w:w="2501"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HIS950</w:t>
            </w:r>
          </w:p>
        </w:tc>
      </w:tr>
      <w:tr>
        <w:tblPrEx>
          <w:tblCellMar>
            <w:top w:w="0" w:type="dxa"/>
            <w:left w:w="22" w:type="dxa"/>
            <w:bottom w:w="0" w:type="dxa"/>
            <w:right w:w="22" w:type="dxa"/>
          </w:tblCellMar>
        </w:tblPrEx>
        <w:trPr>
          <w:trHeight w:val="825" w:hRule="atLeast"/>
        </w:trPr>
        <w:tc>
          <w:tcPr>
            <w:tcW w:w="6379"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História - DEHIS</w:t>
            </w:r>
          </w:p>
        </w:tc>
        <w:tc>
          <w:tcPr>
            <w:tcW w:w="2501"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3" w:hRule="atLeast"/>
        </w:trPr>
        <w:tc>
          <w:tcPr>
            <w:tcW w:w="3119"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46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before="7" w:line="36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90 horas</w:t>
            </w:r>
          </w:p>
        </w:tc>
        <w:tc>
          <w:tcPr>
            <w:tcW w:w="3260"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 04 horas/aula</w:t>
            </w:r>
          </w:p>
        </w:tc>
        <w:tc>
          <w:tcPr>
            <w:tcW w:w="2501"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02 horas/aula</w:t>
            </w:r>
          </w:p>
        </w:tc>
      </w:tr>
      <w:tr>
        <w:tblPrEx>
          <w:tblCellMar>
            <w:top w:w="0" w:type="dxa"/>
            <w:left w:w="22" w:type="dxa"/>
            <w:bottom w:w="0" w:type="dxa"/>
            <w:right w:w="22" w:type="dxa"/>
          </w:tblCellMar>
        </w:tblPrEx>
        <w:trPr>
          <w:trHeight w:val="871" w:hRule="atLeast"/>
        </w:trPr>
        <w:tc>
          <w:tcPr>
            <w:tcW w:w="8880"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Estudo de imaginários utópicos e distópicos em contextos históricos distintos, por meio de filmes, literatura e análise de movimentos políticos.</w:t>
            </w:r>
          </w:p>
        </w:tc>
      </w:tr>
      <w:tr>
        <w:tblPrEx>
          <w:tblCellMar>
            <w:top w:w="0" w:type="dxa"/>
            <w:left w:w="22" w:type="dxa"/>
            <w:bottom w:w="0" w:type="dxa"/>
            <w:right w:w="22" w:type="dxa"/>
          </w:tblCellMar>
        </w:tblPrEx>
        <w:trPr>
          <w:trHeight w:val="2342" w:hRule="atLeast"/>
        </w:trPr>
        <w:tc>
          <w:tcPr>
            <w:tcW w:w="8880"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numPr>
                <w:ilvl w:val="0"/>
                <w:numId w:val="107"/>
              </w:num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O aparecimento do tema da utopia no pensamento político;</w:t>
            </w:r>
          </w:p>
          <w:p>
            <w:pPr>
              <w:numPr>
                <w:ilvl w:val="0"/>
                <w:numId w:val="107"/>
              </w:num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rPr>
            </w:pPr>
            <w:r>
              <w:rPr>
                <w:rFonts w:ascii="Times New Roman" w:hAnsi="Times New Roman" w:eastAsia="Times New Roman" w:cs="Times New Roman"/>
              </w:rPr>
              <w:t xml:space="preserve">  </w:t>
            </w:r>
            <w:r>
              <w:rPr>
                <w:rFonts w:ascii="Times New Roman" w:hAnsi="Times New Roman" w:eastAsia="Times New Roman" w:cs="Times New Roman"/>
                <w:color w:val="000000"/>
              </w:rPr>
              <w:t>Utopias socialistas;</w:t>
            </w:r>
          </w:p>
          <w:p>
            <w:pPr>
              <w:numPr>
                <w:ilvl w:val="0"/>
                <w:numId w:val="107"/>
              </w:num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O romantismo-revolucionário no Brasil;</w:t>
            </w:r>
          </w:p>
          <w:p>
            <w:pPr>
              <w:numPr>
                <w:ilvl w:val="0"/>
                <w:numId w:val="107"/>
              </w:num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O esvaziamento das utopias: a “era do vazio”;</w:t>
            </w:r>
          </w:p>
          <w:p>
            <w:pPr>
              <w:numPr>
                <w:ilvl w:val="0"/>
                <w:numId w:val="107"/>
              </w:num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Distopias no cinema e na literatura;</w:t>
            </w:r>
          </w:p>
        </w:tc>
      </w:tr>
      <w:tr>
        <w:tblPrEx>
          <w:tblCellMar>
            <w:top w:w="0" w:type="dxa"/>
            <w:left w:w="22" w:type="dxa"/>
            <w:bottom w:w="0" w:type="dxa"/>
            <w:right w:w="22" w:type="dxa"/>
          </w:tblCellMar>
        </w:tblPrEx>
        <w:trPr>
          <w:trHeight w:val="1163" w:hRule="atLeast"/>
        </w:trPr>
        <w:tc>
          <w:tcPr>
            <w:tcW w:w="8880"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pBdr>
                <w:top w:val="none" w:color="auto" w:sz="0" w:space="0"/>
                <w:left w:val="none" w:color="auto" w:sz="0" w:space="0"/>
                <w:bottom w:val="none" w:color="auto" w:sz="0" w:space="0"/>
                <w:right w:val="none" w:color="auto" w:sz="0" w:space="0"/>
                <w:between w:val="none" w:color="auto" w:sz="0" w:space="0"/>
              </w:pBdr>
              <w:spacing w:line="360" w:lineRule="auto"/>
              <w:ind w:left="0" w:right="137" w:hanging="2"/>
              <w:rPr>
                <w:rFonts w:ascii="Times New Roman" w:hAnsi="Times New Roman" w:eastAsia="Liberation Serif" w:cs="Times New Roman"/>
                <w:color w:val="000000"/>
              </w:rPr>
            </w:pPr>
            <w:r>
              <w:rPr>
                <w:rFonts w:ascii="Times New Roman" w:hAnsi="Times New Roman" w:eastAsia="Times New Roman" w:cs="Times New Roman"/>
                <w:color w:val="000000"/>
              </w:rPr>
              <w:t xml:space="preserve">BACZKO. B. Utopia. In: </w:t>
            </w:r>
            <w:r>
              <w:rPr>
                <w:rFonts w:ascii="Times New Roman" w:hAnsi="Times New Roman" w:eastAsia="Times New Roman" w:cs="Times New Roman"/>
                <w:b/>
                <w:color w:val="000000"/>
              </w:rPr>
              <w:t>Enciclopédia Einaudi</w:t>
            </w:r>
            <w:r>
              <w:rPr>
                <w:rFonts w:ascii="Times New Roman" w:hAnsi="Times New Roman" w:eastAsia="Times New Roman" w:cs="Times New Roman"/>
                <w:color w:val="000000"/>
              </w:rPr>
              <w:t>. Antropos-Homem. Lisboa: Imprensa Nacional, Casa da Moeda, 1985.</w:t>
            </w:r>
          </w:p>
          <w:p>
            <w:pPr>
              <w:pBdr>
                <w:top w:val="none" w:color="auto" w:sz="0" w:space="0"/>
                <w:left w:val="none" w:color="auto" w:sz="0" w:space="0"/>
                <w:bottom w:val="none" w:color="auto" w:sz="0" w:space="0"/>
                <w:right w:val="none" w:color="auto" w:sz="0" w:space="0"/>
                <w:between w:val="none" w:color="auto" w:sz="0" w:space="0"/>
              </w:pBdr>
              <w:spacing w:line="360" w:lineRule="auto"/>
              <w:ind w:left="0" w:right="137" w:hanging="2"/>
              <w:rPr>
                <w:rFonts w:ascii="Times New Roman" w:hAnsi="Times New Roman" w:eastAsia="Liberation Serif" w:cs="Times New Roman"/>
                <w:color w:val="000000"/>
              </w:rPr>
            </w:pPr>
            <w:r>
              <w:rPr>
                <w:rFonts w:ascii="Times New Roman" w:hAnsi="Times New Roman" w:eastAsia="Times New Roman" w:cs="Times New Roman"/>
                <w:color w:val="000000"/>
              </w:rPr>
              <w:t xml:space="preserve">LIPOVETSKY, Gilles. </w:t>
            </w:r>
            <w:r>
              <w:rPr>
                <w:rFonts w:ascii="Times New Roman" w:hAnsi="Times New Roman" w:eastAsia="Times New Roman" w:cs="Times New Roman"/>
                <w:b/>
                <w:color w:val="000000"/>
              </w:rPr>
              <w:t xml:space="preserve">A era do vazio: </w:t>
            </w:r>
            <w:r>
              <w:rPr>
                <w:rFonts w:ascii="Times New Roman" w:hAnsi="Times New Roman" w:eastAsia="Times New Roman" w:cs="Times New Roman"/>
                <w:color w:val="000000"/>
              </w:rPr>
              <w:t>ensaios sobre o individualismo contemporâneo. Barueri, SP: Manole, 2005</w:t>
            </w:r>
          </w:p>
          <w:p>
            <w:pPr>
              <w:pBdr>
                <w:top w:val="none" w:color="auto" w:sz="0" w:space="0"/>
                <w:left w:val="none" w:color="auto" w:sz="0" w:space="0"/>
                <w:bottom w:val="none" w:color="auto" w:sz="0" w:space="0"/>
                <w:right w:val="none" w:color="auto" w:sz="0" w:space="0"/>
                <w:between w:val="none" w:color="auto" w:sz="0" w:space="0"/>
              </w:pBdr>
              <w:spacing w:line="360" w:lineRule="auto"/>
              <w:ind w:left="0" w:right="137" w:hanging="2"/>
              <w:rPr>
                <w:rFonts w:ascii="Times New Roman" w:hAnsi="Times New Roman" w:eastAsia="Liberation Serif" w:cs="Times New Roman"/>
                <w:color w:val="000000"/>
              </w:rPr>
            </w:pPr>
            <w:r>
              <w:rPr>
                <w:rFonts w:ascii="Times New Roman" w:hAnsi="Times New Roman" w:eastAsia="Times New Roman" w:cs="Times New Roman"/>
                <w:color w:val="000000"/>
              </w:rPr>
              <w:t xml:space="preserve">NAPOLITANO, Marcos. </w:t>
            </w:r>
            <w:r>
              <w:rPr>
                <w:rFonts w:ascii="Times New Roman" w:hAnsi="Times New Roman" w:eastAsia="Times New Roman" w:cs="Times New Roman"/>
                <w:b/>
                <w:color w:val="000000"/>
              </w:rPr>
              <w:t xml:space="preserve">Cultura brasileira: </w:t>
            </w:r>
            <w:r>
              <w:rPr>
                <w:rFonts w:ascii="Times New Roman" w:hAnsi="Times New Roman" w:eastAsia="Times New Roman" w:cs="Times New Roman"/>
                <w:color w:val="000000"/>
              </w:rPr>
              <w:t>utopia e massificação (1950-1980). 2. ed. São Paulo: Contexto, c2004.</w:t>
            </w:r>
          </w:p>
          <w:p>
            <w:pPr>
              <w:pBdr>
                <w:top w:val="none" w:color="auto" w:sz="0" w:space="0"/>
                <w:left w:val="none" w:color="auto" w:sz="0" w:space="0"/>
                <w:bottom w:val="none" w:color="auto" w:sz="0" w:space="0"/>
                <w:right w:val="none" w:color="auto" w:sz="0" w:space="0"/>
                <w:between w:val="none" w:color="auto" w:sz="0" w:space="0"/>
              </w:pBdr>
              <w:spacing w:line="360" w:lineRule="auto"/>
              <w:ind w:left="0" w:right="137" w:hanging="2"/>
              <w:rPr>
                <w:rFonts w:ascii="Times New Roman" w:hAnsi="Times New Roman" w:eastAsia="Liberation Serif" w:cs="Times New Roman"/>
                <w:color w:val="000000"/>
              </w:rPr>
            </w:pPr>
            <w:r>
              <w:rPr>
                <w:rFonts w:ascii="Times New Roman" w:hAnsi="Times New Roman" w:eastAsia="Times New Roman" w:cs="Times New Roman"/>
                <w:color w:val="000000"/>
              </w:rPr>
              <w:t xml:space="preserve">ORWELL, George. </w:t>
            </w:r>
            <w:r>
              <w:rPr>
                <w:rFonts w:ascii="Times New Roman" w:hAnsi="Times New Roman" w:eastAsia="Times New Roman" w:cs="Times New Roman"/>
                <w:b/>
                <w:color w:val="000000"/>
              </w:rPr>
              <w:t xml:space="preserve">1984. </w:t>
            </w:r>
            <w:r>
              <w:rPr>
                <w:rFonts w:ascii="Times New Roman" w:hAnsi="Times New Roman" w:eastAsia="Times New Roman" w:cs="Times New Roman"/>
                <w:color w:val="000000"/>
              </w:rPr>
              <w:t>São Paulo: Companhia das Letras, 2011.</w:t>
            </w:r>
          </w:p>
          <w:p>
            <w:pPr>
              <w:pBdr>
                <w:top w:val="none" w:color="auto" w:sz="0" w:space="0"/>
                <w:left w:val="none" w:color="auto" w:sz="0" w:space="0"/>
                <w:bottom w:val="none" w:color="auto" w:sz="0" w:space="0"/>
                <w:right w:val="none" w:color="auto" w:sz="0" w:space="0"/>
                <w:between w:val="none" w:color="auto" w:sz="0" w:space="0"/>
              </w:pBdr>
              <w:spacing w:line="360" w:lineRule="auto"/>
              <w:ind w:left="0" w:right="137" w:hanging="2"/>
              <w:rPr>
                <w:rFonts w:ascii="Times New Roman" w:hAnsi="Times New Roman" w:eastAsia="Liberation Serif" w:cs="Times New Roman"/>
                <w:color w:val="000000"/>
              </w:rPr>
            </w:pPr>
            <w:r>
              <w:rPr>
                <w:rFonts w:ascii="Times New Roman" w:hAnsi="Times New Roman" w:eastAsia="Times New Roman" w:cs="Times New Roman"/>
                <w:color w:val="000000"/>
              </w:rPr>
              <w:t xml:space="preserve">RIDENTI, Marcelo. </w:t>
            </w:r>
            <w:r>
              <w:rPr>
                <w:rFonts w:ascii="Times New Roman" w:hAnsi="Times New Roman" w:eastAsia="Times New Roman" w:cs="Times New Roman"/>
                <w:b/>
                <w:color w:val="000000"/>
              </w:rPr>
              <w:t xml:space="preserve">Brasilidade revolucionária: </w:t>
            </w:r>
            <w:r>
              <w:rPr>
                <w:rFonts w:ascii="Times New Roman" w:hAnsi="Times New Roman" w:eastAsia="Times New Roman" w:cs="Times New Roman"/>
                <w:color w:val="000000"/>
              </w:rPr>
              <w:t>um século de cultura e política. São Paulo: UNESP c2010.</w:t>
            </w:r>
          </w:p>
        </w:tc>
      </w:tr>
      <w:tr>
        <w:tblPrEx>
          <w:tblCellMar>
            <w:top w:w="0" w:type="dxa"/>
            <w:left w:w="22" w:type="dxa"/>
            <w:bottom w:w="0" w:type="dxa"/>
            <w:right w:w="22" w:type="dxa"/>
          </w:tblCellMar>
        </w:tblPrEx>
        <w:trPr>
          <w:trHeight w:val="1894" w:hRule="atLeast"/>
        </w:trPr>
        <w:tc>
          <w:tcPr>
            <w:tcW w:w="8880"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pBdr>
                <w:top w:val="none" w:color="auto" w:sz="0" w:space="0"/>
                <w:left w:val="none" w:color="auto" w:sz="0" w:space="0"/>
                <w:bottom w:val="none" w:color="auto" w:sz="0" w:space="0"/>
                <w:right w:val="none" w:color="auto" w:sz="0" w:space="0"/>
                <w:between w:val="none" w:color="auto" w:sz="0" w:space="0"/>
              </w:pBdr>
              <w:spacing w:line="360" w:lineRule="auto"/>
              <w:ind w:left="0" w:right="137" w:hanging="2"/>
              <w:rPr>
                <w:rFonts w:ascii="Times New Roman" w:hAnsi="Times New Roman" w:eastAsia="Liberation Serif" w:cs="Times New Roman"/>
                <w:color w:val="000000"/>
              </w:rPr>
            </w:pPr>
            <w:r>
              <w:rPr>
                <w:rFonts w:ascii="Times New Roman" w:hAnsi="Times New Roman" w:eastAsia="Times New Roman" w:cs="Times New Roman"/>
                <w:color w:val="000000"/>
              </w:rPr>
              <w:t xml:space="preserve">CAMPANELLA, Tommaso. </w:t>
            </w:r>
            <w:r>
              <w:rPr>
                <w:rFonts w:ascii="Times New Roman" w:hAnsi="Times New Roman" w:eastAsia="Times New Roman" w:cs="Times New Roman"/>
                <w:b/>
                <w:color w:val="000000"/>
              </w:rPr>
              <w:t xml:space="preserve">A cidade do sol. </w:t>
            </w:r>
            <w:r>
              <w:rPr>
                <w:rFonts w:ascii="Times New Roman" w:hAnsi="Times New Roman" w:eastAsia="Times New Roman" w:cs="Times New Roman"/>
                <w:color w:val="000000"/>
              </w:rPr>
              <w:t>São Paulo: Ícone c2002.</w:t>
            </w:r>
          </w:p>
          <w:p>
            <w:pPr>
              <w:pBdr>
                <w:top w:val="none" w:color="auto" w:sz="0" w:space="0"/>
                <w:left w:val="none" w:color="auto" w:sz="0" w:space="0"/>
                <w:bottom w:val="none" w:color="auto" w:sz="0" w:space="0"/>
                <w:right w:val="none" w:color="auto" w:sz="0" w:space="0"/>
                <w:between w:val="none" w:color="auto" w:sz="0" w:space="0"/>
              </w:pBdr>
              <w:spacing w:line="360" w:lineRule="auto"/>
              <w:ind w:left="0" w:right="137" w:hanging="2"/>
              <w:rPr>
                <w:rFonts w:ascii="Times New Roman" w:hAnsi="Times New Roman" w:eastAsia="Liberation Serif" w:cs="Times New Roman"/>
                <w:color w:val="000000"/>
              </w:rPr>
            </w:pPr>
            <w:r>
              <w:rPr>
                <w:rFonts w:ascii="Times New Roman" w:hAnsi="Times New Roman" w:eastAsia="Times New Roman" w:cs="Times New Roman"/>
                <w:color w:val="000000"/>
              </w:rPr>
              <w:t xml:space="preserve">FRANCO JUNIOR, Hilario. </w:t>
            </w:r>
            <w:r>
              <w:rPr>
                <w:rFonts w:ascii="Times New Roman" w:hAnsi="Times New Roman" w:eastAsia="Times New Roman" w:cs="Times New Roman"/>
                <w:b/>
                <w:color w:val="000000"/>
              </w:rPr>
              <w:t xml:space="preserve">As utopias medievais. </w:t>
            </w:r>
            <w:r>
              <w:rPr>
                <w:rFonts w:ascii="Times New Roman" w:hAnsi="Times New Roman" w:eastAsia="Times New Roman" w:cs="Times New Roman"/>
                <w:color w:val="000000"/>
              </w:rPr>
              <w:t>São Paulo: Brasiliense 1992.</w:t>
            </w:r>
          </w:p>
          <w:p>
            <w:pPr>
              <w:pBdr>
                <w:top w:val="none" w:color="auto" w:sz="0" w:space="0"/>
                <w:left w:val="none" w:color="auto" w:sz="0" w:space="0"/>
                <w:bottom w:val="none" w:color="auto" w:sz="0" w:space="0"/>
                <w:right w:val="none" w:color="auto" w:sz="0" w:space="0"/>
                <w:between w:val="none" w:color="auto" w:sz="0" w:space="0"/>
              </w:pBdr>
              <w:spacing w:line="360" w:lineRule="auto"/>
              <w:ind w:left="0" w:right="137" w:hanging="2"/>
              <w:rPr>
                <w:rFonts w:ascii="Times New Roman" w:hAnsi="Times New Roman" w:eastAsia="Liberation Serif" w:cs="Times New Roman"/>
                <w:color w:val="000000"/>
              </w:rPr>
            </w:pPr>
            <w:r>
              <w:rPr>
                <w:rFonts w:ascii="Times New Roman" w:hAnsi="Times New Roman" w:eastAsia="Times New Roman" w:cs="Times New Roman"/>
                <w:color w:val="000000"/>
              </w:rPr>
              <w:t xml:space="preserve">HUXLEY, Aldous. </w:t>
            </w:r>
            <w:r>
              <w:rPr>
                <w:rFonts w:ascii="Times New Roman" w:hAnsi="Times New Roman" w:eastAsia="Times New Roman" w:cs="Times New Roman"/>
                <w:b/>
                <w:color w:val="000000"/>
              </w:rPr>
              <w:t xml:space="preserve">Admirável mundo novo. </w:t>
            </w:r>
            <w:r>
              <w:rPr>
                <w:rFonts w:ascii="Times New Roman" w:hAnsi="Times New Roman" w:eastAsia="Times New Roman" w:cs="Times New Roman"/>
                <w:color w:val="000000"/>
              </w:rPr>
              <w:t>São Paulo: Globo 2009.</w:t>
            </w:r>
          </w:p>
          <w:p>
            <w:pPr>
              <w:pBdr>
                <w:top w:val="none" w:color="auto" w:sz="0" w:space="0"/>
                <w:left w:val="none" w:color="auto" w:sz="0" w:space="0"/>
                <w:bottom w:val="none" w:color="auto" w:sz="0" w:space="0"/>
                <w:right w:val="none" w:color="auto" w:sz="0" w:space="0"/>
                <w:between w:val="none" w:color="auto" w:sz="0" w:space="0"/>
              </w:pBdr>
              <w:spacing w:line="360" w:lineRule="auto"/>
              <w:ind w:left="0" w:right="137" w:hanging="2"/>
              <w:rPr>
                <w:rFonts w:ascii="Times New Roman" w:hAnsi="Times New Roman" w:eastAsia="Liberation Serif" w:cs="Times New Roman"/>
                <w:color w:val="000000"/>
              </w:rPr>
            </w:pPr>
            <w:r>
              <w:rPr>
                <w:rFonts w:ascii="Times New Roman" w:hAnsi="Times New Roman" w:eastAsia="Times New Roman" w:cs="Times New Roman"/>
                <w:color w:val="000000"/>
              </w:rPr>
              <w:t xml:space="preserve">PETITFILS, Jean-Christian. </w:t>
            </w:r>
            <w:r>
              <w:rPr>
                <w:rFonts w:ascii="Times New Roman" w:hAnsi="Times New Roman" w:eastAsia="Times New Roman" w:cs="Times New Roman"/>
                <w:b/>
                <w:color w:val="000000"/>
              </w:rPr>
              <w:t xml:space="preserve">Os socialismos utópicos. </w:t>
            </w:r>
            <w:r>
              <w:rPr>
                <w:rFonts w:ascii="Times New Roman" w:hAnsi="Times New Roman" w:eastAsia="Times New Roman" w:cs="Times New Roman"/>
                <w:color w:val="000000"/>
              </w:rPr>
              <w:t>São Paulo: Círculo do Livro, 1977</w:t>
            </w:r>
          </w:p>
          <w:p>
            <w:pPr>
              <w:pBdr>
                <w:top w:val="none" w:color="auto" w:sz="0" w:space="0"/>
                <w:left w:val="none" w:color="auto" w:sz="0" w:space="0"/>
                <w:bottom w:val="none" w:color="auto" w:sz="0" w:space="0"/>
                <w:right w:val="none" w:color="auto" w:sz="0" w:space="0"/>
                <w:between w:val="none" w:color="auto" w:sz="0" w:space="0"/>
              </w:pBdr>
              <w:spacing w:line="360" w:lineRule="auto"/>
              <w:ind w:left="0" w:right="137" w:hanging="2"/>
              <w:rPr>
                <w:rFonts w:ascii="Times New Roman" w:hAnsi="Times New Roman" w:eastAsia="Liberation Serif" w:cs="Times New Roman"/>
                <w:color w:val="000000"/>
              </w:rPr>
            </w:pPr>
            <w:r>
              <w:rPr>
                <w:rFonts w:ascii="Times New Roman" w:hAnsi="Times New Roman" w:eastAsia="Times New Roman" w:cs="Times New Roman"/>
                <w:color w:val="000000"/>
              </w:rPr>
              <w:t xml:space="preserve">ZAPPA, Regina &amp; SOTO, Ernerto. </w:t>
            </w:r>
            <w:r>
              <w:rPr>
                <w:rFonts w:ascii="Times New Roman" w:hAnsi="Times New Roman" w:eastAsia="Times New Roman" w:cs="Times New Roman"/>
                <w:b/>
                <w:color w:val="000000"/>
              </w:rPr>
              <w:t xml:space="preserve">1968 </w:t>
            </w:r>
            <w:r>
              <w:rPr>
                <w:rFonts w:ascii="Times New Roman" w:hAnsi="Times New Roman" w:eastAsia="Times New Roman" w:cs="Times New Roman"/>
                <w:color w:val="000000"/>
              </w:rPr>
              <w:t>eles só queriam mudar o mundo. 3. ed.-. Rio de Janeiro: Zahar, 2011</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24"/>
        <w:tblW w:w="8924" w:type="dxa"/>
        <w:tblInd w:w="-20" w:type="dxa"/>
        <w:tblLayout w:type="fixed"/>
        <w:tblCellMar>
          <w:top w:w="0" w:type="dxa"/>
          <w:left w:w="22" w:type="dxa"/>
          <w:bottom w:w="0" w:type="dxa"/>
          <w:right w:w="22" w:type="dxa"/>
        </w:tblCellMar>
      </w:tblPr>
      <w:tblGrid>
        <w:gridCol w:w="2888"/>
        <w:gridCol w:w="3120"/>
        <w:gridCol w:w="2916"/>
      </w:tblGrid>
      <w:tr>
        <w:tblPrEx>
          <w:tblCellMar>
            <w:top w:w="0" w:type="dxa"/>
            <w:left w:w="22" w:type="dxa"/>
            <w:bottom w:w="0" w:type="dxa"/>
            <w:right w:w="22" w:type="dxa"/>
          </w:tblCellMar>
        </w:tblPrEx>
        <w:trPr>
          <w:trHeight w:val="1902" w:hRule="atLeast"/>
        </w:trPr>
        <w:tc>
          <w:tcPr>
            <w:tcW w:w="6008"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Introdução ao Cinema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Introduction to Cinema</w:t>
            </w:r>
          </w:p>
        </w:tc>
        <w:tc>
          <w:tcPr>
            <w:tcW w:w="2916"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JOR518</w:t>
            </w:r>
          </w:p>
        </w:tc>
      </w:tr>
      <w:tr>
        <w:tblPrEx>
          <w:tblCellMar>
            <w:top w:w="0" w:type="dxa"/>
            <w:left w:w="22" w:type="dxa"/>
            <w:bottom w:w="0" w:type="dxa"/>
            <w:right w:w="22" w:type="dxa"/>
          </w:tblCellMar>
        </w:tblPrEx>
        <w:trPr>
          <w:trHeight w:val="825" w:hRule="atLeast"/>
        </w:trPr>
        <w:tc>
          <w:tcPr>
            <w:tcW w:w="6008"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Jornalismo - DEJOR</w:t>
            </w:r>
          </w:p>
        </w:tc>
        <w:tc>
          <w:tcPr>
            <w:tcW w:w="291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3" w:hRule="atLeast"/>
        </w:trPr>
        <w:tc>
          <w:tcPr>
            <w:tcW w:w="2888"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46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7" w:line="36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semestral </w:t>
            </w:r>
          </w:p>
          <w:p>
            <w:pPr>
              <w:widowControl w:val="0"/>
              <w:pBdr>
                <w:top w:val="none" w:color="auto" w:sz="0" w:space="0"/>
                <w:left w:val="none" w:color="auto" w:sz="0" w:space="0"/>
                <w:bottom w:val="none" w:color="auto" w:sz="0" w:space="0"/>
                <w:right w:val="none" w:color="auto" w:sz="0" w:space="0"/>
                <w:between w:val="none" w:color="auto" w:sz="0" w:space="0"/>
              </w:pBdr>
              <w:spacing w:before="7" w:line="36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60 horas</w:t>
            </w:r>
          </w:p>
        </w:tc>
        <w:tc>
          <w:tcPr>
            <w:tcW w:w="3120"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02 horas/aula</w:t>
            </w:r>
          </w:p>
        </w:tc>
        <w:tc>
          <w:tcPr>
            <w:tcW w:w="291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02horas/aula</w:t>
            </w:r>
          </w:p>
        </w:tc>
      </w:tr>
      <w:tr>
        <w:tblPrEx>
          <w:tblCellMar>
            <w:top w:w="0" w:type="dxa"/>
            <w:left w:w="22" w:type="dxa"/>
            <w:bottom w:w="0" w:type="dxa"/>
            <w:right w:w="22" w:type="dxa"/>
          </w:tblCellMar>
        </w:tblPrEx>
        <w:trPr>
          <w:trHeight w:val="407"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A estética cinematográfica; a história do cinema mundial; o cinema mudo; o cinema sonoro; os movimentos culturais docinema: Expressionismo Alemão, Neo-realismo Italiano, Nouvelle Vague Francesa, Cinema Novo Brasileiro, Free Cinema Inglês, Dogma 95 Dinamarquês, Cinema Clássico Hollywoodiano; o Cinema latino americano; a história e evolução do cinemabrasileiro; a análise fílmica e a constituição da crítica cinematográfica.</w:t>
            </w:r>
          </w:p>
        </w:tc>
      </w:tr>
      <w:tr>
        <w:tblPrEx>
          <w:tblCellMar>
            <w:top w:w="0" w:type="dxa"/>
            <w:left w:w="22" w:type="dxa"/>
            <w:bottom w:w="0" w:type="dxa"/>
            <w:right w:w="22" w:type="dxa"/>
          </w:tblCellMar>
        </w:tblPrEx>
        <w:trPr>
          <w:trHeight w:val="447"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1. A estética cinematográfica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1.1. O filme como representação visual e sonora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1.2. Cinema e narração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1.3. Cinema e linguagem</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1.4. Cinema e espectador</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2. A história do cinema mundial</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2.1. O cinema mudo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2.2. O cinema sonoro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3. Os movimentos culturais do cinema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3.1. Expressionismo Alemão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3.2. Neo-realismo Italiano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3.3. Nouvelle Vague Francesa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3.4. Cinema Novo Brasileiro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3.5. Free Cinema Inglês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3.6. Dogma 95 Dinamarquês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3.7. Cinema Clássico Hollywoodiano;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3.8. O Cinema latino americano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4. A história e evolução do cinema brasileiro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5. A análise fílmica e a constituição da crítica cinematográfica.</w:t>
            </w:r>
          </w:p>
        </w:tc>
      </w:tr>
      <w:tr>
        <w:tblPrEx>
          <w:tblCellMar>
            <w:top w:w="0" w:type="dxa"/>
            <w:left w:w="22" w:type="dxa"/>
            <w:bottom w:w="0" w:type="dxa"/>
            <w:right w:w="22" w:type="dxa"/>
          </w:tblCellMar>
        </w:tblPrEx>
        <w:trPr>
          <w:trHeight w:val="3383"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spacing w:line="360" w:lineRule="auto"/>
              <w:ind w:left="0" w:right="17" w:hanging="2"/>
              <w:rPr>
                <w:rFonts w:ascii="Times New Roman" w:hAnsi="Times New Roman" w:cs="Times New Roman"/>
              </w:rPr>
            </w:pPr>
            <w:r>
              <w:rPr>
                <w:rFonts w:ascii="Times New Roman" w:hAnsi="Times New Roman" w:eastAsia="Times New Roman" w:cs="Times New Roman"/>
                <w:color w:val="000000"/>
              </w:rPr>
              <w:t>MASCARELLO, Fernando (org.) </w:t>
            </w:r>
            <w:r>
              <w:rPr>
                <w:rFonts w:ascii="Times New Roman" w:hAnsi="Times New Roman" w:eastAsia="Times New Roman" w:cs="Times New Roman"/>
                <w:b/>
                <w:color w:val="000000"/>
              </w:rPr>
              <w:t>História do cinema mundial</w:t>
            </w:r>
            <w:r>
              <w:rPr>
                <w:rFonts w:ascii="Times New Roman" w:hAnsi="Times New Roman" w:eastAsia="Times New Roman" w:cs="Times New Roman"/>
                <w:color w:val="000000"/>
              </w:rPr>
              <w:t>. Campinas-SP: Papirus,2008. </w:t>
            </w:r>
          </w:p>
          <w:p>
            <w:pPr>
              <w:spacing w:line="360" w:lineRule="auto"/>
              <w:ind w:left="0" w:right="17" w:hanging="2"/>
              <w:rPr>
                <w:rFonts w:ascii="Times New Roman" w:hAnsi="Times New Roman" w:cs="Times New Roman"/>
              </w:rPr>
            </w:pPr>
            <w:r>
              <w:rPr>
                <w:rFonts w:ascii="Times New Roman" w:hAnsi="Times New Roman" w:eastAsia="Times New Roman" w:cs="Times New Roman"/>
                <w:b/>
                <w:color w:val="000000"/>
              </w:rPr>
              <w:t>Teoria contemporânea do cinema</w:t>
            </w:r>
            <w:r>
              <w:rPr>
                <w:rFonts w:ascii="Times New Roman" w:hAnsi="Times New Roman" w:eastAsia="Times New Roman" w:cs="Times New Roman"/>
                <w:color w:val="000000"/>
              </w:rPr>
              <w:t>. São Paulo: Senac São Paulo, 2005. Stam, Robert. </w:t>
            </w:r>
            <w:r>
              <w:rPr>
                <w:rFonts w:ascii="Times New Roman" w:hAnsi="Times New Roman" w:eastAsia="Times New Roman" w:cs="Times New Roman"/>
                <w:b/>
                <w:color w:val="000000"/>
              </w:rPr>
              <w:t>Introdução à teoria do cinema</w:t>
            </w:r>
            <w:r>
              <w:rPr>
                <w:rFonts w:ascii="Times New Roman" w:hAnsi="Times New Roman" w:eastAsia="Times New Roman" w:cs="Times New Roman"/>
                <w:color w:val="000000"/>
              </w:rPr>
              <w:t>. 5.ed. Campinas: Papirus, 2011.</w:t>
            </w:r>
          </w:p>
          <w:p>
            <w:pPr>
              <w:spacing w:line="360" w:lineRule="auto"/>
              <w:ind w:left="0" w:right="17" w:hanging="2"/>
              <w:rPr>
                <w:rFonts w:ascii="Times New Roman" w:hAnsi="Times New Roman" w:cs="Times New Roman"/>
              </w:rPr>
            </w:pPr>
            <w:r>
              <w:rPr>
                <w:rFonts w:ascii="Times New Roman" w:hAnsi="Times New Roman" w:eastAsia="Times New Roman" w:cs="Times New Roman"/>
                <w:color w:val="000000"/>
              </w:rPr>
              <w:t>Vanoye, Francis. </w:t>
            </w:r>
            <w:r>
              <w:rPr>
                <w:rFonts w:ascii="Times New Roman" w:hAnsi="Times New Roman" w:eastAsia="Times New Roman" w:cs="Times New Roman"/>
                <w:b/>
                <w:color w:val="000000"/>
              </w:rPr>
              <w:t>Ensaio sobre a analise filmica</w:t>
            </w:r>
            <w:r>
              <w:rPr>
                <w:rFonts w:ascii="Times New Roman" w:hAnsi="Times New Roman" w:eastAsia="Times New Roman" w:cs="Times New Roman"/>
                <w:color w:val="000000"/>
              </w:rPr>
              <w:t>. 7. ed. Campinas: Papirus, 2011.</w:t>
            </w:r>
          </w:p>
          <w:p>
            <w:pPr>
              <w:spacing w:line="360" w:lineRule="auto"/>
              <w:ind w:left="0" w:right="17" w:hanging="2"/>
              <w:rPr>
                <w:rFonts w:ascii="Times New Roman" w:hAnsi="Times New Roman" w:cs="Times New Roman"/>
              </w:rPr>
            </w:pPr>
            <w:r>
              <w:rPr>
                <w:rFonts w:ascii="Times New Roman" w:hAnsi="Times New Roman" w:eastAsia="Times New Roman" w:cs="Times New Roman"/>
                <w:color w:val="000000"/>
              </w:rPr>
              <w:t>Martin, Marcel. </w:t>
            </w:r>
            <w:r>
              <w:rPr>
                <w:rFonts w:ascii="Times New Roman" w:hAnsi="Times New Roman" w:eastAsia="Times New Roman" w:cs="Times New Roman"/>
                <w:b/>
                <w:color w:val="000000"/>
              </w:rPr>
              <w:t>A linguagem cinematográfica</w:t>
            </w:r>
            <w:r>
              <w:rPr>
                <w:rFonts w:ascii="Times New Roman" w:hAnsi="Times New Roman" w:eastAsia="Times New Roman" w:cs="Times New Roman"/>
                <w:color w:val="000000"/>
              </w:rPr>
              <w:t>. Belo Horizonte (MG): Itatiaia, 1963. </w:t>
            </w:r>
          </w:p>
          <w:p>
            <w:pPr>
              <w:spacing w:line="360" w:lineRule="auto"/>
              <w:ind w:left="0" w:right="17" w:hanging="2"/>
              <w:rPr>
                <w:rFonts w:ascii="Times New Roman" w:hAnsi="Times New Roman" w:cs="Times New Roman"/>
              </w:rPr>
            </w:pPr>
            <w:r>
              <w:rPr>
                <w:rFonts w:ascii="Times New Roman" w:hAnsi="Times New Roman" w:eastAsia="Times New Roman" w:cs="Times New Roman"/>
                <w:b/>
                <w:color w:val="000000"/>
              </w:rPr>
              <w:t>A estética do filme </w:t>
            </w:r>
            <w:r>
              <w:rPr>
                <w:rFonts w:ascii="Times New Roman" w:hAnsi="Times New Roman" w:eastAsia="Times New Roman" w:cs="Times New Roman"/>
                <w:color w:val="000000"/>
              </w:rPr>
              <w:t>. 3. ed. Campinas, SP: Papirus, 2005. </w:t>
            </w:r>
          </w:p>
        </w:tc>
      </w:tr>
      <w:tr>
        <w:tblPrEx>
          <w:tblCellMar>
            <w:top w:w="0" w:type="dxa"/>
            <w:left w:w="22" w:type="dxa"/>
            <w:bottom w:w="0" w:type="dxa"/>
            <w:right w:w="22" w:type="dxa"/>
          </w:tblCellMar>
        </w:tblPrEx>
        <w:trPr>
          <w:trHeight w:val="1656"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spacing w:line="360" w:lineRule="auto"/>
              <w:ind w:left="0" w:right="159" w:hanging="2"/>
              <w:jc w:val="both"/>
              <w:rPr>
                <w:rFonts w:ascii="Times New Roman" w:hAnsi="Times New Roman" w:cs="Times New Roman"/>
              </w:rPr>
            </w:pPr>
            <w:r>
              <w:rPr>
                <w:rFonts w:ascii="Times New Roman" w:hAnsi="Times New Roman" w:eastAsia="Times New Roman" w:cs="Times New Roman"/>
                <w:color w:val="000000"/>
              </w:rPr>
              <w:t>XAVIER, Ismail (org.) </w:t>
            </w:r>
            <w:r>
              <w:rPr>
                <w:rFonts w:ascii="Times New Roman" w:hAnsi="Times New Roman" w:eastAsia="Times New Roman" w:cs="Times New Roman"/>
                <w:b/>
                <w:color w:val="000000"/>
              </w:rPr>
              <w:t>A experiência do cinema: antologia.</w:t>
            </w:r>
            <w:r>
              <w:rPr>
                <w:rFonts w:ascii="Times New Roman" w:hAnsi="Times New Roman" w:eastAsia="Times New Roman" w:cs="Times New Roman"/>
                <w:color w:val="000000"/>
              </w:rPr>
              <w:t>. Rio de Janeiro: Edições Graal; Embrafilme, 2008. </w:t>
            </w:r>
            <w:r>
              <w:rPr>
                <w:rFonts w:ascii="Times New Roman" w:hAnsi="Times New Roman" w:eastAsia="Times New Roman" w:cs="Times New Roman"/>
                <w:color w:val="000000"/>
              </w:rPr>
              <w:br w:type="textWrapping"/>
            </w:r>
            <w:r>
              <w:rPr>
                <w:rFonts w:ascii="Times New Roman" w:hAnsi="Times New Roman" w:eastAsia="Times New Roman" w:cs="Times New Roman"/>
                <w:color w:val="000000"/>
              </w:rPr>
              <w:t>J. Dudley Andrew; tradução Teresa Ottoni. </w:t>
            </w:r>
            <w:r>
              <w:rPr>
                <w:rFonts w:ascii="Times New Roman" w:hAnsi="Times New Roman" w:eastAsia="Times New Roman" w:cs="Times New Roman"/>
                <w:b/>
                <w:color w:val="000000"/>
              </w:rPr>
              <w:t>As principais teorias do cinema</w:t>
            </w:r>
            <w:r>
              <w:rPr>
                <w:rFonts w:ascii="Times New Roman" w:hAnsi="Times New Roman" w:eastAsia="Times New Roman" w:cs="Times New Roman"/>
                <w:color w:val="000000"/>
              </w:rPr>
              <w:t>: </w:t>
            </w:r>
            <w:r>
              <w:rPr>
                <w:rFonts w:ascii="Times New Roman" w:hAnsi="Times New Roman" w:eastAsia="Times New Roman" w:cs="Times New Roman"/>
                <w:i/>
                <w:color w:val="000000"/>
              </w:rPr>
              <w:t>uma introdução </w:t>
            </w:r>
            <w:r>
              <w:rPr>
                <w:rFonts w:ascii="Times New Roman" w:hAnsi="Times New Roman" w:eastAsia="Times New Roman" w:cs="Times New Roman"/>
                <w:color w:val="000000"/>
              </w:rPr>
              <w:t>. Rio de Janeiro: Jorge Zahar, 2002. </w:t>
            </w:r>
          </w:p>
          <w:p>
            <w:pPr>
              <w:spacing w:line="360" w:lineRule="auto"/>
              <w:ind w:left="0" w:right="159" w:hanging="2"/>
              <w:jc w:val="both"/>
              <w:rPr>
                <w:rFonts w:ascii="Times New Roman" w:hAnsi="Times New Roman" w:cs="Times New Roman"/>
              </w:rPr>
            </w:pPr>
            <w:r>
              <w:rPr>
                <w:rFonts w:ascii="Times New Roman" w:hAnsi="Times New Roman" w:eastAsia="Times New Roman" w:cs="Times New Roman"/>
                <w:color w:val="000000"/>
              </w:rPr>
              <w:t>Aumont, J. </w:t>
            </w:r>
            <w:r>
              <w:rPr>
                <w:rFonts w:ascii="Times New Roman" w:hAnsi="Times New Roman" w:eastAsia="Times New Roman" w:cs="Times New Roman"/>
                <w:b/>
                <w:color w:val="000000"/>
              </w:rPr>
              <w:t>As teorias dos cineastas</w:t>
            </w:r>
            <w:r>
              <w:rPr>
                <w:rFonts w:ascii="Times New Roman" w:hAnsi="Times New Roman" w:eastAsia="Times New Roman" w:cs="Times New Roman"/>
                <w:color w:val="000000"/>
              </w:rPr>
              <w:t>. 3. ed., 2a. reimpr. 2012. Campinas: Papirus, 2012. </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25"/>
        <w:tblW w:w="8924" w:type="dxa"/>
        <w:tblInd w:w="-20" w:type="dxa"/>
        <w:tblLayout w:type="fixed"/>
        <w:tblCellMar>
          <w:top w:w="0" w:type="dxa"/>
          <w:left w:w="22" w:type="dxa"/>
          <w:bottom w:w="0" w:type="dxa"/>
          <w:right w:w="22" w:type="dxa"/>
        </w:tblCellMar>
      </w:tblPr>
      <w:tblGrid>
        <w:gridCol w:w="2888"/>
        <w:gridCol w:w="3120"/>
        <w:gridCol w:w="2916"/>
      </w:tblGrid>
      <w:tr>
        <w:tblPrEx>
          <w:tblCellMar>
            <w:top w:w="0" w:type="dxa"/>
            <w:left w:w="22" w:type="dxa"/>
            <w:bottom w:w="0" w:type="dxa"/>
            <w:right w:w="22" w:type="dxa"/>
          </w:tblCellMar>
        </w:tblPrEx>
        <w:trPr>
          <w:trHeight w:val="1902" w:hRule="atLeast"/>
        </w:trPr>
        <w:tc>
          <w:tcPr>
            <w:tcW w:w="6008"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Introducao a Museologia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Introduction to Museology</w:t>
            </w:r>
          </w:p>
        </w:tc>
        <w:tc>
          <w:tcPr>
            <w:tcW w:w="2916"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MUL100</w:t>
            </w:r>
          </w:p>
        </w:tc>
      </w:tr>
      <w:tr>
        <w:tblPrEx>
          <w:tblCellMar>
            <w:top w:w="0" w:type="dxa"/>
            <w:left w:w="22" w:type="dxa"/>
            <w:bottom w:w="0" w:type="dxa"/>
            <w:right w:w="22" w:type="dxa"/>
          </w:tblCellMar>
        </w:tblPrEx>
        <w:trPr>
          <w:trHeight w:val="825" w:hRule="atLeast"/>
        </w:trPr>
        <w:tc>
          <w:tcPr>
            <w:tcW w:w="6008"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Museologia - DEMUL</w:t>
            </w:r>
          </w:p>
        </w:tc>
        <w:tc>
          <w:tcPr>
            <w:tcW w:w="291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3" w:hRule="atLeast"/>
        </w:trPr>
        <w:tc>
          <w:tcPr>
            <w:tcW w:w="2888"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46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7" w:line="36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semestral </w:t>
            </w:r>
          </w:p>
          <w:p>
            <w:pPr>
              <w:widowControl w:val="0"/>
              <w:pBdr>
                <w:top w:val="none" w:color="auto" w:sz="0" w:space="0"/>
                <w:left w:val="none" w:color="auto" w:sz="0" w:space="0"/>
                <w:bottom w:val="none" w:color="auto" w:sz="0" w:space="0"/>
                <w:right w:val="none" w:color="auto" w:sz="0" w:space="0"/>
                <w:between w:val="none" w:color="auto" w:sz="0" w:space="0"/>
              </w:pBdr>
              <w:spacing w:before="7" w:line="36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60 horas</w:t>
            </w:r>
          </w:p>
        </w:tc>
        <w:tc>
          <w:tcPr>
            <w:tcW w:w="3120"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291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00 horas/aula</w:t>
            </w:r>
          </w:p>
        </w:tc>
      </w:tr>
      <w:tr>
        <w:tblPrEx>
          <w:tblCellMar>
            <w:top w:w="0" w:type="dxa"/>
            <w:left w:w="22" w:type="dxa"/>
            <w:bottom w:w="0" w:type="dxa"/>
            <w:right w:w="22" w:type="dxa"/>
          </w:tblCellMar>
        </w:tblPrEx>
        <w:trPr>
          <w:trHeight w:val="1266"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A Museologia enquanto Ciência Social nasceu no século XVIII e afirmou-se no XIX, juntamente com o desenvolvimento das demais ciências humanas. Trabalha, intrinsecamente, o enfrentamento dialético entre o homem e o objeto, elemento essencialmente socializado. Nesse aspecto, torna-se bastante complexa ao interagir com outras ciências que possuem, como fonte de estudo e pesquisa, o homem enquanto ser social, inserido num espaço-tempo, produtor de bens e manifestações artísticas, religiosas, políticas, econômicas, que vão caracterizar a cultura de uma determinada sociedade. O Museu passa a ter dupla função: como instituição guardiã e ao mesmo tempo,</w:t>
            </w:r>
            <w:r>
              <w:rPr>
                <w:rFonts w:ascii="Times New Roman" w:hAnsi="Times New Roman" w:eastAsia="Times New Roman" w:cs="Times New Roman"/>
              </w:rPr>
              <w:t xml:space="preserve"> </w:t>
            </w:r>
            <w:r>
              <w:rPr>
                <w:rFonts w:ascii="Times New Roman" w:hAnsi="Times New Roman" w:eastAsia="Times New Roman" w:cs="Times New Roman"/>
                <w:color w:val="000000"/>
              </w:rPr>
              <w:t xml:space="preserve">difusora dos produtos produzidos, consumidos, coletados e preservados pelo homem, para o homem. O Museu passa a ser, ele próprio, um produto cultural usufruído pela sociedade. E vai mais além, ele possui uma missão educativa fundamental, permitindo aberturas a diferentes caminhos. A disciplina visa a oferecer aos alunos de graduação em Museologia e Turismo a possibilidade de conhecer e discutir questões relativas à evolução e aos princípios básicos do pensamento museológico e sua aplicação prática – a Museografia; identificar diferentes tipos de museus, sua estrutura básica e funcionamento, bem como, conhecer e discutir a problemática relacionada à inserção dos museus no chamado turismo cultural. </w:t>
            </w:r>
          </w:p>
        </w:tc>
      </w:tr>
      <w:tr>
        <w:tblPrEx>
          <w:tblCellMar>
            <w:top w:w="0" w:type="dxa"/>
            <w:left w:w="22" w:type="dxa"/>
            <w:bottom w:w="0" w:type="dxa"/>
            <w:right w:w="22" w:type="dxa"/>
          </w:tblCellMar>
        </w:tblPrEx>
        <w:trPr>
          <w:trHeight w:val="1620"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1.</w:t>
            </w:r>
            <w:r>
              <w:rPr>
                <w:rFonts w:ascii="Times New Roman" w:hAnsi="Times New Roman" w:eastAsia="Times New Roman" w:cs="Times New Roman"/>
                <w:color w:val="000000"/>
              </w:rPr>
              <w:tab/>
            </w:r>
            <w:r>
              <w:rPr>
                <w:rFonts w:ascii="Times New Roman" w:hAnsi="Times New Roman" w:eastAsia="Times New Roman" w:cs="Times New Roman"/>
                <w:color w:val="000000"/>
              </w:rPr>
              <w:t>As origens das coleções e dos museus no mundo ocidental e no Brasil – Acervos museológicos;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2.</w:t>
            </w:r>
            <w:r>
              <w:rPr>
                <w:rFonts w:ascii="Times New Roman" w:hAnsi="Times New Roman" w:eastAsia="Times New Roman" w:cs="Times New Roman"/>
                <w:color w:val="000000"/>
              </w:rPr>
              <w:tab/>
            </w:r>
            <w:r>
              <w:rPr>
                <w:rFonts w:ascii="Times New Roman" w:hAnsi="Times New Roman" w:eastAsia="Times New Roman" w:cs="Times New Roman"/>
                <w:color w:val="000000"/>
              </w:rPr>
              <w:t>A evolução do pensamento museológico – conceitos e tipologia;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3.</w:t>
            </w:r>
            <w:r>
              <w:rPr>
                <w:rFonts w:ascii="Times New Roman" w:hAnsi="Times New Roman" w:eastAsia="Times New Roman" w:cs="Times New Roman"/>
                <w:color w:val="000000"/>
              </w:rPr>
              <w:tab/>
            </w:r>
            <w:r>
              <w:rPr>
                <w:rFonts w:ascii="Times New Roman" w:hAnsi="Times New Roman" w:eastAsia="Times New Roman" w:cs="Times New Roman"/>
                <w:color w:val="000000"/>
              </w:rPr>
              <w:t>A importância do Conselho Internacional de Museus – ICOM/ UNESCO;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4.</w:t>
            </w:r>
            <w:r>
              <w:rPr>
                <w:rFonts w:ascii="Times New Roman" w:hAnsi="Times New Roman" w:eastAsia="Times New Roman" w:cs="Times New Roman"/>
                <w:color w:val="000000"/>
              </w:rPr>
              <w:tab/>
            </w:r>
            <w:r>
              <w:rPr>
                <w:rFonts w:ascii="Times New Roman" w:hAnsi="Times New Roman" w:eastAsia="Times New Roman" w:cs="Times New Roman"/>
                <w:color w:val="000000"/>
              </w:rPr>
              <w:t>Introdução aos conceitos de organização e funcionamento de museus: administração/ gestão – preservação – comunicação/ educação;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5.</w:t>
            </w:r>
            <w:r>
              <w:rPr>
                <w:rFonts w:ascii="Times New Roman" w:hAnsi="Times New Roman" w:eastAsia="Times New Roman" w:cs="Times New Roman"/>
                <w:color w:val="000000"/>
              </w:rPr>
              <w:tab/>
            </w:r>
            <w:r>
              <w:rPr>
                <w:rFonts w:ascii="Times New Roman" w:hAnsi="Times New Roman" w:eastAsia="Times New Roman" w:cs="Times New Roman"/>
                <w:color w:val="000000"/>
              </w:rPr>
              <w:t>Museologia e Museografia: conceitos e aplicação;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6.</w:t>
            </w:r>
            <w:r>
              <w:rPr>
                <w:rFonts w:ascii="Times New Roman" w:hAnsi="Times New Roman" w:eastAsia="Times New Roman" w:cs="Times New Roman"/>
                <w:color w:val="000000"/>
              </w:rPr>
              <w:tab/>
            </w:r>
            <w:r>
              <w:rPr>
                <w:rFonts w:ascii="Times New Roman" w:hAnsi="Times New Roman" w:eastAsia="Times New Roman" w:cs="Times New Roman"/>
                <w:color w:val="000000"/>
              </w:rPr>
              <w:t>Planejamento turístico-museológico: inserção de museus na organização de roteiros turístico-culturais.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7.</w:t>
            </w:r>
            <w:r>
              <w:rPr>
                <w:rFonts w:ascii="Times New Roman" w:hAnsi="Times New Roman" w:eastAsia="Times New Roman" w:cs="Times New Roman"/>
                <w:color w:val="000000"/>
              </w:rPr>
              <w:tab/>
            </w:r>
            <w:r>
              <w:rPr>
                <w:rFonts w:ascii="Times New Roman" w:hAnsi="Times New Roman" w:eastAsia="Times New Roman" w:cs="Times New Roman"/>
                <w:color w:val="000000"/>
              </w:rPr>
              <w:t xml:space="preserve">Visitas Técnicas: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7.1.</w:t>
            </w:r>
            <w:r>
              <w:rPr>
                <w:rFonts w:ascii="Times New Roman" w:hAnsi="Times New Roman" w:eastAsia="Times New Roman" w:cs="Times New Roman"/>
                <w:color w:val="000000"/>
              </w:rPr>
              <w:tab/>
            </w:r>
            <w:r>
              <w:rPr>
                <w:rFonts w:ascii="Times New Roman" w:hAnsi="Times New Roman" w:eastAsia="Times New Roman" w:cs="Times New Roman"/>
                <w:color w:val="000000"/>
              </w:rPr>
              <w:t>Aos museus componentes do Sistema de Museus de Ouro Preto;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7.2.</w:t>
            </w:r>
            <w:r>
              <w:rPr>
                <w:rFonts w:ascii="Times New Roman" w:hAnsi="Times New Roman" w:eastAsia="Times New Roman" w:cs="Times New Roman"/>
                <w:color w:val="000000"/>
              </w:rPr>
              <w:tab/>
            </w:r>
            <w:r>
              <w:rPr>
                <w:rFonts w:ascii="Times New Roman" w:hAnsi="Times New Roman" w:eastAsia="Times New Roman" w:cs="Times New Roman"/>
                <w:color w:val="000000"/>
              </w:rPr>
              <w:t>Aos principais museus de São Paulo ou  Rio de Janeiro.</w:t>
            </w:r>
          </w:p>
        </w:tc>
      </w:tr>
      <w:tr>
        <w:tblPrEx>
          <w:tblCellMar>
            <w:top w:w="0" w:type="dxa"/>
            <w:left w:w="22" w:type="dxa"/>
            <w:bottom w:w="0" w:type="dxa"/>
            <w:right w:w="22" w:type="dxa"/>
          </w:tblCellMar>
        </w:tblPrEx>
        <w:trPr>
          <w:trHeight w:val="1115"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Betânia Gonçalves Figueiredo, Diana Gonçalves Vidal, organizadoras. </w:t>
            </w:r>
            <w:r>
              <w:rPr>
                <w:rFonts w:ascii="Times New Roman" w:hAnsi="Times New Roman" w:eastAsia="Times New Roman" w:cs="Times New Roman"/>
                <w:b/>
                <w:color w:val="000000"/>
              </w:rPr>
              <w:t>Museus </w:t>
            </w:r>
            <w:r>
              <w:rPr>
                <w:rFonts w:ascii="Times New Roman" w:hAnsi="Times New Roman" w:eastAsia="Times New Roman" w:cs="Times New Roman"/>
                <w:color w:val="000000"/>
              </w:rPr>
              <w:t>: </w:t>
            </w:r>
            <w:r>
              <w:rPr>
                <w:rFonts w:ascii="Times New Roman" w:hAnsi="Times New Roman" w:eastAsia="Times New Roman" w:cs="Times New Roman"/>
                <w:i/>
                <w:color w:val="000000"/>
              </w:rPr>
              <w:t>dos gabinetes de curiosidade à museologia moderna </w:t>
            </w:r>
            <w:r>
              <w:rPr>
                <w:rFonts w:ascii="Times New Roman" w:hAnsi="Times New Roman" w:eastAsia="Times New Roman" w:cs="Times New Roman"/>
                <w:color w:val="000000"/>
              </w:rPr>
              <w:t>. Belo Horizonte (MG):Argvmentvm</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Blom, Philipp. </w:t>
            </w:r>
            <w:r>
              <w:rPr>
                <w:rFonts w:ascii="Times New Roman" w:hAnsi="Times New Roman" w:eastAsia="Times New Roman" w:cs="Times New Roman"/>
                <w:b/>
                <w:color w:val="000000"/>
              </w:rPr>
              <w:t>Ter e manter</w:t>
            </w:r>
            <w:r>
              <w:rPr>
                <w:rFonts w:ascii="Times New Roman" w:hAnsi="Times New Roman" w:eastAsia="Times New Roman" w:cs="Times New Roman"/>
                <w:color w:val="000000"/>
              </w:rPr>
              <w:t>. Rio de Janeiro: Record, 2003. </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Castro, Ana Lúcia Siaines de. </w:t>
            </w:r>
            <w:r>
              <w:rPr>
                <w:rFonts w:ascii="Times New Roman" w:hAnsi="Times New Roman" w:eastAsia="Times New Roman" w:cs="Times New Roman"/>
                <w:b/>
                <w:color w:val="000000"/>
              </w:rPr>
              <w:t>O museu do sagrado ao segredo </w:t>
            </w:r>
            <w:r>
              <w:rPr>
                <w:rFonts w:ascii="Times New Roman" w:hAnsi="Times New Roman" w:eastAsia="Times New Roman" w:cs="Times New Roman"/>
                <w:color w:val="000000"/>
              </w:rPr>
              <w:t>. Rio de Janeiro: Revan, 2009.</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Maria Cristina Oliveira Bruno, coordenação editorial. </w:t>
            </w:r>
            <w:r>
              <w:rPr>
                <w:rFonts w:ascii="Times New Roman" w:hAnsi="Times New Roman" w:eastAsia="Times New Roman" w:cs="Times New Roman"/>
                <w:b/>
                <w:color w:val="000000"/>
              </w:rPr>
              <w:t>O ICOM-Brasil e o pensamento museológico brasileiro</w:t>
            </w:r>
            <w:r>
              <w:rPr>
                <w:rFonts w:ascii="Times New Roman" w:hAnsi="Times New Roman" w:eastAsia="Times New Roman" w:cs="Times New Roman"/>
                <w:color w:val="000000"/>
              </w:rPr>
              <w:t>: </w:t>
            </w:r>
            <w:r>
              <w:rPr>
                <w:rFonts w:ascii="Times New Roman" w:hAnsi="Times New Roman" w:eastAsia="Times New Roman" w:cs="Times New Roman"/>
                <w:i/>
                <w:color w:val="000000"/>
              </w:rPr>
              <w:t>documentos selecionados volume 2 </w:t>
            </w:r>
            <w:r>
              <w:rPr>
                <w:rFonts w:ascii="Times New Roman" w:hAnsi="Times New Roman" w:eastAsia="Times New Roman" w:cs="Times New Roman"/>
                <w:color w:val="000000"/>
              </w:rPr>
              <w:t>.</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Sao Paulo: Pinacoteca do Estado de Sao Paulo, 2010. </w:t>
            </w:r>
            <w:r>
              <w:rPr>
                <w:rFonts w:ascii="Times New Roman" w:hAnsi="Times New Roman" w:eastAsia="Times New Roman" w:cs="Times New Roman"/>
                <w:b/>
                <w:color w:val="000000"/>
              </w:rPr>
              <w:t>Conceitos-chave de museologia </w:t>
            </w:r>
            <w:r>
              <w:rPr>
                <w:rFonts w:ascii="Times New Roman" w:hAnsi="Times New Roman" w:eastAsia="Times New Roman" w:cs="Times New Roman"/>
                <w:color w:val="000000"/>
              </w:rPr>
              <w:t>. São Paulo: Comitê Brasileiro do Conselho Internacional de Museus, 2014.</w:t>
            </w:r>
          </w:p>
        </w:tc>
      </w:tr>
      <w:tr>
        <w:tblPrEx>
          <w:tblCellMar>
            <w:top w:w="0" w:type="dxa"/>
            <w:left w:w="22" w:type="dxa"/>
            <w:bottom w:w="0" w:type="dxa"/>
            <w:right w:w="22" w:type="dxa"/>
          </w:tblCellMar>
        </w:tblPrEx>
        <w:trPr>
          <w:trHeight w:val="1656"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spacing w:line="360" w:lineRule="auto"/>
              <w:ind w:left="0" w:right="159" w:hanging="2"/>
              <w:jc w:val="both"/>
              <w:rPr>
                <w:rFonts w:ascii="Times New Roman" w:hAnsi="Times New Roman" w:cs="Times New Roman"/>
              </w:rPr>
            </w:pPr>
            <w:r>
              <w:rPr>
                <w:rFonts w:ascii="Times New Roman" w:hAnsi="Times New Roman" w:eastAsia="Times New Roman" w:cs="Times New Roman"/>
                <w:color w:val="000000"/>
              </w:rPr>
              <w:t>ECO, Umberto </w:t>
            </w:r>
            <w:r>
              <w:rPr>
                <w:rFonts w:ascii="Times New Roman" w:hAnsi="Times New Roman" w:eastAsia="Times New Roman" w:cs="Times New Roman"/>
                <w:b/>
                <w:color w:val="000000"/>
              </w:rPr>
              <w:t>A Vertigem das Listas</w:t>
            </w:r>
            <w:r>
              <w:rPr>
                <w:rFonts w:ascii="Times New Roman" w:hAnsi="Times New Roman" w:eastAsia="Times New Roman" w:cs="Times New Roman"/>
                <w:color w:val="000000"/>
              </w:rPr>
              <w:t>. Rio de Janeiro: Record, 2010. </w:t>
            </w:r>
          </w:p>
          <w:p>
            <w:pPr>
              <w:spacing w:line="360" w:lineRule="auto"/>
              <w:ind w:left="0" w:right="159" w:hanging="2"/>
              <w:jc w:val="both"/>
              <w:rPr>
                <w:rFonts w:ascii="Times New Roman" w:hAnsi="Times New Roman" w:cs="Times New Roman"/>
              </w:rPr>
            </w:pPr>
            <w:r>
              <w:rPr>
                <w:rFonts w:ascii="Times New Roman" w:hAnsi="Times New Roman" w:eastAsia="Times New Roman" w:cs="Times New Roman"/>
                <w:color w:val="000000"/>
              </w:rPr>
              <w:t>Regina Abreu, Mário de Souza Chagas, Myrian Sepúlveda dos Santos[organizadores]. </w:t>
            </w:r>
            <w:r>
              <w:rPr>
                <w:rFonts w:ascii="Times New Roman" w:hAnsi="Times New Roman" w:eastAsia="Times New Roman" w:cs="Times New Roman"/>
                <w:b/>
                <w:color w:val="000000"/>
              </w:rPr>
              <w:t>Museus, coleções e patrimônios</w:t>
            </w:r>
            <w:r>
              <w:rPr>
                <w:rFonts w:ascii="Times New Roman" w:hAnsi="Times New Roman" w:eastAsia="Times New Roman" w:cs="Times New Roman"/>
                <w:color w:val="000000"/>
              </w:rPr>
              <w:t>: </w:t>
            </w:r>
            <w:r>
              <w:rPr>
                <w:rFonts w:ascii="Times New Roman" w:hAnsi="Times New Roman" w:eastAsia="Times New Roman" w:cs="Times New Roman"/>
                <w:i/>
                <w:color w:val="000000"/>
              </w:rPr>
              <w:t>narrativa polifônicas </w:t>
            </w:r>
            <w:r>
              <w:rPr>
                <w:rFonts w:ascii="Times New Roman" w:hAnsi="Times New Roman" w:eastAsia="Times New Roman" w:cs="Times New Roman"/>
                <w:color w:val="000000"/>
              </w:rPr>
              <w:t>. -V.3 MUSEO. Rio de Janeiro: Garamond</w:t>
            </w:r>
          </w:p>
          <w:p>
            <w:pPr>
              <w:spacing w:line="360" w:lineRule="auto"/>
              <w:ind w:left="0" w:right="159" w:hanging="2"/>
              <w:jc w:val="both"/>
              <w:rPr>
                <w:rFonts w:ascii="Times New Roman" w:hAnsi="Times New Roman" w:cs="Times New Roman"/>
              </w:rPr>
            </w:pPr>
            <w:r>
              <w:rPr>
                <w:rFonts w:ascii="Times New Roman" w:hAnsi="Times New Roman" w:eastAsia="Times New Roman" w:cs="Times New Roman"/>
                <w:color w:val="000000"/>
              </w:rPr>
              <w:t>Santos, Myrian Sepúlveda dos. </w:t>
            </w:r>
            <w:r>
              <w:rPr>
                <w:rFonts w:ascii="Times New Roman" w:hAnsi="Times New Roman" w:eastAsia="Times New Roman" w:cs="Times New Roman"/>
                <w:b/>
                <w:color w:val="000000"/>
              </w:rPr>
              <w:t>A escrita do passado em museus históricos</w:t>
            </w:r>
            <w:r>
              <w:rPr>
                <w:rFonts w:ascii="Times New Roman" w:hAnsi="Times New Roman" w:eastAsia="Times New Roman" w:cs="Times New Roman"/>
                <w:color w:val="000000"/>
              </w:rPr>
              <w:t>. - V.1 MUSEO. São Paulo. </w:t>
            </w:r>
          </w:p>
          <w:p>
            <w:pPr>
              <w:spacing w:line="360" w:lineRule="auto"/>
              <w:ind w:left="0" w:right="159" w:hanging="2"/>
              <w:jc w:val="both"/>
              <w:rPr>
                <w:rFonts w:ascii="Times New Roman" w:hAnsi="Times New Roman" w:cs="Times New Roman"/>
              </w:rPr>
            </w:pPr>
            <w:r>
              <w:rPr>
                <w:rFonts w:ascii="Times New Roman" w:hAnsi="Times New Roman" w:eastAsia="Times New Roman" w:cs="Times New Roman"/>
                <w:color w:val="000000"/>
              </w:rPr>
              <w:t>Mário Chagas. </w:t>
            </w:r>
            <w:r>
              <w:rPr>
                <w:rFonts w:ascii="Times New Roman" w:hAnsi="Times New Roman" w:eastAsia="Times New Roman" w:cs="Times New Roman"/>
                <w:b/>
                <w:color w:val="000000"/>
              </w:rPr>
              <w:t>A imaginação museal</w:t>
            </w:r>
            <w:r>
              <w:rPr>
                <w:rFonts w:ascii="Times New Roman" w:hAnsi="Times New Roman" w:eastAsia="Times New Roman" w:cs="Times New Roman"/>
                <w:color w:val="000000"/>
              </w:rPr>
              <w:t>: </w:t>
            </w:r>
            <w:r>
              <w:rPr>
                <w:rFonts w:ascii="Times New Roman" w:hAnsi="Times New Roman" w:eastAsia="Times New Roman" w:cs="Times New Roman"/>
                <w:i/>
                <w:color w:val="000000"/>
              </w:rPr>
              <w:t>museu, memória e poder em Gustavo Barroso,Gilberto Freyre e Darcy Ribeiro </w:t>
            </w:r>
            <w:r>
              <w:rPr>
                <w:rFonts w:ascii="Times New Roman" w:hAnsi="Times New Roman" w:eastAsia="Times New Roman" w:cs="Times New Roman"/>
                <w:color w:val="000000"/>
              </w:rPr>
              <w:t>. Brasília (DF): Ministério da Cultura, Instituto Brasileiro de Museus, 2009. </w:t>
            </w:r>
          </w:p>
          <w:p>
            <w:pPr>
              <w:spacing w:line="360" w:lineRule="auto"/>
              <w:ind w:left="0" w:right="159" w:hanging="2"/>
              <w:jc w:val="both"/>
              <w:rPr>
                <w:rFonts w:ascii="Times New Roman" w:hAnsi="Times New Roman" w:cs="Times New Roman"/>
              </w:rPr>
            </w:pPr>
            <w:r>
              <w:rPr>
                <w:rFonts w:ascii="Times New Roman" w:hAnsi="Times New Roman" w:eastAsia="Times New Roman" w:cs="Times New Roman"/>
                <w:color w:val="000000"/>
              </w:rPr>
              <w:t>Mattos, Yára, Mattos, Ione. </w:t>
            </w:r>
            <w:r>
              <w:rPr>
                <w:rFonts w:ascii="Times New Roman" w:hAnsi="Times New Roman" w:eastAsia="Times New Roman" w:cs="Times New Roman"/>
                <w:b/>
                <w:color w:val="000000"/>
              </w:rPr>
              <w:t>Abracaldabra</w:t>
            </w:r>
            <w:r>
              <w:rPr>
                <w:rFonts w:ascii="Times New Roman" w:hAnsi="Times New Roman" w:eastAsia="Times New Roman" w:cs="Times New Roman"/>
                <w:color w:val="000000"/>
              </w:rPr>
              <w:t>: </w:t>
            </w:r>
            <w:r>
              <w:rPr>
                <w:rFonts w:ascii="Times New Roman" w:hAnsi="Times New Roman" w:eastAsia="Times New Roman" w:cs="Times New Roman"/>
                <w:i/>
                <w:color w:val="000000"/>
              </w:rPr>
              <w:t>uma aventura afetivo-cognitiva na relação museu-educação </w:t>
            </w:r>
            <w:r>
              <w:rPr>
                <w:rFonts w:ascii="Times New Roman" w:hAnsi="Times New Roman" w:eastAsia="Times New Roman" w:cs="Times New Roman"/>
                <w:color w:val="000000"/>
              </w:rPr>
              <w:t>. Ouro Preto (MG): UFOP, 2010.</w:t>
            </w:r>
          </w:p>
          <w:p>
            <w:pPr>
              <w:spacing w:line="360" w:lineRule="auto"/>
              <w:ind w:left="0" w:right="159" w:hanging="2"/>
              <w:jc w:val="both"/>
              <w:rPr>
                <w:rFonts w:ascii="Times New Roman" w:hAnsi="Times New Roman" w:cs="Times New Roman"/>
              </w:rPr>
            </w:pPr>
            <w:r>
              <w:rPr>
                <w:rFonts w:ascii="Times New Roman" w:hAnsi="Times New Roman" w:eastAsia="Times New Roman" w:cs="Times New Roman"/>
                <w:color w:val="000000"/>
              </w:rPr>
              <w:t>Lilia Moritz Schwarcz </w:t>
            </w:r>
            <w:r>
              <w:rPr>
                <w:rFonts w:ascii="Times New Roman" w:hAnsi="Times New Roman" w:eastAsia="Times New Roman" w:cs="Times New Roman"/>
                <w:b/>
                <w:color w:val="000000"/>
              </w:rPr>
              <w:t>O espetáculo das raças</w:t>
            </w:r>
            <w:r>
              <w:rPr>
                <w:rFonts w:ascii="Times New Roman" w:hAnsi="Times New Roman" w:eastAsia="Times New Roman" w:cs="Times New Roman"/>
                <w:color w:val="000000"/>
              </w:rPr>
              <w:t>: </w:t>
            </w:r>
            <w:r>
              <w:rPr>
                <w:rFonts w:ascii="Times New Roman" w:hAnsi="Times New Roman" w:eastAsia="Times New Roman" w:cs="Times New Roman"/>
                <w:i/>
                <w:color w:val="000000"/>
              </w:rPr>
              <w:t>cientistas, instituições e questão racial no Brasil, 1870-1930 </w:t>
            </w:r>
            <w:r>
              <w:rPr>
                <w:rFonts w:ascii="Times New Roman" w:hAnsi="Times New Roman" w:eastAsia="Times New Roman" w:cs="Times New Roman"/>
                <w:color w:val="000000"/>
              </w:rPr>
              <w:t>. São Paulo: Companhia das Letras,2010.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26"/>
        <w:tblW w:w="8924" w:type="dxa"/>
        <w:tblInd w:w="-20" w:type="dxa"/>
        <w:tblLayout w:type="fixed"/>
        <w:tblCellMar>
          <w:top w:w="0" w:type="dxa"/>
          <w:left w:w="22" w:type="dxa"/>
          <w:bottom w:w="0" w:type="dxa"/>
          <w:right w:w="22" w:type="dxa"/>
        </w:tblCellMar>
      </w:tblPr>
      <w:tblGrid>
        <w:gridCol w:w="2886"/>
        <w:gridCol w:w="3122"/>
        <w:gridCol w:w="280"/>
        <w:gridCol w:w="2636"/>
      </w:tblGrid>
      <w:tr>
        <w:tblPrEx>
          <w:tblCellMar>
            <w:top w:w="0" w:type="dxa"/>
            <w:left w:w="22" w:type="dxa"/>
            <w:bottom w:w="0" w:type="dxa"/>
            <w:right w:w="22" w:type="dxa"/>
          </w:tblCellMar>
        </w:tblPrEx>
        <w:trPr>
          <w:trHeight w:val="1902" w:hRule="atLeast"/>
        </w:trPr>
        <w:tc>
          <w:tcPr>
            <w:tcW w:w="6288" w:type="dxa"/>
            <w:gridSpan w:val="3"/>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Arqueologia e museus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Archaeology and museums</w:t>
            </w:r>
          </w:p>
        </w:tc>
        <w:tc>
          <w:tcPr>
            <w:tcW w:w="2636"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MUL105</w:t>
            </w:r>
          </w:p>
        </w:tc>
      </w:tr>
      <w:tr>
        <w:tblPrEx>
          <w:tblCellMar>
            <w:top w:w="0" w:type="dxa"/>
            <w:left w:w="22" w:type="dxa"/>
            <w:bottom w:w="0" w:type="dxa"/>
            <w:right w:w="22" w:type="dxa"/>
          </w:tblCellMar>
        </w:tblPrEx>
        <w:trPr>
          <w:trHeight w:val="825" w:hRule="atLeast"/>
        </w:trPr>
        <w:tc>
          <w:tcPr>
            <w:tcW w:w="6288" w:type="dxa"/>
            <w:gridSpan w:val="3"/>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 Museologia - DEMUL</w:t>
            </w:r>
          </w:p>
        </w:tc>
        <w:tc>
          <w:tcPr>
            <w:tcW w:w="263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3" w:hRule="atLeast"/>
        </w:trPr>
        <w:tc>
          <w:tcPr>
            <w:tcW w:w="2886"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46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7" w:line="36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semestral </w:t>
            </w:r>
          </w:p>
          <w:p>
            <w:pPr>
              <w:widowControl w:val="0"/>
              <w:pBdr>
                <w:top w:val="none" w:color="auto" w:sz="0" w:space="0"/>
                <w:left w:val="none" w:color="auto" w:sz="0" w:space="0"/>
                <w:bottom w:val="none" w:color="auto" w:sz="0" w:space="0"/>
                <w:right w:val="none" w:color="auto" w:sz="0" w:space="0"/>
                <w:between w:val="none" w:color="auto" w:sz="0" w:space="0"/>
              </w:pBdr>
              <w:spacing w:before="7" w:line="36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60 horas</w:t>
            </w:r>
          </w:p>
        </w:tc>
        <w:tc>
          <w:tcPr>
            <w:tcW w:w="3122"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2916" w:type="dxa"/>
            <w:gridSpan w:val="2"/>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00horas/aula</w:t>
            </w:r>
          </w:p>
        </w:tc>
      </w:tr>
      <w:tr>
        <w:tblPrEx>
          <w:tblCellMar>
            <w:top w:w="0" w:type="dxa"/>
            <w:left w:w="22" w:type="dxa"/>
            <w:bottom w:w="0" w:type="dxa"/>
            <w:right w:w="22" w:type="dxa"/>
          </w:tblCellMar>
        </w:tblPrEx>
        <w:trPr>
          <w:trHeight w:val="911" w:hRule="atLeast"/>
        </w:trPr>
        <w:tc>
          <w:tcPr>
            <w:tcW w:w="8924" w:type="dxa"/>
            <w:gridSpan w:val="4"/>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Ementa: Nesta disciplina, pretendemos levar a cabo discussões visando evidenciar a interface da Arqueologia e a Museologia. Partimos da premissa de que o desenvolvimento das pesquisas arqueológicas gera acervos que, ao ingressarem nas instituições museais, são submetidos a processos de musealização. Neste exercício, torna-se fundamental que o museólogo domine o instrumental básico da arqueologia para evitar que se perca no processo de comunicação a visão contextual indispensável à compreensão das coleções arqueológicas.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Objetivo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Apresentaremos, a partir de uma perspectiva teórico-metodológica, os conceitos fundamentais para compreensão da Arqueologia em sua relação com a Museologia.  Também é de nosso interesse evidenciar os princípios e as diretrizes dos processos de musealização de coleções arqueológicas; discutir sobre os impasses que permeiam esse processo, em especial, no âmbito dos projetos brasileiros de licenciamento ambiental; e, por fim, refletir sobre as potencialidades museológicas no que se refere às estratégias comunitárias de valorização do patrimônio local.</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Metodologia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Aula expositiva; leitura de textos e hipertextos; debates e discussões; desconstrução de imagens e idéias por meio de ponderações e considerações relativas para a estruturação de argumentos.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Visita técnica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Museu de Arqueologia e Etnologia Americana da UFJF – Juiz de Fora.</w:t>
            </w:r>
          </w:p>
        </w:tc>
      </w:tr>
      <w:tr>
        <w:tblPrEx>
          <w:tblCellMar>
            <w:top w:w="0" w:type="dxa"/>
            <w:left w:w="22" w:type="dxa"/>
            <w:bottom w:w="0" w:type="dxa"/>
            <w:right w:w="22" w:type="dxa"/>
          </w:tblCellMar>
        </w:tblPrEx>
        <w:trPr>
          <w:trHeight w:val="1763" w:hRule="atLeast"/>
        </w:trPr>
        <w:tc>
          <w:tcPr>
            <w:tcW w:w="8924" w:type="dxa"/>
            <w:gridSpan w:val="4"/>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1) Uma questão para se pensar</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1898 – 1998: A Pré-História Brasileira em cem anos de livros didáticos.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2) Apresentação de conceitos básicos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Apresentar a definição de Arqueologia enquanto ciência social, evidenciando as suas implicações políticas. Discutir as unidades básicas para o entendimento da disciplina, tais como, os conceitos de sítio arqueológico; cultura material, coleções e registro arqueológico.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Desenvolvimento científico da Arqueologia no âmbito de antiquários e museus.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Arqueologia: validade da divisão entre Arqueologia pré-histórica e histórica;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O conceito de sítio arqueológico e de cultura material;</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A cultura material e a teoria da ação (agência);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O conceito de coleção e a especificidade das coleções arqueológicas;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O conceito de registro arqueológico.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 Os antecedentes da Arqueologia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Apresentar a partir de uma perspectiva histórica as formas que os vestígios materiais eram interpretados pelos estudiosos na Antiguidade Clássica e Idade Média. Destacar o papel do colecionismo e da difusão dos antiquários no período moderno para a conformação da disciplina arqueológica.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4) O contexto da Arqueologia Brasileira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Apresentar o cenário da arqueologia brasileira evidenciando as técnicas de abordagem dos sítios arqueológicos; o papel da cultura material no contexto do sítio arqueológico, caracterizando os tipos de artefatos atribuídos aos caçadores coletores e horticultores ceramistas; o acervo arqueológico nos museus.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Parte 1: A Arqueologia Brasileira em uma perspectiva histórica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Breve panorama da Arqueologia Brasileira de 1870 a 1964.</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As missões francesas.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O PRONAPA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A definição dos conceitos de Tradição, Fase e Tipo.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As influências teóricas internacionais.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A presença dos acervos arqueológicos nos museus.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Parte 2 – A Arqueologia Brasileira em uma perspectiva metodológica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As principais categorias de sítios arqueológicos brasileiros, no âmbito da arqueologia pré-colonial e histórica.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Como os arqueólogos identificam um sítio.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Como os arqueólogos abordam um sítio: a prospecção e a escavação.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Os tipos de vestígios com os quais os arqueólogos se deparam em suas pesquisas.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O cenário da arqueologia histórica: os vestígios do período colonial e imperial.</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O cenário da arqueologia pré-colonial: os vestígios dos caçadores coletores.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Os horticultores ceramistas.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Visita técnica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Pico do Itacolomi Ouro Preto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Morro da Queimada – Ouro Preto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5) Patrimônio Arqueológico, museus e legislação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O tratamento do Patrimônio Arqueológico pelo Estado Brasileiro e as premissas para a sua inserção nos espaços museais; o IPHAN e seu papel gerenciador; A arqueologia no licenciamento ambiental e a criação de museus locais.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O Patrimônio Arqueológico no contexto do patrimônio cultural.</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O Patrimônio Arqueológico e o Estado Brasileiro e sua relação com os museus.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O papel do IPHAN.</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A Arqueologia no âmbito do licenciamento ambiental: problemas, soluções e avanços.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Arqueologia de Contrato e espaços museais: as possibilidades e os desafios.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A criação de museus regionais no âmbito do licenciamento ambiental.</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Visita técnica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Museu de Arqueologia e Etnologia Americana – Juiz de Fora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6) Arqueologia e Nova Museologia; parâmetros para musealização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Discutir as interfaces estabelecidas entre a Arqueologia e Museologia no âmbito das discussões envolvendo a arqueologia pública e a Nova Museologia; As estratégias de inclusão social do conhecimento arqueológico; os Museus no contexto da Arqueologia Comunitária ou Colaborativa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A relação da Arqueologia e espaços museais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A especificidade da musealização da Arqueologia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A Arqueologia Pública e a divulgação do patrimônio arqueológico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Inclusão social do conhecimento arqueológico, com ênfase na Educação Patrimonial.</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As possibilidades de diálogo ente a Arqueologia Pública e a Nova Museologia.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Os acervos arqueológicos e a multivocalidade: Museus no contexto da Arqueologia Comunitária ou Colaborativa.</w:t>
            </w:r>
          </w:p>
        </w:tc>
      </w:tr>
      <w:tr>
        <w:tblPrEx>
          <w:tblCellMar>
            <w:top w:w="0" w:type="dxa"/>
            <w:left w:w="22" w:type="dxa"/>
            <w:bottom w:w="0" w:type="dxa"/>
            <w:right w:w="22" w:type="dxa"/>
          </w:tblCellMar>
        </w:tblPrEx>
        <w:trPr>
          <w:trHeight w:val="1115" w:hRule="atLeast"/>
        </w:trPr>
        <w:tc>
          <w:tcPr>
            <w:tcW w:w="8924" w:type="dxa"/>
            <w:gridSpan w:val="4"/>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  Bibliografia básica:</w:t>
            </w:r>
          </w:p>
          <w:p>
            <w:pPr>
              <w:spacing w:line="360" w:lineRule="auto"/>
              <w:ind w:left="0" w:right="159" w:hanging="2"/>
              <w:rPr>
                <w:rFonts w:ascii="Times New Roman" w:hAnsi="Times New Roman" w:cs="Times New Roman"/>
              </w:rPr>
            </w:pPr>
            <w:r>
              <w:rPr>
                <w:rFonts w:ascii="Times New Roman" w:hAnsi="Times New Roman" w:eastAsia="Times New Roman" w:cs="Times New Roman"/>
                <w:color w:val="000000"/>
              </w:rPr>
              <w:t>Trigger, Bruce G. </w:t>
            </w:r>
            <w:r>
              <w:rPr>
                <w:rFonts w:ascii="Times New Roman" w:hAnsi="Times New Roman" w:eastAsia="Times New Roman" w:cs="Times New Roman"/>
                <w:b/>
                <w:color w:val="000000"/>
              </w:rPr>
              <w:t>História do pensamento arqueológico </w:t>
            </w:r>
            <w:r>
              <w:rPr>
                <w:rFonts w:ascii="Times New Roman" w:hAnsi="Times New Roman" w:eastAsia="Times New Roman" w:cs="Times New Roman"/>
                <w:color w:val="000000"/>
              </w:rPr>
              <w:t>. São Paulo : Odysseus, 2004. </w:t>
            </w:r>
          </w:p>
          <w:p>
            <w:pPr>
              <w:spacing w:line="360" w:lineRule="auto"/>
              <w:ind w:left="0" w:right="159" w:hanging="2"/>
              <w:rPr>
                <w:rFonts w:ascii="Times New Roman" w:hAnsi="Times New Roman" w:cs="Times New Roman"/>
              </w:rPr>
            </w:pPr>
            <w:r>
              <w:rPr>
                <w:rFonts w:ascii="Times New Roman" w:hAnsi="Times New Roman" w:eastAsia="Times New Roman" w:cs="Times New Roman"/>
                <w:color w:val="000000"/>
              </w:rPr>
              <w:t>Dunnell, Robert C. </w:t>
            </w:r>
            <w:r>
              <w:rPr>
                <w:rFonts w:ascii="Times New Roman" w:hAnsi="Times New Roman" w:eastAsia="Times New Roman" w:cs="Times New Roman"/>
                <w:b/>
                <w:color w:val="000000"/>
              </w:rPr>
              <w:t>Classificação em arqueologia </w:t>
            </w:r>
            <w:r>
              <w:rPr>
                <w:rFonts w:ascii="Times New Roman" w:hAnsi="Times New Roman" w:eastAsia="Times New Roman" w:cs="Times New Roman"/>
                <w:color w:val="000000"/>
              </w:rPr>
              <w:t>. São Paulo: Edusp, 2007.</w:t>
            </w:r>
          </w:p>
          <w:p>
            <w:pPr>
              <w:spacing w:line="360" w:lineRule="auto"/>
              <w:ind w:left="0" w:right="159" w:hanging="2"/>
              <w:jc w:val="both"/>
              <w:rPr>
                <w:rFonts w:ascii="Times New Roman" w:hAnsi="Times New Roman" w:cs="Times New Roman"/>
              </w:rPr>
            </w:pPr>
            <w:r>
              <w:rPr>
                <w:rFonts w:ascii="Times New Roman" w:hAnsi="Times New Roman" w:eastAsia="Times New Roman" w:cs="Times New Roman"/>
                <w:color w:val="000000"/>
              </w:rPr>
              <w:t>Pedro Paulo Funari, Fábio Vergara Cerqueira, Chimene Kuhn Nobre(organizadores). </w:t>
            </w:r>
            <w:r>
              <w:rPr>
                <w:rFonts w:ascii="Times New Roman" w:hAnsi="Times New Roman" w:eastAsia="Times New Roman" w:cs="Times New Roman"/>
                <w:b/>
                <w:color w:val="000000"/>
              </w:rPr>
              <w:t>Arqueologia histórica, memória e patrimônio em perspectiva multidisciplinar</w:t>
            </w:r>
            <w:r>
              <w:rPr>
                <w:rFonts w:ascii="Times New Roman" w:hAnsi="Times New Roman" w:eastAsia="Times New Roman" w:cs="Times New Roman"/>
                <w:color w:val="000000"/>
              </w:rPr>
              <w:t>: </w:t>
            </w:r>
            <w:r>
              <w:rPr>
                <w:rFonts w:ascii="Times New Roman" w:hAnsi="Times New Roman" w:eastAsia="Times New Roman" w:cs="Times New Roman"/>
                <w:i/>
                <w:color w:val="000000"/>
              </w:rPr>
              <w:t>contribuições da arqueologia, história, literatura, arquitetura eurbanismo </w:t>
            </w:r>
            <w:r>
              <w:rPr>
                <w:rFonts w:ascii="Times New Roman" w:hAnsi="Times New Roman" w:eastAsia="Times New Roman" w:cs="Times New Roman"/>
                <w:color w:val="000000"/>
              </w:rPr>
              <w:t>. Pelotas : Instituto de Memória e Patrimônio, 2009. </w:t>
            </w:r>
          </w:p>
          <w:p>
            <w:pPr>
              <w:spacing w:line="360" w:lineRule="auto"/>
              <w:ind w:left="0" w:right="159" w:hanging="2"/>
              <w:rPr>
                <w:rFonts w:ascii="Times New Roman" w:hAnsi="Times New Roman" w:cs="Times New Roman"/>
              </w:rPr>
            </w:pPr>
            <w:r>
              <w:rPr>
                <w:rFonts w:ascii="Times New Roman" w:hAnsi="Times New Roman" w:eastAsia="Times New Roman" w:cs="Times New Roman"/>
                <w:color w:val="000000"/>
              </w:rPr>
              <w:t>Prous, André. </w:t>
            </w:r>
            <w:r>
              <w:rPr>
                <w:rFonts w:ascii="Times New Roman" w:hAnsi="Times New Roman" w:eastAsia="Times New Roman" w:cs="Times New Roman"/>
                <w:b/>
                <w:color w:val="000000"/>
              </w:rPr>
              <w:t>Arqueologia brasileira</w:t>
            </w:r>
            <w:r>
              <w:rPr>
                <w:rFonts w:ascii="Times New Roman" w:hAnsi="Times New Roman" w:eastAsia="Times New Roman" w:cs="Times New Roman"/>
                <w:color w:val="000000"/>
              </w:rPr>
              <w:t>. Brasilia : UnB, [1992].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p>
        </w:tc>
      </w:tr>
      <w:tr>
        <w:tblPrEx>
          <w:tblCellMar>
            <w:top w:w="0" w:type="dxa"/>
            <w:left w:w="22" w:type="dxa"/>
            <w:bottom w:w="0" w:type="dxa"/>
            <w:right w:w="22" w:type="dxa"/>
          </w:tblCellMar>
        </w:tblPrEx>
        <w:trPr>
          <w:trHeight w:val="872" w:hRule="atLeast"/>
        </w:trPr>
        <w:tc>
          <w:tcPr>
            <w:tcW w:w="8924" w:type="dxa"/>
            <w:gridSpan w:val="4"/>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Bibliografia complementar:</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PEREIRA, Edithe </w:t>
            </w:r>
            <w:r>
              <w:rPr>
                <w:rFonts w:ascii="Times New Roman" w:hAnsi="Times New Roman" w:eastAsia="Times New Roman" w:cs="Times New Roman"/>
                <w:b/>
                <w:color w:val="000000"/>
              </w:rPr>
              <w:t>Arte rupestre na Amazônia</w:t>
            </w:r>
            <w:r>
              <w:rPr>
                <w:rFonts w:ascii="Times New Roman" w:hAnsi="Times New Roman" w:eastAsia="Times New Roman" w:cs="Times New Roman"/>
                <w:color w:val="000000"/>
              </w:rPr>
              <w:t>. Pará: Unesp, 2004. </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WICHERS, Camila Azevedo de Moraes </w:t>
            </w:r>
            <w:r>
              <w:rPr>
                <w:rFonts w:ascii="Times New Roman" w:hAnsi="Times New Roman" w:eastAsia="Times New Roman" w:cs="Times New Roman"/>
                <w:b/>
                <w:color w:val="000000"/>
              </w:rPr>
              <w:t>Museus e antropofagia do patrimônioarqueológico</w:t>
            </w:r>
            <w:r>
              <w:rPr>
                <w:rFonts w:ascii="Times New Roman" w:hAnsi="Times New Roman" w:eastAsia="Times New Roman" w:cs="Times New Roman"/>
                <w:color w:val="000000"/>
              </w:rPr>
              <w:t>: </w:t>
            </w:r>
            <w:r>
              <w:rPr>
                <w:rFonts w:ascii="Times New Roman" w:hAnsi="Times New Roman" w:eastAsia="Times New Roman" w:cs="Times New Roman"/>
                <w:i/>
                <w:color w:val="000000"/>
              </w:rPr>
              <w:t>(des) caminhos da prática brasileira</w:t>
            </w:r>
            <w:r>
              <w:rPr>
                <w:rFonts w:ascii="Times New Roman" w:hAnsi="Times New Roman" w:eastAsia="Times New Roman" w:cs="Times New Roman"/>
                <w:color w:val="000000"/>
              </w:rPr>
              <w:t>. Lisboa: Universidade Lusófona de Humanidades e Tecnologias,2010. </w:t>
            </w:r>
          </w:p>
          <w:p>
            <w:pPr>
              <w:spacing w:line="360" w:lineRule="auto"/>
              <w:ind w:left="0" w:right="235" w:hanging="2"/>
              <w:jc w:val="both"/>
              <w:rPr>
                <w:rFonts w:ascii="Times New Roman" w:hAnsi="Times New Roman" w:cs="Times New Roman"/>
              </w:rPr>
            </w:pPr>
            <w:r>
              <w:rPr>
                <w:rFonts w:ascii="Times New Roman" w:hAnsi="Times New Roman" w:eastAsia="Times New Roman" w:cs="Times New Roman"/>
                <w:color w:val="000000"/>
              </w:rPr>
              <w:t>Pedro Paulo A. Funari, Andres Zarankin, José Alberione dos Reis. (oganizadores). </w:t>
            </w:r>
            <w:r>
              <w:rPr>
                <w:rFonts w:ascii="Times New Roman" w:hAnsi="Times New Roman" w:eastAsia="Times New Roman" w:cs="Times New Roman"/>
                <w:b/>
                <w:color w:val="000000"/>
              </w:rPr>
              <w:t>Arqueologia da repressão e da resistência na América Latina na era das ditaduras</w:t>
            </w:r>
            <w:r>
              <w:rPr>
                <w:rFonts w:ascii="Times New Roman" w:hAnsi="Times New Roman" w:eastAsia="Times New Roman" w:cs="Times New Roman"/>
                <w:color w:val="000000"/>
              </w:rPr>
              <w:t>: </w:t>
            </w:r>
            <w:r>
              <w:rPr>
                <w:rFonts w:ascii="Times New Roman" w:hAnsi="Times New Roman" w:eastAsia="Times New Roman" w:cs="Times New Roman"/>
                <w:i/>
                <w:color w:val="000000"/>
              </w:rPr>
              <w:t>(décadas de 1960-1980)</w:t>
            </w:r>
            <w:r>
              <w:rPr>
                <w:rFonts w:ascii="Times New Roman" w:hAnsi="Times New Roman" w:eastAsia="Times New Roman" w:cs="Times New Roman"/>
                <w:color w:val="000000"/>
              </w:rPr>
              <w:t>. São Paulo: Annablume. </w:t>
            </w:r>
          </w:p>
          <w:p>
            <w:pPr>
              <w:spacing w:line="360" w:lineRule="auto"/>
              <w:ind w:left="0" w:right="235" w:hanging="2"/>
              <w:jc w:val="both"/>
              <w:rPr>
                <w:rFonts w:ascii="Times New Roman" w:hAnsi="Times New Roman" w:cs="Times New Roman"/>
              </w:rPr>
            </w:pPr>
            <w:r>
              <w:rPr>
                <w:rFonts w:ascii="Times New Roman" w:hAnsi="Times New Roman" w:eastAsia="Times New Roman" w:cs="Times New Roman"/>
                <w:b/>
                <w:color w:val="000000"/>
              </w:rPr>
              <w:t>Cenários regionais em arqueologia brasileira</w:t>
            </w:r>
            <w:r>
              <w:rPr>
                <w:rFonts w:ascii="Times New Roman" w:hAnsi="Times New Roman" w:eastAsia="Times New Roman" w:cs="Times New Roman"/>
                <w:color w:val="000000"/>
              </w:rPr>
              <w:t>. São Paulo: Annablume.</w:t>
            </w:r>
          </w:p>
          <w:p>
            <w:pPr>
              <w:spacing w:line="360" w:lineRule="auto"/>
              <w:ind w:left="0" w:right="235" w:hanging="2"/>
              <w:jc w:val="both"/>
              <w:rPr>
                <w:rFonts w:ascii="Times New Roman" w:hAnsi="Times New Roman" w:cs="Times New Roman"/>
              </w:rPr>
            </w:pPr>
            <w:r>
              <w:rPr>
                <w:rFonts w:ascii="Times New Roman" w:hAnsi="Times New Roman" w:eastAsia="Times New Roman" w:cs="Times New Roman"/>
                <w:color w:val="000000"/>
              </w:rPr>
              <w:t>Jorge, Vítor Oliveira. </w:t>
            </w:r>
            <w:r>
              <w:rPr>
                <w:rFonts w:ascii="Times New Roman" w:hAnsi="Times New Roman" w:eastAsia="Times New Roman" w:cs="Times New Roman"/>
                <w:b/>
                <w:color w:val="000000"/>
              </w:rPr>
              <w:t>Arqueologia, patrimônio e cultura</w:t>
            </w:r>
            <w:r>
              <w:rPr>
                <w:rFonts w:ascii="Times New Roman" w:hAnsi="Times New Roman" w:eastAsia="Times New Roman" w:cs="Times New Roman"/>
                <w:color w:val="000000"/>
              </w:rPr>
              <w:t>. 2</w:t>
            </w:r>
            <w:r>
              <w:rPr>
                <w:rFonts w:ascii="Times New Roman" w:hAnsi="Times New Roman" w:eastAsia="Times New Roman" w:cs="Times New Roman"/>
                <w:color w:val="000000"/>
                <w:vertAlign w:val="superscript"/>
              </w:rPr>
              <w:t>a</w:t>
            </w:r>
            <w:r>
              <w:rPr>
                <w:rFonts w:ascii="Times New Roman" w:hAnsi="Times New Roman" w:eastAsia="Times New Roman" w:cs="Times New Roman"/>
                <w:color w:val="000000"/>
              </w:rPr>
              <w:t>. ed. Lisboa: Instituto Piaget, 2007. </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Denise Maria Cavalcante Gomes. </w:t>
            </w:r>
            <w:r>
              <w:rPr>
                <w:rFonts w:ascii="Times New Roman" w:hAnsi="Times New Roman" w:eastAsia="Times New Roman" w:cs="Times New Roman"/>
                <w:b/>
                <w:color w:val="000000"/>
              </w:rPr>
              <w:t>Cerâmica arqueológica da Amazônia</w:t>
            </w:r>
            <w:r>
              <w:rPr>
                <w:rFonts w:ascii="Times New Roman" w:hAnsi="Times New Roman" w:eastAsia="Times New Roman" w:cs="Times New Roman"/>
                <w:color w:val="000000"/>
              </w:rPr>
              <w:t>: </w:t>
            </w:r>
            <w:r>
              <w:rPr>
                <w:rFonts w:ascii="Times New Roman" w:hAnsi="Times New Roman" w:eastAsia="Times New Roman" w:cs="Times New Roman"/>
                <w:i/>
                <w:color w:val="000000"/>
              </w:rPr>
              <w:t>vasilhas da Coleção Tapajônica MAE - USP </w:t>
            </w:r>
            <w:r>
              <w:rPr>
                <w:rFonts w:ascii="Times New Roman" w:hAnsi="Times New Roman" w:eastAsia="Times New Roman" w:cs="Times New Roman"/>
                <w:color w:val="000000"/>
              </w:rPr>
              <w:t>. São Paulo: Imprensa Oficial do Estado.</w:t>
            </w:r>
            <w:r>
              <w:rPr>
                <w:rFonts w:ascii="Times New Roman" w:hAnsi="Times New Roman" w:eastAsia="Times New Roman" w:cs="Times New Roman"/>
                <w:color w:val="000000"/>
              </w:rPr>
              <w:br w:type="textWrapping"/>
            </w:r>
            <w:r>
              <w:rPr>
                <w:rFonts w:ascii="Times New Roman" w:hAnsi="Times New Roman" w:eastAsia="Times New Roman" w:cs="Times New Roman"/>
                <w:color w:val="000000"/>
              </w:rPr>
              <w:t>André Prous &amp; Tania Andrade Lima (editores). </w:t>
            </w:r>
            <w:r>
              <w:rPr>
                <w:rFonts w:ascii="Times New Roman" w:hAnsi="Times New Roman" w:eastAsia="Times New Roman" w:cs="Times New Roman"/>
                <w:b/>
                <w:color w:val="000000"/>
              </w:rPr>
              <w:t>Os ceramistas tupiguarani</w:t>
            </w:r>
            <w:r>
              <w:rPr>
                <w:rFonts w:ascii="Times New Roman" w:hAnsi="Times New Roman" w:eastAsia="Times New Roman" w:cs="Times New Roman"/>
                <w:color w:val="000000"/>
              </w:rPr>
              <w:t>: </w:t>
            </w:r>
            <w:r>
              <w:rPr>
                <w:rFonts w:ascii="Times New Roman" w:hAnsi="Times New Roman" w:eastAsia="Times New Roman" w:cs="Times New Roman"/>
                <w:i/>
                <w:color w:val="000000"/>
              </w:rPr>
              <w:t>volume III - eixos temáticos</w:t>
            </w:r>
            <w:r>
              <w:rPr>
                <w:rFonts w:ascii="Times New Roman" w:hAnsi="Times New Roman" w:eastAsia="Times New Roman" w:cs="Times New Roman"/>
                <w:color w:val="000000"/>
              </w:rPr>
              <w:t>. Belo Horizonte (MG): IPHAN, 2010.</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27"/>
        <w:tblW w:w="8924" w:type="dxa"/>
        <w:tblInd w:w="-20" w:type="dxa"/>
        <w:tblLayout w:type="fixed"/>
        <w:tblCellMar>
          <w:top w:w="0" w:type="dxa"/>
          <w:left w:w="22" w:type="dxa"/>
          <w:bottom w:w="0" w:type="dxa"/>
          <w:right w:w="22" w:type="dxa"/>
        </w:tblCellMar>
      </w:tblPr>
      <w:tblGrid>
        <w:gridCol w:w="2886"/>
        <w:gridCol w:w="3122"/>
        <w:gridCol w:w="2916"/>
      </w:tblGrid>
      <w:tr>
        <w:tblPrEx>
          <w:tblCellMar>
            <w:top w:w="0" w:type="dxa"/>
            <w:left w:w="22" w:type="dxa"/>
            <w:bottom w:w="0" w:type="dxa"/>
            <w:right w:w="22" w:type="dxa"/>
          </w:tblCellMar>
        </w:tblPrEx>
        <w:trPr>
          <w:trHeight w:val="1877" w:hRule="atLeast"/>
        </w:trPr>
        <w:tc>
          <w:tcPr>
            <w:tcW w:w="6008"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Nome do Componente Curricular em português: Museu no Mundo </w:t>
            </w:r>
            <w:r>
              <w:rPr>
                <w:rFonts w:ascii="Times New Roman" w:hAnsi="Times New Roman" w:eastAsia="Times New Roman" w:cs="Times New Roman"/>
              </w:rPr>
              <w:t>Contemporâneo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Museum in the Modern World</w:t>
            </w:r>
          </w:p>
        </w:tc>
        <w:tc>
          <w:tcPr>
            <w:tcW w:w="2916"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MUL106</w:t>
            </w:r>
          </w:p>
        </w:tc>
      </w:tr>
      <w:tr>
        <w:tblPrEx>
          <w:tblCellMar>
            <w:top w:w="0" w:type="dxa"/>
            <w:left w:w="22" w:type="dxa"/>
            <w:bottom w:w="0" w:type="dxa"/>
            <w:right w:w="22" w:type="dxa"/>
          </w:tblCellMar>
        </w:tblPrEx>
        <w:trPr>
          <w:trHeight w:val="825" w:hRule="atLeast"/>
        </w:trPr>
        <w:tc>
          <w:tcPr>
            <w:tcW w:w="6008"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Museologia - DEMUL</w:t>
            </w:r>
          </w:p>
        </w:tc>
        <w:tc>
          <w:tcPr>
            <w:tcW w:w="291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3" w:hRule="atLeast"/>
        </w:trPr>
        <w:tc>
          <w:tcPr>
            <w:tcW w:w="2886"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46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7" w:line="36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semestral </w:t>
            </w:r>
          </w:p>
          <w:p>
            <w:pPr>
              <w:widowControl w:val="0"/>
              <w:pBdr>
                <w:top w:val="none" w:color="auto" w:sz="0" w:space="0"/>
                <w:left w:val="none" w:color="auto" w:sz="0" w:space="0"/>
                <w:bottom w:val="none" w:color="auto" w:sz="0" w:space="0"/>
                <w:right w:val="none" w:color="auto" w:sz="0" w:space="0"/>
                <w:between w:val="none" w:color="auto" w:sz="0" w:space="0"/>
              </w:pBdr>
              <w:spacing w:before="7" w:line="36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30 horas</w:t>
            </w:r>
          </w:p>
        </w:tc>
        <w:tc>
          <w:tcPr>
            <w:tcW w:w="3122"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02 horas/aula</w:t>
            </w:r>
          </w:p>
        </w:tc>
        <w:tc>
          <w:tcPr>
            <w:tcW w:w="291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rPr>
              <w:t>00 horas/aula</w:t>
            </w:r>
          </w:p>
        </w:tc>
      </w:tr>
      <w:tr>
        <w:tblPrEx>
          <w:tblCellMar>
            <w:top w:w="0" w:type="dxa"/>
            <w:left w:w="22" w:type="dxa"/>
            <w:bottom w:w="0" w:type="dxa"/>
            <w:right w:w="22" w:type="dxa"/>
          </w:tblCellMar>
        </w:tblPrEx>
        <w:trPr>
          <w:trHeight w:val="1345"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Tópicos específicos. Abordagem dinâmica das formas contemporâneas de Musealização. Estudos de caso. Visita técnica a museus de Ouro Preto, Belo Horizonte e Rio de Janeiro.</w:t>
            </w:r>
          </w:p>
        </w:tc>
      </w:tr>
      <w:tr>
        <w:tblPrEx>
          <w:tblCellMar>
            <w:top w:w="0" w:type="dxa"/>
            <w:left w:w="22" w:type="dxa"/>
            <w:bottom w:w="0" w:type="dxa"/>
            <w:right w:w="22" w:type="dxa"/>
          </w:tblCellMar>
        </w:tblPrEx>
        <w:trPr>
          <w:trHeight w:val="2956"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Unidade 1 – Contemporaneidade, cultura, patrimônio e museus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1.1 – Contemporaneidade e globalização: características e tensões;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1.2 - Novas mídias e o museu como espaço relacional;</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1.3 - Agentes, movimentos sociais e poder.</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Unidade 2 – Estudos de caso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2.1 – Debates e análises de notícias selecionadas;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2.2 – Visita técnica a museus de Belo Horizonte.</w:t>
            </w:r>
          </w:p>
        </w:tc>
      </w:tr>
      <w:tr>
        <w:tblPrEx>
          <w:tblCellMar>
            <w:top w:w="0" w:type="dxa"/>
            <w:left w:w="22" w:type="dxa"/>
            <w:bottom w:w="0" w:type="dxa"/>
            <w:right w:w="22" w:type="dxa"/>
          </w:tblCellMar>
        </w:tblPrEx>
        <w:trPr>
          <w:trHeight w:val="1115"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spacing w:line="360" w:lineRule="auto"/>
              <w:ind w:left="0" w:hanging="2"/>
              <w:jc w:val="both"/>
              <w:rPr>
                <w:rFonts w:ascii="Times New Roman" w:hAnsi="Times New Roman" w:cs="Times New Roman"/>
              </w:rPr>
            </w:pPr>
            <w:r>
              <w:rPr>
                <w:rFonts w:ascii="Times New Roman" w:hAnsi="Times New Roman" w:eastAsia="Times New Roman" w:cs="Times New Roman"/>
                <w:color w:val="000000"/>
              </w:rPr>
              <w:t>Garcia Canclini, Néstor. </w:t>
            </w:r>
            <w:r>
              <w:rPr>
                <w:rFonts w:ascii="Times New Roman" w:hAnsi="Times New Roman" w:eastAsia="Times New Roman" w:cs="Times New Roman"/>
                <w:b/>
                <w:color w:val="000000"/>
              </w:rPr>
              <w:t>Leitores, espectadores e internautas</w:t>
            </w:r>
            <w:r>
              <w:rPr>
                <w:rFonts w:ascii="Times New Roman" w:hAnsi="Times New Roman" w:eastAsia="Times New Roman" w:cs="Times New Roman"/>
                <w:color w:val="000000"/>
              </w:rPr>
              <w:t>. São Paulo: Iluminuras </w:t>
            </w:r>
          </w:p>
          <w:p>
            <w:pPr>
              <w:spacing w:line="360" w:lineRule="auto"/>
              <w:ind w:left="0" w:hanging="2"/>
              <w:jc w:val="both"/>
              <w:rPr>
                <w:rFonts w:ascii="Times New Roman" w:hAnsi="Times New Roman" w:cs="Times New Roman"/>
              </w:rPr>
            </w:pPr>
            <w:r>
              <w:rPr>
                <w:rFonts w:ascii="Times New Roman" w:hAnsi="Times New Roman" w:eastAsia="Times New Roman" w:cs="Times New Roman"/>
                <w:color w:val="000000"/>
              </w:rPr>
              <w:t>Lévy, Pierre. </w:t>
            </w:r>
            <w:r>
              <w:rPr>
                <w:rFonts w:ascii="Times New Roman" w:hAnsi="Times New Roman" w:eastAsia="Times New Roman" w:cs="Times New Roman"/>
                <w:b/>
                <w:color w:val="000000"/>
              </w:rPr>
              <w:t>Cibercultura</w:t>
            </w:r>
            <w:r>
              <w:rPr>
                <w:rFonts w:ascii="Times New Roman" w:hAnsi="Times New Roman" w:eastAsia="Times New Roman" w:cs="Times New Roman"/>
                <w:color w:val="000000"/>
              </w:rPr>
              <w:t>. 2</w:t>
            </w:r>
            <w:r>
              <w:rPr>
                <w:rFonts w:ascii="Times New Roman" w:hAnsi="Times New Roman" w:eastAsia="Times New Roman" w:cs="Times New Roman"/>
                <w:color w:val="000000"/>
                <w:vertAlign w:val="superscript"/>
              </w:rPr>
              <w:t>a</w:t>
            </w:r>
            <w:r>
              <w:rPr>
                <w:rFonts w:ascii="Times New Roman" w:hAnsi="Times New Roman" w:eastAsia="Times New Roman" w:cs="Times New Roman"/>
                <w:color w:val="000000"/>
              </w:rPr>
              <w:t>. ed. São Paulo: Ed. 34, 2000. </w:t>
            </w:r>
          </w:p>
        </w:tc>
      </w:tr>
      <w:tr>
        <w:tblPrEx>
          <w:tblCellMar>
            <w:top w:w="0" w:type="dxa"/>
            <w:left w:w="22" w:type="dxa"/>
            <w:bottom w:w="0" w:type="dxa"/>
            <w:right w:w="22" w:type="dxa"/>
          </w:tblCellMar>
        </w:tblPrEx>
        <w:trPr>
          <w:trHeight w:val="1656"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José Reginaldo Santos Gonçalves. </w:t>
            </w:r>
            <w:r>
              <w:rPr>
                <w:rFonts w:ascii="Times New Roman" w:hAnsi="Times New Roman" w:eastAsia="Times New Roman" w:cs="Times New Roman"/>
                <w:b/>
                <w:color w:val="000000"/>
              </w:rPr>
              <w:t>Antropologia dos objetos</w:t>
            </w:r>
            <w:r>
              <w:rPr>
                <w:rFonts w:ascii="Times New Roman" w:hAnsi="Times New Roman" w:eastAsia="Times New Roman" w:cs="Times New Roman"/>
                <w:color w:val="000000"/>
              </w:rPr>
              <w:t>: </w:t>
            </w:r>
            <w:r>
              <w:rPr>
                <w:rFonts w:ascii="Times New Roman" w:hAnsi="Times New Roman" w:eastAsia="Times New Roman" w:cs="Times New Roman"/>
                <w:i/>
                <w:color w:val="000000"/>
              </w:rPr>
              <w:t>museus e patrimônios</w:t>
            </w:r>
            <w:r>
              <w:rPr>
                <w:rFonts w:ascii="Times New Roman" w:hAnsi="Times New Roman" w:eastAsia="Times New Roman" w:cs="Times New Roman"/>
                <w:color w:val="000000"/>
              </w:rPr>
              <w:t>. Rio de Janeiro: [MinC, IPHAN, DEMU], 2006.</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Pierre Bourdieu e Alain Darbel com a colaboraçao de Dominique Schnapper; tradução Guilherme João de Freitas Teixeira </w:t>
            </w:r>
            <w:r>
              <w:rPr>
                <w:rFonts w:ascii="Times New Roman" w:hAnsi="Times New Roman" w:eastAsia="Times New Roman" w:cs="Times New Roman"/>
                <w:b/>
                <w:color w:val="000000"/>
              </w:rPr>
              <w:t>O amor pela arte</w:t>
            </w:r>
            <w:r>
              <w:rPr>
                <w:rFonts w:ascii="Times New Roman" w:hAnsi="Times New Roman" w:eastAsia="Times New Roman" w:cs="Times New Roman"/>
                <w:color w:val="000000"/>
              </w:rPr>
              <w:t>: </w:t>
            </w:r>
            <w:r>
              <w:rPr>
                <w:rFonts w:ascii="Times New Roman" w:hAnsi="Times New Roman" w:eastAsia="Times New Roman" w:cs="Times New Roman"/>
                <w:i/>
                <w:color w:val="000000"/>
              </w:rPr>
              <w:t>os museus de arte na Europa e seu público </w:t>
            </w:r>
            <w:r>
              <w:rPr>
                <w:rFonts w:ascii="Times New Roman" w:hAnsi="Times New Roman" w:eastAsia="Times New Roman" w:cs="Times New Roman"/>
                <w:color w:val="000000"/>
              </w:rPr>
              <w:t>.2. ed. São Paulo: EDUSP </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Cohen, Regina. </w:t>
            </w:r>
            <w:r>
              <w:rPr>
                <w:rFonts w:ascii="Times New Roman" w:hAnsi="Times New Roman" w:eastAsia="Times New Roman" w:cs="Times New Roman"/>
                <w:b/>
                <w:color w:val="000000"/>
              </w:rPr>
              <w:t>Acessibilidade a museus</w:t>
            </w:r>
            <w:r>
              <w:rPr>
                <w:rFonts w:ascii="Times New Roman" w:hAnsi="Times New Roman" w:eastAsia="Times New Roman" w:cs="Times New Roman"/>
                <w:color w:val="000000"/>
              </w:rPr>
              <w:t>. Brasília: IBRAM, 2012. </w:t>
            </w:r>
          </w:p>
          <w:p>
            <w:pPr>
              <w:spacing w:line="360" w:lineRule="auto"/>
              <w:ind w:left="0" w:hanging="2"/>
              <w:rPr>
                <w:rFonts w:ascii="Times New Roman" w:hAnsi="Times New Roman" w:cs="Times New Roman"/>
              </w:rPr>
            </w:pPr>
            <w:r>
              <w:rPr>
                <w:rFonts w:ascii="Times New Roman" w:hAnsi="Times New Roman" w:eastAsia="Times New Roman" w:cs="Times New Roman"/>
                <w:b/>
                <w:color w:val="000000"/>
              </w:rPr>
              <w:t>90 anos do Museu Histórico Nacional em debate (1922-2012)</w:t>
            </w:r>
            <w:r>
              <w:rPr>
                <w:rFonts w:ascii="Times New Roman" w:hAnsi="Times New Roman" w:eastAsia="Times New Roman" w:cs="Times New Roman"/>
                <w:color w:val="000000"/>
              </w:rPr>
              <w:t>. Rio de Janeiro: Museu Histórico Nacional, 2014.</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28"/>
        <w:tblW w:w="8924" w:type="dxa"/>
        <w:tblInd w:w="-20" w:type="dxa"/>
        <w:tblLayout w:type="fixed"/>
        <w:tblCellMar>
          <w:top w:w="0" w:type="dxa"/>
          <w:left w:w="22" w:type="dxa"/>
          <w:bottom w:w="0" w:type="dxa"/>
          <w:right w:w="22" w:type="dxa"/>
        </w:tblCellMar>
      </w:tblPr>
      <w:tblGrid>
        <w:gridCol w:w="2886"/>
        <w:gridCol w:w="3122"/>
        <w:gridCol w:w="2916"/>
      </w:tblGrid>
      <w:tr>
        <w:tblPrEx>
          <w:tblCellMar>
            <w:top w:w="0" w:type="dxa"/>
            <w:left w:w="22" w:type="dxa"/>
            <w:bottom w:w="0" w:type="dxa"/>
            <w:right w:w="22" w:type="dxa"/>
          </w:tblCellMar>
        </w:tblPrEx>
        <w:trPr>
          <w:trHeight w:val="1877" w:hRule="atLeast"/>
        </w:trPr>
        <w:tc>
          <w:tcPr>
            <w:tcW w:w="6008"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Antropologia e Museus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Anthropology and Museums</w:t>
            </w:r>
          </w:p>
        </w:tc>
        <w:tc>
          <w:tcPr>
            <w:tcW w:w="2916"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MUL107</w:t>
            </w:r>
          </w:p>
        </w:tc>
      </w:tr>
      <w:tr>
        <w:tblPrEx>
          <w:tblCellMar>
            <w:top w:w="0" w:type="dxa"/>
            <w:left w:w="22" w:type="dxa"/>
            <w:bottom w:w="0" w:type="dxa"/>
            <w:right w:w="22" w:type="dxa"/>
          </w:tblCellMar>
        </w:tblPrEx>
        <w:trPr>
          <w:trHeight w:val="825" w:hRule="atLeast"/>
        </w:trPr>
        <w:tc>
          <w:tcPr>
            <w:tcW w:w="6008"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Museologia - DEMUL</w:t>
            </w:r>
          </w:p>
        </w:tc>
        <w:tc>
          <w:tcPr>
            <w:tcW w:w="291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3" w:hRule="atLeast"/>
        </w:trPr>
        <w:tc>
          <w:tcPr>
            <w:tcW w:w="2886"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46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7" w:line="36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semestral </w:t>
            </w:r>
          </w:p>
          <w:p>
            <w:pPr>
              <w:widowControl w:val="0"/>
              <w:pBdr>
                <w:top w:val="none" w:color="auto" w:sz="0" w:space="0"/>
                <w:left w:val="none" w:color="auto" w:sz="0" w:space="0"/>
                <w:bottom w:val="none" w:color="auto" w:sz="0" w:space="0"/>
                <w:right w:val="none" w:color="auto" w:sz="0" w:space="0"/>
                <w:between w:val="none" w:color="auto" w:sz="0" w:space="0"/>
              </w:pBdr>
              <w:spacing w:before="7" w:line="36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60 horas</w:t>
            </w:r>
          </w:p>
        </w:tc>
        <w:tc>
          <w:tcPr>
            <w:tcW w:w="3122"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291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rPr>
              <w:t>00 horas/aula</w:t>
            </w:r>
          </w:p>
        </w:tc>
      </w:tr>
      <w:tr>
        <w:tblPrEx>
          <w:tblCellMar>
            <w:top w:w="0" w:type="dxa"/>
            <w:left w:w="22" w:type="dxa"/>
            <w:bottom w:w="0" w:type="dxa"/>
            <w:right w:w="22" w:type="dxa"/>
          </w:tblCellMar>
        </w:tblPrEx>
        <w:trPr>
          <w:trHeight w:val="1650"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Apresentação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 partir da década de 1960, o fortalecimento da Antropologia nas universidades brasileiras coincidiu com o afastamento das pesquisas e do debate acadêmico dos estudos das coleções etnográficas musealizadas. Nesse processo, os museus de arqueologia e etnologia passaram a lidar com o desafio (nem sempre vencido) de aproximar suas práticas do avanço conceitual e teórico gerado pela disciplina antropológica. Esta, de modo geral, pouco acompanhou os avanços da Museologia no Brasil. Ainda no mesmo cenário, a diversidade de demandas sociais pela valorização do conhecimento tradicional ofereceu significativo protagonismo à prática antropológica vinculada a processos de licenciamento ambiental, por meio de ações de proteção e promoção do patrimônio integrado.  O curso Antropologia e Museus propõe reflexões voltadas a aprofundar o conhecimento dos alunos sobre os processos de formação do pensamento antropológico brasileiro e debater aspectos de sua contribuição para a construção das “identidades nacionais”.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Objetivo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 objetivo é introduzir conceitos básicos da Antropologia, a partir da discussão das principais correntes teóricas e do papel das etnografias brasileiras no avanço do debate internacional. O programa incorpora aspectos do marco legal que hoje orienta os profissionais do campo antropológico no Brasil, com vistas a promover uma reflexão sobre a contribuição das práticas museais para o fortalecimento das noções de identidades, pertencimento e cidadania.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Metodologia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Aulas expositivas; análise e discussão da bibliografia; análise de fontes de pesquisa e realização de seminários.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p>
        </w:tc>
      </w:tr>
      <w:tr>
        <w:tblPrEx>
          <w:tblCellMar>
            <w:top w:w="0" w:type="dxa"/>
            <w:left w:w="22" w:type="dxa"/>
            <w:bottom w:w="0" w:type="dxa"/>
            <w:right w:w="22" w:type="dxa"/>
          </w:tblCellMar>
        </w:tblPrEx>
        <w:trPr>
          <w:trHeight w:val="2956"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1)Pensar a Antropologia: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 teorias clássicas da Antropologia e as principais escolas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-As áreas de pesquisa da disciplina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-O diálogo com as áreas afins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2)O século XIX e os museus de ciência no Brasil</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Positivismo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Evolucionismo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Os museus nos processos de formação do Estado Nacional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3)A Antropologia Anglo-Saxã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Antropologia social britânica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Antropologia cultural norte-americana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4)A influência francesa na Antropologia brasileira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Os fundamentos teóricos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As práticas de campo e as contribuições etnográficas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A problemática das coleções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5)A Antropologia e os Museus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Práticas antropológicas diante do marco legal de proteção ao patrimônio cultural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Estudos de caso</w:t>
            </w:r>
          </w:p>
        </w:tc>
      </w:tr>
      <w:tr>
        <w:tblPrEx>
          <w:tblCellMar>
            <w:top w:w="0" w:type="dxa"/>
            <w:left w:w="22" w:type="dxa"/>
            <w:bottom w:w="0" w:type="dxa"/>
            <w:right w:w="22" w:type="dxa"/>
          </w:tblCellMar>
        </w:tblPrEx>
        <w:trPr>
          <w:trHeight w:val="1115"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spacing w:line="360" w:lineRule="auto"/>
              <w:ind w:left="0" w:hanging="2"/>
              <w:jc w:val="both"/>
              <w:rPr>
                <w:rFonts w:ascii="Times New Roman" w:hAnsi="Times New Roman" w:cs="Times New Roman"/>
              </w:rPr>
            </w:pPr>
            <w:r>
              <w:rPr>
                <w:rFonts w:ascii="Times New Roman" w:hAnsi="Times New Roman" w:eastAsia="Times New Roman" w:cs="Times New Roman"/>
                <w:color w:val="000000"/>
              </w:rPr>
              <w:t>Mauss, Marcel. </w:t>
            </w:r>
            <w:r>
              <w:rPr>
                <w:rFonts w:ascii="Times New Roman" w:hAnsi="Times New Roman" w:eastAsia="Times New Roman" w:cs="Times New Roman"/>
                <w:b/>
                <w:color w:val="000000"/>
              </w:rPr>
              <w:t>Sociologia e antropologia</w:t>
            </w:r>
            <w:r>
              <w:rPr>
                <w:rFonts w:ascii="Times New Roman" w:hAnsi="Times New Roman" w:eastAsia="Times New Roman" w:cs="Times New Roman"/>
                <w:color w:val="000000"/>
              </w:rPr>
              <w:t>. São Paulo: Cosac Naify, 2003. </w:t>
            </w:r>
          </w:p>
          <w:p>
            <w:pPr>
              <w:spacing w:line="360" w:lineRule="auto"/>
              <w:ind w:left="0" w:hanging="2"/>
              <w:jc w:val="both"/>
              <w:rPr>
                <w:rFonts w:ascii="Times New Roman" w:hAnsi="Times New Roman" w:cs="Times New Roman"/>
              </w:rPr>
            </w:pPr>
            <w:r>
              <w:rPr>
                <w:rFonts w:ascii="Times New Roman" w:hAnsi="Times New Roman" w:eastAsia="Times New Roman" w:cs="Times New Roman"/>
                <w:color w:val="000000"/>
              </w:rPr>
              <w:t>José Reginaldo Santos Gonçalves. </w:t>
            </w:r>
            <w:r>
              <w:rPr>
                <w:rFonts w:ascii="Times New Roman" w:hAnsi="Times New Roman" w:eastAsia="Times New Roman" w:cs="Times New Roman"/>
                <w:b/>
                <w:color w:val="000000"/>
              </w:rPr>
              <w:t>Antropologia dos objetos</w:t>
            </w:r>
            <w:r>
              <w:rPr>
                <w:rFonts w:ascii="Times New Roman" w:hAnsi="Times New Roman" w:eastAsia="Times New Roman" w:cs="Times New Roman"/>
                <w:color w:val="000000"/>
              </w:rPr>
              <w:t>: </w:t>
            </w:r>
            <w:r>
              <w:rPr>
                <w:rFonts w:ascii="Times New Roman" w:hAnsi="Times New Roman" w:eastAsia="Times New Roman" w:cs="Times New Roman"/>
                <w:i/>
                <w:color w:val="000000"/>
              </w:rPr>
              <w:t>museus e patrimônios</w:t>
            </w:r>
            <w:r>
              <w:rPr>
                <w:rFonts w:ascii="Times New Roman" w:hAnsi="Times New Roman" w:eastAsia="Times New Roman" w:cs="Times New Roman"/>
                <w:color w:val="000000"/>
              </w:rPr>
              <w:t>. Rio de Janeiro: [MinC, IPHAN, DEMU], 2006. </w:t>
            </w:r>
          </w:p>
          <w:p>
            <w:pPr>
              <w:spacing w:line="360" w:lineRule="auto"/>
              <w:ind w:left="0" w:hanging="2"/>
              <w:jc w:val="both"/>
              <w:rPr>
                <w:rFonts w:ascii="Times New Roman" w:hAnsi="Times New Roman" w:cs="Times New Roman"/>
              </w:rPr>
            </w:pPr>
            <w:r>
              <w:rPr>
                <w:rFonts w:ascii="Times New Roman" w:hAnsi="Times New Roman" w:eastAsia="Times New Roman" w:cs="Times New Roman"/>
                <w:color w:val="000000"/>
              </w:rPr>
              <w:t>Regina Abreu, Mário de Souza Chagas, Myrian Sepúlveda dos Santos [organizadores]. </w:t>
            </w:r>
            <w:r>
              <w:rPr>
                <w:rFonts w:ascii="Times New Roman" w:hAnsi="Times New Roman" w:eastAsia="Times New Roman" w:cs="Times New Roman"/>
                <w:b/>
                <w:color w:val="000000"/>
              </w:rPr>
              <w:t>Museus, coleções e patrimônios</w:t>
            </w:r>
            <w:r>
              <w:rPr>
                <w:rFonts w:ascii="Times New Roman" w:hAnsi="Times New Roman" w:eastAsia="Times New Roman" w:cs="Times New Roman"/>
                <w:color w:val="000000"/>
              </w:rPr>
              <w:t>: </w:t>
            </w:r>
            <w:r>
              <w:rPr>
                <w:rFonts w:ascii="Times New Roman" w:hAnsi="Times New Roman" w:eastAsia="Times New Roman" w:cs="Times New Roman"/>
                <w:i/>
                <w:color w:val="000000"/>
              </w:rPr>
              <w:t>narrativa polifônicas</w:t>
            </w:r>
            <w:r>
              <w:rPr>
                <w:rFonts w:ascii="Times New Roman" w:hAnsi="Times New Roman" w:eastAsia="Times New Roman" w:cs="Times New Roman"/>
                <w:color w:val="000000"/>
              </w:rPr>
              <w:t>. Rio de Janeiro: Garamond </w:t>
            </w:r>
            <w:r>
              <w:rPr>
                <w:rFonts w:ascii="Times New Roman" w:hAnsi="Times New Roman" w:eastAsia="Times New Roman" w:cs="Times New Roman"/>
                <w:color w:val="FF0000"/>
              </w:rPr>
              <w:t>.</w:t>
            </w:r>
          </w:p>
          <w:p>
            <w:pPr>
              <w:spacing w:line="360" w:lineRule="auto"/>
              <w:ind w:left="0" w:hanging="2"/>
              <w:jc w:val="both"/>
              <w:rPr>
                <w:rFonts w:ascii="Times New Roman" w:hAnsi="Times New Roman" w:cs="Times New Roman"/>
              </w:rPr>
            </w:pPr>
            <w:r>
              <w:rPr>
                <w:rFonts w:ascii="Times New Roman" w:hAnsi="Times New Roman" w:eastAsia="Times New Roman" w:cs="Times New Roman"/>
                <w:color w:val="000000"/>
              </w:rPr>
              <w:t>Levi-Strauss, Claude. </w:t>
            </w:r>
            <w:r>
              <w:rPr>
                <w:rFonts w:ascii="Times New Roman" w:hAnsi="Times New Roman" w:eastAsia="Times New Roman" w:cs="Times New Roman"/>
                <w:b/>
                <w:color w:val="000000"/>
              </w:rPr>
              <w:t>Antropologia estrutural</w:t>
            </w:r>
            <w:r>
              <w:rPr>
                <w:rFonts w:ascii="Times New Roman" w:hAnsi="Times New Roman" w:eastAsia="Times New Roman" w:cs="Times New Roman"/>
                <w:color w:val="000000"/>
              </w:rPr>
              <w:t>. São Paulo: CosacNaify, 2008. </w:t>
            </w:r>
          </w:p>
          <w:p>
            <w:pPr>
              <w:spacing w:line="360" w:lineRule="auto"/>
              <w:ind w:left="0" w:hanging="2"/>
              <w:jc w:val="both"/>
              <w:rPr>
                <w:rFonts w:ascii="Times New Roman" w:hAnsi="Times New Roman" w:cs="Times New Roman"/>
              </w:rPr>
            </w:pPr>
            <w:r>
              <w:rPr>
                <w:rFonts w:ascii="Times New Roman" w:hAnsi="Times New Roman" w:eastAsia="Times New Roman" w:cs="Times New Roman"/>
                <w:b/>
                <w:color w:val="000000"/>
              </w:rPr>
              <w:t>Questões indígenas e museus</w:t>
            </w:r>
            <w:r>
              <w:rPr>
                <w:rFonts w:ascii="Times New Roman" w:hAnsi="Times New Roman" w:eastAsia="Times New Roman" w:cs="Times New Roman"/>
                <w:color w:val="000000"/>
              </w:rPr>
              <w:t>: </w:t>
            </w:r>
            <w:r>
              <w:rPr>
                <w:rFonts w:ascii="Times New Roman" w:hAnsi="Times New Roman" w:eastAsia="Times New Roman" w:cs="Times New Roman"/>
                <w:i/>
                <w:color w:val="000000"/>
              </w:rPr>
              <w:t>debates e possibilidades</w:t>
            </w:r>
            <w:r>
              <w:rPr>
                <w:rFonts w:ascii="Times New Roman" w:hAnsi="Times New Roman" w:eastAsia="Times New Roman" w:cs="Times New Roman"/>
                <w:color w:val="000000"/>
              </w:rPr>
              <w:t>. Brodowski: Secretaria de Estado da Cultura.</w:t>
            </w:r>
          </w:p>
          <w:p>
            <w:pPr>
              <w:spacing w:line="360" w:lineRule="auto"/>
              <w:ind w:left="0" w:hanging="2"/>
              <w:jc w:val="both"/>
              <w:rPr>
                <w:rFonts w:ascii="Times New Roman" w:hAnsi="Times New Roman" w:cs="Times New Roman"/>
              </w:rPr>
            </w:pPr>
            <w:r>
              <w:rPr>
                <w:rFonts w:ascii="Times New Roman" w:hAnsi="Times New Roman" w:eastAsia="Times New Roman" w:cs="Times New Roman"/>
                <w:color w:val="000000"/>
              </w:rPr>
              <w:t>Boas, Franz. </w:t>
            </w:r>
            <w:r>
              <w:rPr>
                <w:rFonts w:ascii="Times New Roman" w:hAnsi="Times New Roman" w:eastAsia="Times New Roman" w:cs="Times New Roman"/>
                <w:b/>
                <w:color w:val="000000"/>
              </w:rPr>
              <w:t>Antropologia cultural</w:t>
            </w:r>
            <w:r>
              <w:rPr>
                <w:rFonts w:ascii="Times New Roman" w:hAnsi="Times New Roman" w:eastAsia="Times New Roman" w:cs="Times New Roman"/>
                <w:color w:val="000000"/>
              </w:rPr>
              <w:t>. 3. ed.Rio de Janeiro: Jorge Zahar, c2006.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p>
        </w:tc>
      </w:tr>
      <w:tr>
        <w:tblPrEx>
          <w:tblCellMar>
            <w:top w:w="0" w:type="dxa"/>
            <w:left w:w="22" w:type="dxa"/>
            <w:bottom w:w="0" w:type="dxa"/>
            <w:right w:w="22" w:type="dxa"/>
          </w:tblCellMar>
        </w:tblPrEx>
        <w:trPr>
          <w:trHeight w:val="1656"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widowControl w:val="0"/>
              <w:pBdr>
                <w:top w:val="none" w:color="auto" w:sz="0" w:space="0"/>
                <w:left w:val="none" w:color="auto" w:sz="0" w:space="0"/>
                <w:bottom w:val="none" w:color="auto" w:sz="0" w:space="0"/>
                <w:right w:val="none" w:color="auto" w:sz="0" w:space="0"/>
                <w:between w:val="none" w:color="auto" w:sz="0" w:space="0"/>
              </w:pBdr>
              <w:spacing w:before="9" w:line="360" w:lineRule="auto"/>
              <w:ind w:left="0" w:hanging="2"/>
              <w:jc w:val="both"/>
              <w:rPr>
                <w:rFonts w:ascii="Times New Roman" w:hAnsi="Times New Roman" w:eastAsia="Times New Roman" w:cs="Times New Roman"/>
                <w:color w:val="000000"/>
              </w:rPr>
            </w:pPr>
          </w:p>
          <w:p>
            <w:pPr>
              <w:spacing w:line="360" w:lineRule="auto"/>
              <w:ind w:left="0" w:hanging="2"/>
              <w:jc w:val="both"/>
              <w:rPr>
                <w:rFonts w:ascii="Times New Roman" w:hAnsi="Times New Roman" w:cs="Times New Roman"/>
              </w:rPr>
            </w:pPr>
            <w:r>
              <w:rPr>
                <w:rFonts w:ascii="Times New Roman" w:hAnsi="Times New Roman" w:eastAsia="Times New Roman" w:cs="Times New Roman"/>
                <w:color w:val="000000"/>
              </w:rPr>
              <w:t>Clifford Geertz; tradução de Vera Mello Joscelyne. </w:t>
            </w:r>
            <w:r>
              <w:rPr>
                <w:rFonts w:ascii="Times New Roman" w:hAnsi="Times New Roman" w:eastAsia="Times New Roman" w:cs="Times New Roman"/>
                <w:b/>
                <w:color w:val="000000"/>
              </w:rPr>
              <w:t>O saber local</w:t>
            </w:r>
            <w:r>
              <w:rPr>
                <w:rFonts w:ascii="Times New Roman" w:hAnsi="Times New Roman" w:eastAsia="Times New Roman" w:cs="Times New Roman"/>
                <w:color w:val="000000"/>
              </w:rPr>
              <w:t>: </w:t>
            </w:r>
            <w:r>
              <w:rPr>
                <w:rFonts w:ascii="Times New Roman" w:hAnsi="Times New Roman" w:eastAsia="Times New Roman" w:cs="Times New Roman"/>
                <w:i/>
                <w:color w:val="000000"/>
              </w:rPr>
              <w:t>novos ensaios em antropologia interpretativa</w:t>
            </w:r>
            <w:r>
              <w:rPr>
                <w:rFonts w:ascii="Times New Roman" w:hAnsi="Times New Roman" w:eastAsia="Times New Roman" w:cs="Times New Roman"/>
                <w:color w:val="000000"/>
              </w:rPr>
              <w:t>. 8. ed. Petrópolis: Vozes, 2006.</w:t>
            </w:r>
          </w:p>
          <w:p>
            <w:pPr>
              <w:spacing w:line="360" w:lineRule="auto"/>
              <w:ind w:left="0" w:hanging="2"/>
              <w:jc w:val="both"/>
              <w:rPr>
                <w:rFonts w:ascii="Times New Roman" w:hAnsi="Times New Roman" w:cs="Times New Roman"/>
              </w:rPr>
            </w:pPr>
            <w:r>
              <w:rPr>
                <w:rFonts w:ascii="Times New Roman" w:hAnsi="Times New Roman" w:eastAsia="Times New Roman" w:cs="Times New Roman"/>
                <w:color w:val="000000"/>
              </w:rPr>
              <w:t>James Clifford; Organização e revisão técnica de José Reginaldo Santos Gonçalves. </w:t>
            </w:r>
            <w:r>
              <w:rPr>
                <w:rFonts w:ascii="Times New Roman" w:hAnsi="Times New Roman" w:eastAsia="Times New Roman" w:cs="Times New Roman"/>
                <w:b/>
                <w:color w:val="000000"/>
              </w:rPr>
              <w:t>A experiência etnográfica</w:t>
            </w:r>
            <w:r>
              <w:rPr>
                <w:rFonts w:ascii="Times New Roman" w:hAnsi="Times New Roman" w:eastAsia="Times New Roman" w:cs="Times New Roman"/>
                <w:color w:val="000000"/>
              </w:rPr>
              <w:t>: </w:t>
            </w:r>
            <w:r>
              <w:rPr>
                <w:rFonts w:ascii="Times New Roman" w:hAnsi="Times New Roman" w:eastAsia="Times New Roman" w:cs="Times New Roman"/>
                <w:i/>
                <w:color w:val="000000"/>
              </w:rPr>
              <w:t>antropologia e literatura no século XX</w:t>
            </w:r>
            <w:r>
              <w:rPr>
                <w:rFonts w:ascii="Times New Roman" w:hAnsi="Times New Roman" w:eastAsia="Times New Roman" w:cs="Times New Roman"/>
                <w:color w:val="000000"/>
              </w:rPr>
              <w:t>.</w:t>
            </w:r>
            <w:r>
              <w:rPr>
                <w:rFonts w:ascii="Times New Roman" w:hAnsi="Times New Roman" w:eastAsia="Times New Roman" w:cs="Times New Roman"/>
                <w:color w:val="000000"/>
              </w:rPr>
              <w:br w:type="textWrapping"/>
            </w:r>
            <w:r>
              <w:rPr>
                <w:rFonts w:ascii="Times New Roman" w:hAnsi="Times New Roman" w:eastAsia="Times New Roman" w:cs="Times New Roman"/>
                <w:color w:val="000000"/>
              </w:rPr>
              <w:t>3. ed. Rio de Janeiro: UFRJ, 2008. </w:t>
            </w:r>
          </w:p>
          <w:p>
            <w:pPr>
              <w:spacing w:line="360" w:lineRule="auto"/>
              <w:ind w:left="0" w:hanging="2"/>
              <w:jc w:val="both"/>
              <w:rPr>
                <w:rFonts w:ascii="Times New Roman" w:hAnsi="Times New Roman" w:cs="Times New Roman"/>
              </w:rPr>
            </w:pPr>
            <w:r>
              <w:rPr>
                <w:rFonts w:ascii="Times New Roman" w:hAnsi="Times New Roman" w:eastAsia="Times New Roman" w:cs="Times New Roman"/>
                <w:b/>
                <w:color w:val="000000"/>
              </w:rPr>
              <w:t>E o patrimônio?</w:t>
            </w:r>
            <w:r>
              <w:rPr>
                <w:rFonts w:ascii="Times New Roman" w:hAnsi="Times New Roman" w:eastAsia="Times New Roman" w:cs="Times New Roman"/>
                <w:color w:val="000000"/>
              </w:rPr>
              <w:t xml:space="preserve"> Rio de Janeiro: Contra Capa</w:t>
            </w:r>
            <w:r>
              <w:rPr>
                <w:rFonts w:ascii="Times New Roman" w:hAnsi="Times New Roman" w:eastAsia="Times New Roman" w:cs="Times New Roman"/>
                <w:color w:val="FF0000"/>
              </w:rPr>
              <w:t>.</w:t>
            </w:r>
          </w:p>
          <w:p>
            <w:pPr>
              <w:spacing w:line="360" w:lineRule="auto"/>
              <w:ind w:left="0" w:hanging="2"/>
              <w:jc w:val="both"/>
              <w:rPr>
                <w:rFonts w:ascii="Times New Roman" w:hAnsi="Times New Roman" w:cs="Times New Roman"/>
              </w:rPr>
            </w:pPr>
            <w:r>
              <w:rPr>
                <w:rFonts w:ascii="Times New Roman" w:hAnsi="Times New Roman" w:eastAsia="Times New Roman" w:cs="Times New Roman"/>
                <w:color w:val="000000"/>
              </w:rPr>
              <w:t>Gilberto Velho. </w:t>
            </w:r>
            <w:r>
              <w:rPr>
                <w:rFonts w:ascii="Times New Roman" w:hAnsi="Times New Roman" w:eastAsia="Times New Roman" w:cs="Times New Roman"/>
                <w:b/>
                <w:color w:val="000000"/>
              </w:rPr>
              <w:t>Individualismo e cultura</w:t>
            </w:r>
            <w:r>
              <w:rPr>
                <w:rFonts w:ascii="Times New Roman" w:hAnsi="Times New Roman" w:eastAsia="Times New Roman" w:cs="Times New Roman"/>
                <w:color w:val="000000"/>
              </w:rPr>
              <w:t>: </w:t>
            </w:r>
            <w:r>
              <w:rPr>
                <w:rFonts w:ascii="Times New Roman" w:hAnsi="Times New Roman" w:eastAsia="Times New Roman" w:cs="Times New Roman"/>
                <w:i/>
                <w:color w:val="000000"/>
              </w:rPr>
              <w:t>notas para uma antropologia da sociedade contemporânea</w:t>
            </w:r>
            <w:r>
              <w:rPr>
                <w:rFonts w:ascii="Times New Roman" w:hAnsi="Times New Roman" w:eastAsia="Times New Roman" w:cs="Times New Roman"/>
                <w:color w:val="000000"/>
              </w:rPr>
              <w:t>. 8.edRio de Janeiro: J. Zahar, 2008.</w:t>
            </w:r>
          </w:p>
          <w:p>
            <w:pPr>
              <w:spacing w:line="360" w:lineRule="auto"/>
              <w:ind w:left="0" w:hanging="2"/>
              <w:jc w:val="both"/>
              <w:rPr>
                <w:rFonts w:ascii="Times New Roman" w:hAnsi="Times New Roman" w:cs="Times New Roman"/>
              </w:rPr>
            </w:pPr>
            <w:r>
              <w:rPr>
                <w:rFonts w:ascii="Times New Roman" w:hAnsi="Times New Roman" w:eastAsia="Times New Roman" w:cs="Times New Roman"/>
                <w:color w:val="000000"/>
              </w:rPr>
              <w:t>José Guilherme C. Magnani, Lilian de Lucca Torres (orgs.) </w:t>
            </w:r>
            <w:r>
              <w:rPr>
                <w:rFonts w:ascii="Times New Roman" w:hAnsi="Times New Roman" w:eastAsia="Times New Roman" w:cs="Times New Roman"/>
                <w:b/>
                <w:color w:val="000000"/>
              </w:rPr>
              <w:t>Na metrópole</w:t>
            </w:r>
            <w:r>
              <w:rPr>
                <w:rFonts w:ascii="Times New Roman" w:hAnsi="Times New Roman" w:eastAsia="Times New Roman" w:cs="Times New Roman"/>
                <w:color w:val="000000"/>
              </w:rPr>
              <w:t>: </w:t>
            </w:r>
            <w:r>
              <w:rPr>
                <w:rFonts w:ascii="Times New Roman" w:hAnsi="Times New Roman" w:eastAsia="Times New Roman" w:cs="Times New Roman"/>
                <w:i/>
                <w:color w:val="000000"/>
              </w:rPr>
              <w:t>textos de antropologia urbana</w:t>
            </w:r>
            <w:r>
              <w:rPr>
                <w:rFonts w:ascii="Times New Roman" w:hAnsi="Times New Roman" w:eastAsia="Times New Roman" w:cs="Times New Roman"/>
                <w:color w:val="000000"/>
              </w:rPr>
              <w:t>. 3. edSão Paulo: Edusp, 2008. </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Cascudo, Luís da Câmara. </w:t>
            </w:r>
            <w:r>
              <w:rPr>
                <w:rFonts w:ascii="Times New Roman" w:hAnsi="Times New Roman" w:eastAsia="Times New Roman" w:cs="Times New Roman"/>
                <w:b/>
                <w:color w:val="000000"/>
              </w:rPr>
              <w:t>Civilização e cultura : pesquisas e notas de etnografia geral </w:t>
            </w:r>
            <w:r>
              <w:rPr>
                <w:rFonts w:ascii="Times New Roman" w:hAnsi="Times New Roman" w:eastAsia="Times New Roman" w:cs="Times New Roman"/>
                <w:color w:val="000000"/>
              </w:rPr>
              <w:t>. Rio [de Janeiro] :Jose Olimpio . </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Maria Margaret Lopes. </w:t>
            </w:r>
            <w:r>
              <w:rPr>
                <w:rFonts w:ascii="Times New Roman" w:hAnsi="Times New Roman" w:eastAsia="Times New Roman" w:cs="Times New Roman"/>
                <w:b/>
                <w:color w:val="000000"/>
              </w:rPr>
              <w:t>O Brasil descobre a pesquisa cientÍfica</w:t>
            </w:r>
            <w:r>
              <w:rPr>
                <w:rFonts w:ascii="Times New Roman" w:hAnsi="Times New Roman" w:eastAsia="Times New Roman" w:cs="Times New Roman"/>
                <w:color w:val="000000"/>
              </w:rPr>
              <w:t>: </w:t>
            </w:r>
            <w:r>
              <w:rPr>
                <w:rFonts w:ascii="Times New Roman" w:hAnsi="Times New Roman" w:eastAsia="Times New Roman" w:cs="Times New Roman"/>
                <w:i/>
                <w:color w:val="000000"/>
              </w:rPr>
              <w:t>os museus e as ciencias naturais no século XIX </w:t>
            </w:r>
            <w:r>
              <w:rPr>
                <w:rFonts w:ascii="Times New Roman" w:hAnsi="Times New Roman" w:eastAsia="Times New Roman" w:cs="Times New Roman"/>
                <w:color w:val="000000"/>
              </w:rPr>
              <w:t>. São Paulo: HUCITEC, 1997.</w:t>
            </w:r>
            <w:r>
              <w:rPr>
                <w:rFonts w:ascii="Times New Roman" w:hAnsi="Times New Roman" w:eastAsia="Times New Roman" w:cs="Times New Roman"/>
                <w:color w:val="000000"/>
              </w:rPr>
              <w:br w:type="textWrapping"/>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29"/>
        <w:tblW w:w="8924" w:type="dxa"/>
        <w:tblInd w:w="-20" w:type="dxa"/>
        <w:tblLayout w:type="fixed"/>
        <w:tblCellMar>
          <w:top w:w="0" w:type="dxa"/>
          <w:left w:w="22" w:type="dxa"/>
          <w:bottom w:w="0" w:type="dxa"/>
          <w:right w:w="22" w:type="dxa"/>
        </w:tblCellMar>
      </w:tblPr>
      <w:tblGrid>
        <w:gridCol w:w="2886"/>
        <w:gridCol w:w="3122"/>
        <w:gridCol w:w="2916"/>
      </w:tblGrid>
      <w:tr>
        <w:tblPrEx>
          <w:tblCellMar>
            <w:top w:w="0" w:type="dxa"/>
            <w:left w:w="22" w:type="dxa"/>
            <w:bottom w:w="0" w:type="dxa"/>
            <w:right w:w="22" w:type="dxa"/>
          </w:tblCellMar>
        </w:tblPrEx>
        <w:trPr>
          <w:trHeight w:val="1877" w:hRule="atLeast"/>
        </w:trPr>
        <w:tc>
          <w:tcPr>
            <w:tcW w:w="6008"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Preservação e Gestão do Patrimônio Cultural</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Cultural Goods Preservation and Managing  I</w:t>
            </w:r>
          </w:p>
        </w:tc>
        <w:tc>
          <w:tcPr>
            <w:tcW w:w="2916"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MUL122</w:t>
            </w:r>
          </w:p>
        </w:tc>
      </w:tr>
      <w:tr>
        <w:tblPrEx>
          <w:tblCellMar>
            <w:top w:w="0" w:type="dxa"/>
            <w:left w:w="22" w:type="dxa"/>
            <w:bottom w:w="0" w:type="dxa"/>
            <w:right w:w="22" w:type="dxa"/>
          </w:tblCellMar>
        </w:tblPrEx>
        <w:trPr>
          <w:trHeight w:val="825" w:hRule="atLeast"/>
        </w:trPr>
        <w:tc>
          <w:tcPr>
            <w:tcW w:w="6008"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Museologia - DEMUL</w:t>
            </w:r>
          </w:p>
        </w:tc>
        <w:tc>
          <w:tcPr>
            <w:tcW w:w="291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3" w:hRule="atLeast"/>
        </w:trPr>
        <w:tc>
          <w:tcPr>
            <w:tcW w:w="2886"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46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7" w:line="36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semestral </w:t>
            </w:r>
          </w:p>
          <w:p>
            <w:pPr>
              <w:widowControl w:val="0"/>
              <w:pBdr>
                <w:top w:val="none" w:color="auto" w:sz="0" w:space="0"/>
                <w:left w:val="none" w:color="auto" w:sz="0" w:space="0"/>
                <w:bottom w:val="none" w:color="auto" w:sz="0" w:space="0"/>
                <w:right w:val="none" w:color="auto" w:sz="0" w:space="0"/>
                <w:between w:val="none" w:color="auto" w:sz="0" w:space="0"/>
              </w:pBdr>
              <w:spacing w:before="7" w:line="36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60 horas</w:t>
            </w:r>
          </w:p>
        </w:tc>
        <w:tc>
          <w:tcPr>
            <w:tcW w:w="3122"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291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00horas/aula</w:t>
            </w:r>
          </w:p>
        </w:tc>
      </w:tr>
      <w:tr>
        <w:tblPrEx>
          <w:tblCellMar>
            <w:top w:w="0" w:type="dxa"/>
            <w:left w:w="22" w:type="dxa"/>
            <w:bottom w:w="0" w:type="dxa"/>
            <w:right w:w="22" w:type="dxa"/>
          </w:tblCellMar>
        </w:tblPrEx>
        <w:trPr>
          <w:trHeight w:val="690"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Desde os anos 30 do século 20, as questões relacionadas à preservação dos patrimônios cultural e natural vêm sendo discutidas a nível mundial, através de conferências, seminários, fóruns, e sistematizadas pelas cartas, recomendações, normas e pelos compromissos que denotam a preocupação em ampliar conceitos ao escopo do que seja patrimônio cultural e seus interesses em nosso mundo contemporâneo, cada vez mais globalizado e homogeneizado. É sabido que a diversidade de culturas e patrimônios no nosso mundo é uma fonte insubstituível de informações da riqueza espiritual e intelectual da humanidade. Por conseguinte, a proteção, valorização e gestão dessa diversidade devem ser promovidas como aspectos essenciais do desenvolvimento humano. O objetivo da disciplina é abordar a problemática em questão sob as dimensões sócio-político-econômica e educativo-cultural em determinados momentos da história mundial e nacional em uma tentativa de responder à seguinte pergunta: preservar e gerir o que e para quem?</w:t>
            </w:r>
          </w:p>
        </w:tc>
      </w:tr>
      <w:tr>
        <w:tblPrEx>
          <w:tblCellMar>
            <w:top w:w="0" w:type="dxa"/>
            <w:left w:w="22" w:type="dxa"/>
            <w:bottom w:w="0" w:type="dxa"/>
            <w:right w:w="22" w:type="dxa"/>
          </w:tblCellMar>
        </w:tblPrEx>
        <w:trPr>
          <w:trHeight w:val="2956"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1.</w:t>
            </w:r>
            <w:r>
              <w:rPr>
                <w:rFonts w:ascii="Times New Roman" w:hAnsi="Times New Roman" w:eastAsia="Times New Roman" w:cs="Times New Roman"/>
                <w:color w:val="000000"/>
              </w:rPr>
              <w:tab/>
            </w:r>
            <w:r>
              <w:rPr>
                <w:rFonts w:ascii="Times New Roman" w:hAnsi="Times New Roman" w:eastAsia="Times New Roman" w:cs="Times New Roman"/>
                <w:color w:val="000000"/>
              </w:rPr>
              <w:t>A evolução do conceito de patrimônio em diferentes momentos da história da humanidade;</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2.</w:t>
            </w:r>
            <w:r>
              <w:rPr>
                <w:rFonts w:ascii="Times New Roman" w:hAnsi="Times New Roman" w:eastAsia="Times New Roman" w:cs="Times New Roman"/>
                <w:color w:val="000000"/>
              </w:rPr>
              <w:tab/>
            </w:r>
            <w:r>
              <w:rPr>
                <w:rFonts w:ascii="Times New Roman" w:hAnsi="Times New Roman" w:eastAsia="Times New Roman" w:cs="Times New Roman"/>
                <w:color w:val="000000"/>
              </w:rPr>
              <w:t xml:space="preserve">A evolução do conceito de patrimônio em diferentes momentos da história do Brasil;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3.</w:t>
            </w:r>
            <w:r>
              <w:rPr>
                <w:rFonts w:ascii="Times New Roman" w:hAnsi="Times New Roman" w:eastAsia="Times New Roman" w:cs="Times New Roman"/>
                <w:color w:val="000000"/>
              </w:rPr>
              <w:tab/>
            </w:r>
            <w:r>
              <w:rPr>
                <w:rFonts w:ascii="Times New Roman" w:hAnsi="Times New Roman" w:eastAsia="Times New Roman" w:cs="Times New Roman"/>
                <w:color w:val="000000"/>
              </w:rPr>
              <w:t>Patrimônio, Natureza e Cultura: perspectivas preservacionistas e utilização turística;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4.</w:t>
            </w:r>
            <w:r>
              <w:rPr>
                <w:rFonts w:ascii="Times New Roman" w:hAnsi="Times New Roman" w:eastAsia="Times New Roman" w:cs="Times New Roman"/>
                <w:color w:val="000000"/>
              </w:rPr>
              <w:tab/>
            </w:r>
            <w:r>
              <w:rPr>
                <w:rFonts w:ascii="Times New Roman" w:hAnsi="Times New Roman" w:eastAsia="Times New Roman" w:cs="Times New Roman"/>
                <w:color w:val="000000"/>
              </w:rPr>
              <w:t>Paisagem Cultural e Patrimônio: múltiplas abordagens;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5.</w:t>
            </w:r>
            <w:r>
              <w:rPr>
                <w:rFonts w:ascii="Times New Roman" w:hAnsi="Times New Roman" w:eastAsia="Times New Roman" w:cs="Times New Roman"/>
                <w:color w:val="000000"/>
              </w:rPr>
              <w:tab/>
            </w:r>
            <w:r>
              <w:rPr>
                <w:rFonts w:ascii="Times New Roman" w:hAnsi="Times New Roman" w:eastAsia="Times New Roman" w:cs="Times New Roman"/>
                <w:color w:val="000000"/>
              </w:rPr>
              <w:t>Cidade/ cidades: origem, evolução e imaginário;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6.</w:t>
            </w:r>
            <w:r>
              <w:rPr>
                <w:rFonts w:ascii="Times New Roman" w:hAnsi="Times New Roman" w:eastAsia="Times New Roman" w:cs="Times New Roman"/>
                <w:color w:val="000000"/>
              </w:rPr>
              <w:tab/>
            </w:r>
            <w:r>
              <w:rPr>
                <w:rFonts w:ascii="Times New Roman" w:hAnsi="Times New Roman" w:eastAsia="Times New Roman" w:cs="Times New Roman"/>
                <w:color w:val="000000"/>
              </w:rPr>
              <w:t>Patrimônio Imaterial e Biodiversidade: mecanismos de preservação;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7.</w:t>
            </w:r>
            <w:r>
              <w:rPr>
                <w:rFonts w:ascii="Times New Roman" w:hAnsi="Times New Roman" w:eastAsia="Times New Roman" w:cs="Times New Roman"/>
                <w:color w:val="000000"/>
              </w:rPr>
              <w:tab/>
            </w:r>
            <w:r>
              <w:rPr>
                <w:rFonts w:ascii="Times New Roman" w:hAnsi="Times New Roman" w:eastAsia="Times New Roman" w:cs="Times New Roman"/>
                <w:color w:val="000000"/>
              </w:rPr>
              <w:t>Visitas Técnicas: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7.1. A parques naturais e/ou culturais do município de Ouro Preto e arredores;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7.2. A cidades-patrimônio ou sítios patrimoniais do estado de Minas Gerais e de outros estados.</w:t>
            </w:r>
          </w:p>
        </w:tc>
      </w:tr>
      <w:tr>
        <w:tblPrEx>
          <w:tblCellMar>
            <w:top w:w="0" w:type="dxa"/>
            <w:left w:w="22" w:type="dxa"/>
            <w:bottom w:w="0" w:type="dxa"/>
            <w:right w:w="22" w:type="dxa"/>
          </w:tblCellMar>
        </w:tblPrEx>
        <w:trPr>
          <w:trHeight w:val="1115"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   Bibliografia básica:</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Silva, Fernando Fernandes da. </w:t>
            </w:r>
            <w:r>
              <w:rPr>
                <w:rFonts w:ascii="Times New Roman" w:hAnsi="Times New Roman" w:eastAsia="Times New Roman" w:cs="Times New Roman"/>
                <w:b/>
                <w:color w:val="000000"/>
              </w:rPr>
              <w:t>As cidades brasileiras e o patrimônio cultural da humanidade </w:t>
            </w:r>
            <w:r>
              <w:rPr>
                <w:rFonts w:ascii="Times New Roman" w:hAnsi="Times New Roman" w:eastAsia="Times New Roman" w:cs="Times New Roman"/>
                <w:color w:val="000000"/>
              </w:rPr>
              <w:t>. São Paulo : Ed. Fundação Peirópolis, EDUSP, 2012. </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coordenação e pesquisa, Wladimir Alves de Souza ; prefácio Aureliano Chaves ; [ilustrações Jimmy Scott ... et al.]. </w:t>
            </w:r>
            <w:r>
              <w:rPr>
                <w:rFonts w:ascii="Times New Roman" w:hAnsi="Times New Roman" w:eastAsia="Times New Roman" w:cs="Times New Roman"/>
                <w:b/>
                <w:color w:val="000000"/>
              </w:rPr>
              <w:t>Guia dos bens tombados </w:t>
            </w:r>
            <w:r>
              <w:rPr>
                <w:rFonts w:ascii="Times New Roman" w:hAnsi="Times New Roman" w:eastAsia="Times New Roman" w:cs="Times New Roman"/>
                <w:color w:val="000000"/>
              </w:rPr>
              <w:t>: </w:t>
            </w:r>
            <w:r>
              <w:rPr>
                <w:rFonts w:ascii="Times New Roman" w:hAnsi="Times New Roman" w:eastAsia="Times New Roman" w:cs="Times New Roman"/>
                <w:i/>
                <w:color w:val="000000"/>
              </w:rPr>
              <w:t>Minas Gerais </w:t>
            </w:r>
            <w:r>
              <w:rPr>
                <w:rFonts w:ascii="Times New Roman" w:hAnsi="Times New Roman" w:eastAsia="Times New Roman" w:cs="Times New Roman"/>
                <w:color w:val="000000"/>
              </w:rPr>
              <w:t>.</w:t>
            </w:r>
            <w:r>
              <w:rPr>
                <w:rFonts w:ascii="Times New Roman" w:hAnsi="Times New Roman" w:eastAsia="Times New Roman" w:cs="Times New Roman"/>
                <w:color w:val="000000"/>
              </w:rPr>
              <w:br w:type="textWrapping"/>
            </w:r>
            <w:r>
              <w:rPr>
                <w:rFonts w:ascii="Times New Roman" w:hAnsi="Times New Roman" w:eastAsia="Times New Roman" w:cs="Times New Roman"/>
                <w:color w:val="000000"/>
              </w:rPr>
              <w:t>2.ed. Rio de Janeiro : Expressão e Cultura, 1985. </w:t>
            </w:r>
          </w:p>
          <w:p>
            <w:pPr>
              <w:spacing w:line="360" w:lineRule="auto"/>
              <w:ind w:left="0" w:hanging="2"/>
              <w:rPr>
                <w:rFonts w:ascii="Times New Roman" w:hAnsi="Times New Roman" w:cs="Times New Roman"/>
              </w:rPr>
            </w:pPr>
            <w:r>
              <w:rPr>
                <w:rFonts w:ascii="Times New Roman" w:hAnsi="Times New Roman" w:eastAsia="Times New Roman" w:cs="Times New Roman"/>
                <w:b/>
                <w:color w:val="000000"/>
              </w:rPr>
              <w:t>Produzindo o passado: estratégias de construção do patrimônio cultural </w:t>
            </w:r>
            <w:r>
              <w:rPr>
                <w:rFonts w:ascii="Times New Roman" w:hAnsi="Times New Roman" w:eastAsia="Times New Roman" w:cs="Times New Roman"/>
                <w:color w:val="000000"/>
              </w:rPr>
              <w:t>. São Paulo: Brasiliense, 1984. </w:t>
            </w:r>
          </w:p>
          <w:p>
            <w:pPr>
              <w:spacing w:line="360" w:lineRule="auto"/>
              <w:ind w:left="0" w:hanging="2"/>
              <w:rPr>
                <w:rFonts w:ascii="Times New Roman" w:hAnsi="Times New Roman" w:cs="Times New Roman"/>
              </w:rPr>
            </w:pPr>
            <w:r>
              <w:rPr>
                <w:rFonts w:ascii="Times New Roman" w:hAnsi="Times New Roman" w:eastAsia="Times New Roman" w:cs="Times New Roman"/>
                <w:b/>
                <w:color w:val="000000"/>
              </w:rPr>
              <w:t>Bens moveis e imoveis inscritos nos livros do tombo do Instituto do PatrimônioHistórico e Artístico Nacional. </w:t>
            </w:r>
            <w:r>
              <w:rPr>
                <w:rFonts w:ascii="Times New Roman" w:hAnsi="Times New Roman" w:eastAsia="Times New Roman" w:cs="Times New Roman"/>
                <w:color w:val="000000"/>
              </w:rPr>
              <w:t xml:space="preserve"> 4. ed. Rio de Janeiro: IPHAN,</w:t>
            </w:r>
            <w:r>
              <w:rPr>
                <w:rFonts w:ascii="Times New Roman" w:hAnsi="Times New Roman" w:eastAsia="Times New Roman" w:cs="Times New Roman"/>
                <w:color w:val="000000"/>
              </w:rPr>
              <w:br w:type="textWrapping"/>
            </w:r>
            <w:r>
              <w:rPr>
                <w:rFonts w:ascii="Times New Roman" w:hAnsi="Times New Roman" w:eastAsia="Times New Roman" w:cs="Times New Roman"/>
                <w:color w:val="000000"/>
              </w:rPr>
              <w:t>1994.</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Aloisio Magalhães ; [seleção dos textos, João de Souza Leite, Joaquim Falcão e Jose Laurenio de Melo]. </w:t>
            </w:r>
            <w:r>
              <w:rPr>
                <w:rFonts w:ascii="Times New Roman" w:hAnsi="Times New Roman" w:eastAsia="Times New Roman" w:cs="Times New Roman"/>
                <w:b/>
                <w:color w:val="000000"/>
              </w:rPr>
              <w:t>E triunfo? </w:t>
            </w:r>
            <w:r>
              <w:rPr>
                <w:rFonts w:ascii="Times New Roman" w:hAnsi="Times New Roman" w:eastAsia="Times New Roman" w:cs="Times New Roman"/>
                <w:color w:val="000000"/>
              </w:rPr>
              <w:t>: </w:t>
            </w:r>
            <w:r>
              <w:rPr>
                <w:rFonts w:ascii="Times New Roman" w:hAnsi="Times New Roman" w:eastAsia="Times New Roman" w:cs="Times New Roman"/>
                <w:i/>
                <w:color w:val="000000"/>
              </w:rPr>
              <w:t>a questão dos bens culturais no Brasil </w:t>
            </w:r>
            <w:r>
              <w:rPr>
                <w:rFonts w:ascii="Times New Roman" w:hAnsi="Times New Roman" w:eastAsia="Times New Roman" w:cs="Times New Roman"/>
                <w:color w:val="000000"/>
              </w:rPr>
              <w:t>.</w:t>
            </w:r>
            <w:r>
              <w:rPr>
                <w:rFonts w:ascii="Times New Roman" w:hAnsi="Times New Roman" w:eastAsia="Times New Roman" w:cs="Times New Roman"/>
                <w:color w:val="000000"/>
              </w:rPr>
              <w:br w:type="textWrapping"/>
            </w:r>
            <w:r>
              <w:rPr>
                <w:rFonts w:ascii="Times New Roman" w:hAnsi="Times New Roman" w:eastAsia="Times New Roman" w:cs="Times New Roman"/>
                <w:color w:val="000000"/>
              </w:rPr>
              <w:t>Rio de Janeiro : Nova Fronteira.</w:t>
            </w:r>
          </w:p>
        </w:tc>
      </w:tr>
      <w:tr>
        <w:tblPrEx>
          <w:tblCellMar>
            <w:top w:w="0" w:type="dxa"/>
            <w:left w:w="22" w:type="dxa"/>
            <w:bottom w:w="0" w:type="dxa"/>
            <w:right w:w="22" w:type="dxa"/>
          </w:tblCellMar>
        </w:tblPrEx>
        <w:trPr>
          <w:trHeight w:val="1656"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Bibliografia complementar:</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GRIECO, Bettina; TEIXEIRA, Luciano; THOMPSON, Analucia (Orgs.) </w:t>
            </w:r>
            <w:r>
              <w:rPr>
                <w:rFonts w:ascii="Times New Roman" w:hAnsi="Times New Roman" w:eastAsia="Times New Roman" w:cs="Times New Roman"/>
                <w:b/>
                <w:color w:val="000000"/>
              </w:rPr>
              <w:t>Dicionário IPHAN de Patrimônio Cultural</w:t>
            </w:r>
            <w:r>
              <w:rPr>
                <w:rFonts w:ascii="Times New Roman" w:hAnsi="Times New Roman" w:eastAsia="Times New Roman" w:cs="Times New Roman"/>
                <w:color w:val="000000"/>
              </w:rPr>
              <w:t>. 2ª edição rev. e ampl. Rio de Janeiro, Brasília:</w:t>
            </w:r>
            <w:r>
              <w:rPr>
                <w:rFonts w:ascii="Times New Roman" w:hAnsi="Times New Roman" w:eastAsia="Times New Roman" w:cs="Times New Roman"/>
                <w:color w:val="000000"/>
              </w:rPr>
              <w:br w:type="textWrapping"/>
            </w:r>
            <w:r>
              <w:rPr>
                <w:rFonts w:ascii="Times New Roman" w:hAnsi="Times New Roman" w:eastAsia="Times New Roman" w:cs="Times New Roman"/>
                <w:color w:val="000000"/>
              </w:rPr>
              <w:t>IPHAN/DAF/Copedoc, 2016.</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Duarte, Regina Horta. </w:t>
            </w:r>
            <w:r>
              <w:rPr>
                <w:rFonts w:ascii="Times New Roman" w:hAnsi="Times New Roman" w:eastAsia="Times New Roman" w:cs="Times New Roman"/>
                <w:b/>
                <w:color w:val="000000"/>
              </w:rPr>
              <w:t>História &amp; natureza</w:t>
            </w:r>
            <w:r>
              <w:rPr>
                <w:rFonts w:ascii="Times New Roman" w:hAnsi="Times New Roman" w:eastAsia="Times New Roman" w:cs="Times New Roman"/>
                <w:color w:val="000000"/>
              </w:rPr>
              <w:t>. Belo Horizonte (MG): Autêntica, 2005. </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Clara Emília Sanches Monteiro de Barros Malhano. </w:t>
            </w:r>
            <w:r>
              <w:rPr>
                <w:rFonts w:ascii="Times New Roman" w:hAnsi="Times New Roman" w:eastAsia="Times New Roman" w:cs="Times New Roman"/>
                <w:b/>
                <w:color w:val="000000"/>
              </w:rPr>
              <w:t>Da materialização à legitimação do passado </w:t>
            </w:r>
            <w:r>
              <w:rPr>
                <w:rFonts w:ascii="Times New Roman" w:hAnsi="Times New Roman" w:eastAsia="Times New Roman" w:cs="Times New Roman"/>
                <w:color w:val="000000"/>
              </w:rPr>
              <w:t>: </w:t>
            </w:r>
            <w:r>
              <w:rPr>
                <w:rFonts w:ascii="Times New Roman" w:hAnsi="Times New Roman" w:eastAsia="Times New Roman" w:cs="Times New Roman"/>
                <w:i/>
                <w:color w:val="000000"/>
              </w:rPr>
              <w:t>a monumentalidade como metáfora do Estado : 1920-1945 </w:t>
            </w:r>
            <w:r>
              <w:rPr>
                <w:rFonts w:ascii="Times New Roman" w:hAnsi="Times New Roman" w:eastAsia="Times New Roman" w:cs="Times New Roman"/>
                <w:color w:val="000000"/>
              </w:rPr>
              <w:t>.</w:t>
            </w:r>
            <w:r>
              <w:rPr>
                <w:rFonts w:ascii="Times New Roman" w:hAnsi="Times New Roman" w:eastAsia="Times New Roman" w:cs="Times New Roman"/>
                <w:color w:val="000000"/>
              </w:rPr>
              <w:br w:type="textWrapping"/>
            </w:r>
            <w:r>
              <w:rPr>
                <w:rFonts w:ascii="Times New Roman" w:hAnsi="Times New Roman" w:eastAsia="Times New Roman" w:cs="Times New Roman"/>
                <w:color w:val="000000"/>
              </w:rPr>
              <w:t>Rio de Janeiro : Ed. Lucerna </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Françoise Choay; tradução João Gabriel Alves Domingos. </w:t>
            </w:r>
            <w:r>
              <w:rPr>
                <w:rFonts w:ascii="Times New Roman" w:hAnsi="Times New Roman" w:eastAsia="Times New Roman" w:cs="Times New Roman"/>
                <w:b/>
                <w:color w:val="000000"/>
              </w:rPr>
              <w:t>O patrimônio em questão</w:t>
            </w:r>
            <w:r>
              <w:rPr>
                <w:rFonts w:ascii="Times New Roman" w:hAnsi="Times New Roman" w:eastAsia="Times New Roman" w:cs="Times New Roman"/>
                <w:color w:val="000000"/>
              </w:rPr>
              <w:t>: </w:t>
            </w:r>
            <w:r>
              <w:rPr>
                <w:rFonts w:ascii="Times New Roman" w:hAnsi="Times New Roman" w:eastAsia="Times New Roman" w:cs="Times New Roman"/>
                <w:i/>
                <w:color w:val="000000"/>
              </w:rPr>
              <w:t>antologia para um combate</w:t>
            </w:r>
            <w:r>
              <w:rPr>
                <w:rFonts w:ascii="Times New Roman" w:hAnsi="Times New Roman" w:eastAsia="Times New Roman" w:cs="Times New Roman"/>
                <w:color w:val="000000"/>
              </w:rPr>
              <w:t>. Belo Horizonte (MG): Fino Traço,</w:t>
            </w:r>
            <w:r>
              <w:rPr>
                <w:rFonts w:ascii="Times New Roman" w:hAnsi="Times New Roman" w:eastAsia="Times New Roman" w:cs="Times New Roman"/>
                <w:color w:val="000000"/>
              </w:rPr>
              <w:br w:type="textWrapping"/>
            </w:r>
            <w:r>
              <w:rPr>
                <w:rFonts w:ascii="Times New Roman" w:hAnsi="Times New Roman" w:eastAsia="Times New Roman" w:cs="Times New Roman"/>
                <w:color w:val="000000"/>
              </w:rPr>
              <w:t>2011. </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Schama, Simon. </w:t>
            </w:r>
            <w:r>
              <w:rPr>
                <w:rFonts w:ascii="Times New Roman" w:hAnsi="Times New Roman" w:eastAsia="Times New Roman" w:cs="Times New Roman"/>
                <w:b/>
                <w:color w:val="000000"/>
              </w:rPr>
              <w:t>Paisagem e memoria</w:t>
            </w:r>
            <w:r>
              <w:rPr>
                <w:rFonts w:ascii="Times New Roman" w:hAnsi="Times New Roman" w:eastAsia="Times New Roman" w:cs="Times New Roman"/>
                <w:color w:val="000000"/>
              </w:rPr>
              <w:t>. São Paulo: Companhia das Letras, 1996.</w:t>
            </w:r>
          </w:p>
          <w:p>
            <w:pPr>
              <w:spacing w:line="360" w:lineRule="auto"/>
              <w:ind w:left="0" w:hanging="2"/>
              <w:rPr>
                <w:rFonts w:ascii="Times New Roman" w:hAnsi="Times New Roman" w:eastAsia="Times New Roman" w:cs="Times New Roman"/>
              </w:rPr>
            </w:pP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30"/>
        <w:tblW w:w="8924" w:type="dxa"/>
        <w:tblInd w:w="-20" w:type="dxa"/>
        <w:tblLayout w:type="fixed"/>
        <w:tblCellMar>
          <w:top w:w="0" w:type="dxa"/>
          <w:left w:w="22" w:type="dxa"/>
          <w:bottom w:w="0" w:type="dxa"/>
          <w:right w:w="22" w:type="dxa"/>
        </w:tblCellMar>
      </w:tblPr>
      <w:tblGrid>
        <w:gridCol w:w="2886"/>
        <w:gridCol w:w="3122"/>
        <w:gridCol w:w="2916"/>
      </w:tblGrid>
      <w:tr>
        <w:tblPrEx>
          <w:tblCellMar>
            <w:top w:w="0" w:type="dxa"/>
            <w:left w:w="22" w:type="dxa"/>
            <w:bottom w:w="0" w:type="dxa"/>
            <w:right w:w="22" w:type="dxa"/>
          </w:tblCellMar>
        </w:tblPrEx>
        <w:trPr>
          <w:trHeight w:val="1877" w:hRule="atLeast"/>
        </w:trPr>
        <w:tc>
          <w:tcPr>
            <w:tcW w:w="6008"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Preservação e Conservacao de Bens Culturais II</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Cultural Goods Preservation and Conservation II</w:t>
            </w:r>
          </w:p>
        </w:tc>
        <w:tc>
          <w:tcPr>
            <w:tcW w:w="2916"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MUL124</w:t>
            </w:r>
          </w:p>
        </w:tc>
      </w:tr>
      <w:tr>
        <w:tblPrEx>
          <w:tblCellMar>
            <w:top w:w="0" w:type="dxa"/>
            <w:left w:w="22" w:type="dxa"/>
            <w:bottom w:w="0" w:type="dxa"/>
            <w:right w:w="22" w:type="dxa"/>
          </w:tblCellMar>
        </w:tblPrEx>
        <w:trPr>
          <w:trHeight w:val="825" w:hRule="atLeast"/>
        </w:trPr>
        <w:tc>
          <w:tcPr>
            <w:tcW w:w="6008"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Museologia - DEMUL</w:t>
            </w:r>
          </w:p>
        </w:tc>
        <w:tc>
          <w:tcPr>
            <w:tcW w:w="291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3" w:hRule="atLeast"/>
        </w:trPr>
        <w:tc>
          <w:tcPr>
            <w:tcW w:w="2886"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46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7" w:line="36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semestral </w:t>
            </w:r>
          </w:p>
          <w:p>
            <w:pPr>
              <w:widowControl w:val="0"/>
              <w:pBdr>
                <w:top w:val="none" w:color="auto" w:sz="0" w:space="0"/>
                <w:left w:val="none" w:color="auto" w:sz="0" w:space="0"/>
                <w:bottom w:val="none" w:color="auto" w:sz="0" w:space="0"/>
                <w:right w:val="none" w:color="auto" w:sz="0" w:space="0"/>
                <w:between w:val="none" w:color="auto" w:sz="0" w:space="0"/>
              </w:pBdr>
              <w:spacing w:before="7" w:line="36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60 horas</w:t>
            </w:r>
          </w:p>
        </w:tc>
        <w:tc>
          <w:tcPr>
            <w:tcW w:w="3122"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02 horas/aula</w:t>
            </w:r>
          </w:p>
        </w:tc>
        <w:tc>
          <w:tcPr>
            <w:tcW w:w="291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02 horas/aula</w:t>
            </w:r>
          </w:p>
        </w:tc>
      </w:tr>
      <w:tr>
        <w:tblPrEx>
          <w:tblCellMar>
            <w:top w:w="0" w:type="dxa"/>
            <w:left w:w="22" w:type="dxa"/>
            <w:bottom w:w="0" w:type="dxa"/>
            <w:right w:w="22" w:type="dxa"/>
          </w:tblCellMar>
        </w:tblPrEx>
        <w:trPr>
          <w:trHeight w:val="1399"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A disciplina Preservação e Conservação de Bens Culturais II pretende apresentar ao aluno de museologia ações de preservação, assim como reforçar o entendimento sobre os materiais que constituem o bem cultural e seus agentes de degradação. Concentraremos esforços na preparação e execução dos manuais de diagnóstico de conservação e gerenciamento de risco. Tais manuais são, atualmente, aplicados por cientistas da conservação, juntamente com uma equipe interdisciplinar, em trabalhos de preservação e conservação. Acreditamos que estas metodologias são ferramentas fundamentais para as atividades de gestão e política do patrimônio cultural.</w:t>
            </w:r>
          </w:p>
        </w:tc>
      </w:tr>
      <w:tr>
        <w:tblPrEx>
          <w:tblCellMar>
            <w:top w:w="0" w:type="dxa"/>
            <w:left w:w="22" w:type="dxa"/>
            <w:bottom w:w="0" w:type="dxa"/>
            <w:right w:w="22" w:type="dxa"/>
          </w:tblCellMar>
        </w:tblPrEx>
        <w:trPr>
          <w:trHeight w:val="1763"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1.</w:t>
            </w:r>
            <w:r>
              <w:rPr>
                <w:rFonts w:ascii="Times New Roman" w:hAnsi="Times New Roman" w:eastAsia="Times New Roman" w:cs="Times New Roman"/>
                <w:color w:val="000000"/>
              </w:rPr>
              <w:tab/>
            </w:r>
            <w:r>
              <w:rPr>
                <w:rFonts w:ascii="Times New Roman" w:hAnsi="Times New Roman" w:eastAsia="Times New Roman" w:cs="Times New Roman"/>
                <w:color w:val="000000"/>
              </w:rPr>
              <w:t>Conceitos e critérios da conservação preventiva do bem cultural</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2.</w:t>
            </w:r>
            <w:r>
              <w:rPr>
                <w:rFonts w:ascii="Times New Roman" w:hAnsi="Times New Roman" w:eastAsia="Times New Roman" w:cs="Times New Roman"/>
                <w:color w:val="000000"/>
              </w:rPr>
              <w:tab/>
            </w:r>
            <w:r>
              <w:rPr>
                <w:rFonts w:ascii="Times New Roman" w:hAnsi="Times New Roman" w:eastAsia="Times New Roman" w:cs="Times New Roman"/>
                <w:color w:val="000000"/>
              </w:rPr>
              <w:t>Reconhecimento dos materiais que compõem um acervo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3.</w:t>
            </w:r>
            <w:r>
              <w:rPr>
                <w:rFonts w:ascii="Times New Roman" w:hAnsi="Times New Roman" w:eastAsia="Times New Roman" w:cs="Times New Roman"/>
                <w:color w:val="000000"/>
              </w:rPr>
              <w:tab/>
            </w:r>
            <w:r>
              <w:rPr>
                <w:rFonts w:ascii="Times New Roman" w:hAnsi="Times New Roman" w:eastAsia="Times New Roman" w:cs="Times New Roman"/>
                <w:color w:val="000000"/>
              </w:rPr>
              <w:t>Reconhecimento dos agentes de degradação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4.</w:t>
            </w:r>
            <w:r>
              <w:rPr>
                <w:rFonts w:ascii="Times New Roman" w:hAnsi="Times New Roman" w:eastAsia="Times New Roman" w:cs="Times New Roman"/>
                <w:color w:val="000000"/>
              </w:rPr>
              <w:tab/>
            </w:r>
            <w:r>
              <w:rPr>
                <w:rFonts w:ascii="Times New Roman" w:hAnsi="Times New Roman" w:eastAsia="Times New Roman" w:cs="Times New Roman"/>
                <w:color w:val="000000"/>
              </w:rPr>
              <w:t>Objetivos e metodologia do diagnóstico de conservação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5.</w:t>
            </w:r>
            <w:r>
              <w:rPr>
                <w:rFonts w:ascii="Times New Roman" w:hAnsi="Times New Roman" w:eastAsia="Times New Roman" w:cs="Times New Roman"/>
                <w:color w:val="000000"/>
              </w:rPr>
              <w:tab/>
            </w:r>
            <w:r>
              <w:rPr>
                <w:rFonts w:ascii="Times New Roman" w:hAnsi="Times New Roman" w:eastAsia="Times New Roman" w:cs="Times New Roman"/>
                <w:color w:val="000000"/>
              </w:rPr>
              <w:t xml:space="preserve">Diagnóstico de conservação aplicado em museus de climas quentes e úmidos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6.</w:t>
            </w:r>
            <w:r>
              <w:rPr>
                <w:rFonts w:ascii="Times New Roman" w:hAnsi="Times New Roman" w:eastAsia="Times New Roman" w:cs="Times New Roman"/>
                <w:color w:val="000000"/>
              </w:rPr>
              <w:tab/>
            </w:r>
            <w:r>
              <w:rPr>
                <w:rFonts w:ascii="Times New Roman" w:hAnsi="Times New Roman" w:eastAsia="Times New Roman" w:cs="Times New Roman"/>
                <w:color w:val="000000"/>
              </w:rPr>
              <w:t>Objetivos e metodologia do gerenciamento de riscos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7.</w:t>
            </w:r>
            <w:r>
              <w:rPr>
                <w:rFonts w:ascii="Times New Roman" w:hAnsi="Times New Roman" w:eastAsia="Times New Roman" w:cs="Times New Roman"/>
                <w:color w:val="000000"/>
              </w:rPr>
              <w:tab/>
            </w:r>
            <w:r>
              <w:rPr>
                <w:rFonts w:ascii="Times New Roman" w:hAnsi="Times New Roman" w:eastAsia="Times New Roman" w:cs="Times New Roman"/>
                <w:color w:val="000000"/>
              </w:rPr>
              <w:t>Gerenciamento de risco aplicado em museus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8.</w:t>
            </w:r>
            <w:r>
              <w:rPr>
                <w:rFonts w:ascii="Times New Roman" w:hAnsi="Times New Roman" w:eastAsia="Times New Roman" w:cs="Times New Roman"/>
                <w:color w:val="000000"/>
              </w:rPr>
              <w:tab/>
            </w:r>
            <w:r>
              <w:rPr>
                <w:rFonts w:ascii="Times New Roman" w:hAnsi="Times New Roman" w:eastAsia="Times New Roman" w:cs="Times New Roman"/>
                <w:color w:val="000000"/>
              </w:rPr>
              <w:t>Visitas Técnicas aos Museus para observação das técnicas de Conservação e Restauração.</w:t>
            </w:r>
          </w:p>
        </w:tc>
      </w:tr>
      <w:tr>
        <w:tblPrEx>
          <w:tblCellMar>
            <w:top w:w="0" w:type="dxa"/>
            <w:left w:w="22" w:type="dxa"/>
            <w:bottom w:w="0" w:type="dxa"/>
            <w:right w:w="22" w:type="dxa"/>
          </w:tblCellMar>
        </w:tblPrEx>
        <w:trPr>
          <w:trHeight w:val="1115"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    Bibliografia básica:</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Ono, Rosária. </w:t>
            </w:r>
            <w:r>
              <w:rPr>
                <w:rFonts w:ascii="Times New Roman" w:hAnsi="Times New Roman" w:eastAsia="Times New Roman" w:cs="Times New Roman"/>
                <w:b/>
                <w:color w:val="000000"/>
              </w:rPr>
              <w:t>Segurança em museus</w:t>
            </w:r>
            <w:r>
              <w:rPr>
                <w:rFonts w:ascii="Times New Roman" w:hAnsi="Times New Roman" w:eastAsia="Times New Roman" w:cs="Times New Roman"/>
                <w:color w:val="000000"/>
              </w:rPr>
              <w:t>. Brasília (DF): IBRAM, 2011. </w:t>
            </w:r>
          </w:p>
        </w:tc>
      </w:tr>
      <w:tr>
        <w:tblPrEx>
          <w:tblCellMar>
            <w:top w:w="0" w:type="dxa"/>
            <w:left w:w="22" w:type="dxa"/>
            <w:bottom w:w="0" w:type="dxa"/>
            <w:right w:w="22" w:type="dxa"/>
          </w:tblCellMar>
        </w:tblPrEx>
        <w:trPr>
          <w:trHeight w:val="1656"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Bibliografia complementar:</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BRUSADIN, Lia Sipaúba Proença (et. al.) </w:t>
            </w:r>
            <w:r>
              <w:rPr>
                <w:rFonts w:ascii="Times New Roman" w:hAnsi="Times New Roman" w:eastAsia="Times New Roman" w:cs="Times New Roman"/>
                <w:b/>
                <w:color w:val="000000"/>
              </w:rPr>
              <w:t>O Chumbo na Arte Escultórica</w:t>
            </w:r>
            <w:r>
              <w:rPr>
                <w:rFonts w:ascii="Times New Roman" w:hAnsi="Times New Roman" w:eastAsia="Times New Roman" w:cs="Times New Roman"/>
                <w:color w:val="000000"/>
              </w:rPr>
              <w:t>: </w:t>
            </w:r>
            <w:r>
              <w:rPr>
                <w:rFonts w:ascii="Times New Roman" w:hAnsi="Times New Roman" w:eastAsia="Times New Roman" w:cs="Times New Roman"/>
                <w:i/>
                <w:color w:val="000000"/>
              </w:rPr>
              <w:t>a análises científicas das máscaras metálicas dos Cristos da Paixão do Carmo de Ouro Preto(MG)</w:t>
            </w:r>
            <w:r>
              <w:rPr>
                <w:rFonts w:ascii="Times New Roman" w:hAnsi="Times New Roman" w:eastAsia="Times New Roman" w:cs="Times New Roman"/>
                <w:color w:val="000000"/>
              </w:rPr>
              <w:t>.</w:t>
            </w:r>
            <w:r>
              <w:rPr>
                <w:rFonts w:ascii="Times New Roman" w:hAnsi="Times New Roman" w:eastAsia="Times New Roman" w:cs="Times New Roman"/>
                <w:color w:val="000000"/>
              </w:rPr>
              <w:br w:type="textWrapping"/>
            </w:r>
            <w:r>
              <w:rPr>
                <w:rFonts w:ascii="Times New Roman" w:hAnsi="Times New Roman" w:eastAsia="Times New Roman" w:cs="Times New Roman"/>
                <w:color w:val="000000"/>
              </w:rPr>
              <w:t>v. 1, n. 2. Belo Horizonte: Patrimonium, 2015. </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TEIXEIRA, Lia Canola; GHIZONI, Vanilde Rohling </w:t>
            </w:r>
            <w:r>
              <w:rPr>
                <w:rFonts w:ascii="Times New Roman" w:hAnsi="Times New Roman" w:eastAsia="Times New Roman" w:cs="Times New Roman"/>
                <w:b/>
                <w:color w:val="000000"/>
              </w:rPr>
              <w:t>Conservação Preventiva de Acervos</w:t>
            </w:r>
            <w:r>
              <w:rPr>
                <w:rFonts w:ascii="Times New Roman" w:hAnsi="Times New Roman" w:eastAsia="Times New Roman" w:cs="Times New Roman"/>
                <w:color w:val="000000"/>
              </w:rPr>
              <w:t>: </w:t>
            </w:r>
            <w:r>
              <w:rPr>
                <w:rFonts w:ascii="Times New Roman" w:hAnsi="Times New Roman" w:eastAsia="Times New Roman" w:cs="Times New Roman"/>
                <w:i/>
                <w:color w:val="000000"/>
              </w:rPr>
              <w:t>Coleção Estudos Museológicos</w:t>
            </w:r>
            <w:r>
              <w:rPr>
                <w:rFonts w:ascii="Times New Roman" w:hAnsi="Times New Roman" w:eastAsia="Times New Roman" w:cs="Times New Roman"/>
                <w:color w:val="000000"/>
              </w:rPr>
              <w:t>. - Volume 1. Florianópolis:FCC Edições, 2012. </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Luiz Antônio Cruz Souza. </w:t>
            </w:r>
            <w:r>
              <w:rPr>
                <w:rFonts w:ascii="Times New Roman" w:hAnsi="Times New Roman" w:eastAsia="Times New Roman" w:cs="Times New Roman"/>
                <w:b/>
                <w:color w:val="000000"/>
              </w:rPr>
              <w:t>Evolução da tecnologia de policromia nas esculturas em Minas Gerais no século XVIII</w:t>
            </w:r>
            <w:r>
              <w:rPr>
                <w:rFonts w:ascii="Times New Roman" w:hAnsi="Times New Roman" w:eastAsia="Times New Roman" w:cs="Times New Roman"/>
                <w:color w:val="000000"/>
              </w:rPr>
              <w:t>: </w:t>
            </w:r>
            <w:r>
              <w:rPr>
                <w:rFonts w:ascii="Times New Roman" w:hAnsi="Times New Roman" w:eastAsia="Times New Roman" w:cs="Times New Roman"/>
                <w:i/>
                <w:color w:val="000000"/>
              </w:rPr>
              <w:t>o interior inacabado da Igreja Matriz de Nossa Senhora da Conçeição do Mato Dentro, um monumento exemplar</w:t>
            </w:r>
            <w:r>
              <w:rPr>
                <w:rFonts w:ascii="Times New Roman" w:hAnsi="Times New Roman" w:eastAsia="Times New Roman" w:cs="Times New Roman"/>
                <w:color w:val="000000"/>
              </w:rPr>
              <w:t>. [S.l.]: s.n., 19--].</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França, Junia Lessa. </w:t>
            </w:r>
            <w:r>
              <w:rPr>
                <w:rFonts w:ascii="Times New Roman" w:hAnsi="Times New Roman" w:eastAsia="Times New Roman" w:cs="Times New Roman"/>
                <w:b/>
                <w:color w:val="000000"/>
              </w:rPr>
              <w:t>Manual para normalização de publicações técnico-científicas</w:t>
            </w:r>
            <w:r>
              <w:rPr>
                <w:rFonts w:ascii="Times New Roman" w:hAnsi="Times New Roman" w:eastAsia="Times New Roman" w:cs="Times New Roman"/>
                <w:color w:val="000000"/>
              </w:rPr>
              <w:t>. 9. ed. Belo Horizonte (MG): Ed. UFMG, 2013. </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Marylka Mendes, Antonio Carlos Nunes Baptista, organizadores. </w:t>
            </w:r>
            <w:r>
              <w:rPr>
                <w:rFonts w:ascii="Times New Roman" w:hAnsi="Times New Roman" w:eastAsia="Times New Roman" w:cs="Times New Roman"/>
                <w:b/>
                <w:color w:val="000000"/>
              </w:rPr>
              <w:t>Restauração</w:t>
            </w:r>
            <w:r>
              <w:rPr>
                <w:rFonts w:ascii="Times New Roman" w:hAnsi="Times New Roman" w:eastAsia="Times New Roman" w:cs="Times New Roman"/>
                <w:color w:val="000000"/>
              </w:rPr>
              <w:t>: </w:t>
            </w:r>
            <w:r>
              <w:rPr>
                <w:rFonts w:ascii="Times New Roman" w:hAnsi="Times New Roman" w:eastAsia="Times New Roman" w:cs="Times New Roman"/>
                <w:i/>
                <w:color w:val="000000"/>
              </w:rPr>
              <w:t>ciência e arte</w:t>
            </w:r>
            <w:r>
              <w:rPr>
                <w:rFonts w:ascii="Times New Roman" w:hAnsi="Times New Roman" w:eastAsia="Times New Roman" w:cs="Times New Roman"/>
                <w:color w:val="000000"/>
              </w:rPr>
              <w:t>. 3. ed. Rio de janeiro: UFRJ </w:t>
            </w:r>
          </w:p>
          <w:p>
            <w:pPr>
              <w:spacing w:line="360" w:lineRule="auto"/>
              <w:ind w:left="0" w:hanging="2"/>
              <w:rPr>
                <w:rFonts w:ascii="Times New Roman" w:hAnsi="Times New Roman" w:eastAsia="Times New Roman" w:cs="Times New Roman"/>
              </w:rPr>
            </w:pP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31"/>
        <w:tblW w:w="8924" w:type="dxa"/>
        <w:tblInd w:w="-20" w:type="dxa"/>
        <w:tblLayout w:type="fixed"/>
        <w:tblCellMar>
          <w:top w:w="0" w:type="dxa"/>
          <w:left w:w="22" w:type="dxa"/>
          <w:bottom w:w="0" w:type="dxa"/>
          <w:right w:w="22" w:type="dxa"/>
        </w:tblCellMar>
      </w:tblPr>
      <w:tblGrid>
        <w:gridCol w:w="2886"/>
        <w:gridCol w:w="3122"/>
        <w:gridCol w:w="2916"/>
      </w:tblGrid>
      <w:tr>
        <w:tblPrEx>
          <w:tblCellMar>
            <w:top w:w="0" w:type="dxa"/>
            <w:left w:w="22" w:type="dxa"/>
            <w:bottom w:w="0" w:type="dxa"/>
            <w:right w:w="22" w:type="dxa"/>
          </w:tblCellMar>
        </w:tblPrEx>
        <w:trPr>
          <w:trHeight w:val="1877" w:hRule="atLeast"/>
        </w:trPr>
        <w:tc>
          <w:tcPr>
            <w:tcW w:w="6008"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Documentacao e Informacao em Museus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Nome do Componente Curricular em inglês: Museums Documentation and Information </w:t>
            </w:r>
          </w:p>
        </w:tc>
        <w:tc>
          <w:tcPr>
            <w:tcW w:w="2916"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MUL125</w:t>
            </w:r>
          </w:p>
        </w:tc>
      </w:tr>
      <w:tr>
        <w:tblPrEx>
          <w:tblCellMar>
            <w:top w:w="0" w:type="dxa"/>
            <w:left w:w="22" w:type="dxa"/>
            <w:bottom w:w="0" w:type="dxa"/>
            <w:right w:w="22" w:type="dxa"/>
          </w:tblCellMar>
        </w:tblPrEx>
        <w:trPr>
          <w:trHeight w:val="825" w:hRule="atLeast"/>
        </w:trPr>
        <w:tc>
          <w:tcPr>
            <w:tcW w:w="6008"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Museologia - DEMUL</w:t>
            </w:r>
          </w:p>
        </w:tc>
        <w:tc>
          <w:tcPr>
            <w:tcW w:w="291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3" w:hRule="atLeast"/>
        </w:trPr>
        <w:tc>
          <w:tcPr>
            <w:tcW w:w="2886"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46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7" w:line="36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semestral </w:t>
            </w:r>
          </w:p>
          <w:p>
            <w:pPr>
              <w:widowControl w:val="0"/>
              <w:pBdr>
                <w:top w:val="none" w:color="auto" w:sz="0" w:space="0"/>
                <w:left w:val="none" w:color="auto" w:sz="0" w:space="0"/>
                <w:bottom w:val="none" w:color="auto" w:sz="0" w:space="0"/>
                <w:right w:val="none" w:color="auto" w:sz="0" w:space="0"/>
                <w:between w:val="none" w:color="auto" w:sz="0" w:space="0"/>
              </w:pBdr>
              <w:spacing w:before="7" w:line="36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60 horas</w:t>
            </w:r>
          </w:p>
        </w:tc>
        <w:tc>
          <w:tcPr>
            <w:tcW w:w="3122"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291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00 horas/aula</w:t>
            </w:r>
          </w:p>
        </w:tc>
      </w:tr>
      <w:tr>
        <w:tblPrEx>
          <w:tblCellMar>
            <w:top w:w="0" w:type="dxa"/>
            <w:left w:w="22" w:type="dxa"/>
            <w:bottom w:w="0" w:type="dxa"/>
            <w:right w:w="22" w:type="dxa"/>
          </w:tblCellMar>
        </w:tblPrEx>
        <w:trPr>
          <w:trHeight w:val="1650"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A importância da documentação museológica. Documentação e pesquisa nos museus. Processamento técnico, preservação e gestão da informação. Inventário e catalogação. A construção de redes de informação. Política de documentação: da aquisição ao descarte.</w:t>
            </w:r>
          </w:p>
        </w:tc>
      </w:tr>
      <w:tr>
        <w:tblPrEx>
          <w:tblCellMar>
            <w:top w:w="0" w:type="dxa"/>
            <w:left w:w="22" w:type="dxa"/>
            <w:bottom w:w="0" w:type="dxa"/>
            <w:right w:w="22" w:type="dxa"/>
          </w:tblCellMar>
        </w:tblPrEx>
        <w:trPr>
          <w:trHeight w:val="1275"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UNIDADE 1: Conceitos Iniciais.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1.1  Ampliação do conceito de acervo.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rPr>
              <w:t>1</w:t>
            </w:r>
            <w:r>
              <w:rPr>
                <w:rFonts w:ascii="Times New Roman" w:hAnsi="Times New Roman" w:eastAsia="Times New Roman" w:cs="Times New Roman"/>
                <w:color w:val="000000"/>
              </w:rPr>
              <w:t xml:space="preserve">.2 Campo teórico: Definição de Documentação; Definição de Informação; Conceituação das dimensões intrínsecas e extrínsecas dos objetos;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UNIDADE 2: Transformação do objeto/acervo em </w:t>
            </w:r>
            <w:r>
              <w:rPr>
                <w:rFonts w:ascii="Times New Roman" w:hAnsi="Times New Roman" w:eastAsia="Times New Roman" w:cs="Times New Roman"/>
              </w:rPr>
              <w:t>informação.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rPr>
              <w:t>2</w:t>
            </w:r>
            <w:r>
              <w:rPr>
                <w:rFonts w:ascii="Times New Roman" w:hAnsi="Times New Roman" w:eastAsia="Times New Roman" w:cs="Times New Roman"/>
                <w:color w:val="000000"/>
              </w:rPr>
              <w:t>.1 O método de documentação e seus sistemas.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2.2  Definição dos Instrumentos e Procedimentos de Documentação: inventário e catalogação.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rPr>
              <w:t>2</w:t>
            </w:r>
            <w:r>
              <w:rPr>
                <w:rFonts w:ascii="Times New Roman" w:hAnsi="Times New Roman" w:eastAsia="Times New Roman" w:cs="Times New Roman"/>
                <w:color w:val="000000"/>
              </w:rPr>
              <w:t>.</w:t>
            </w:r>
            <w:r>
              <w:rPr>
                <w:rFonts w:ascii="Times New Roman" w:hAnsi="Times New Roman" w:eastAsia="Times New Roman" w:cs="Times New Roman"/>
              </w:rPr>
              <w:t>3</w:t>
            </w:r>
            <w:r>
              <w:rPr>
                <w:rFonts w:ascii="Times New Roman" w:hAnsi="Times New Roman" w:eastAsia="Times New Roman" w:cs="Times New Roman"/>
                <w:color w:val="000000"/>
              </w:rPr>
              <w:t xml:space="preserve"> Trabalho com acervos materiais e políticas de aquisição: estudos de caso.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UNIDADE 3: Relações da documentação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r>
              <w:rPr>
                <w:rFonts w:ascii="Times New Roman" w:hAnsi="Times New Roman" w:eastAsia="Times New Roman" w:cs="Times New Roman"/>
              </w:rPr>
              <w:t>3</w:t>
            </w:r>
            <w:r>
              <w:rPr>
                <w:rFonts w:ascii="Times New Roman" w:hAnsi="Times New Roman" w:eastAsia="Times New Roman" w:cs="Times New Roman"/>
                <w:color w:val="000000"/>
              </w:rPr>
              <w:t>.1 Formas de pesquisa a partir da documentação.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rPr>
              <w:t>3</w:t>
            </w:r>
            <w:r>
              <w:rPr>
                <w:rFonts w:ascii="Times New Roman" w:hAnsi="Times New Roman" w:eastAsia="Times New Roman" w:cs="Times New Roman"/>
                <w:color w:val="000000"/>
              </w:rPr>
              <w:t>.2 Os públicos atingidos pela documentação.</w:t>
            </w:r>
          </w:p>
        </w:tc>
      </w:tr>
      <w:tr>
        <w:tblPrEx>
          <w:tblCellMar>
            <w:top w:w="0" w:type="dxa"/>
            <w:left w:w="22" w:type="dxa"/>
            <w:bottom w:w="0" w:type="dxa"/>
            <w:right w:w="22" w:type="dxa"/>
          </w:tblCellMar>
        </w:tblPrEx>
        <w:trPr>
          <w:trHeight w:val="1115"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    Bibliografia básica:</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Blom, Philipp. </w:t>
            </w:r>
            <w:r>
              <w:rPr>
                <w:rFonts w:ascii="Times New Roman" w:hAnsi="Times New Roman" w:eastAsia="Times New Roman" w:cs="Times New Roman"/>
                <w:b/>
                <w:color w:val="000000"/>
              </w:rPr>
              <w:t>Ter e manter</w:t>
            </w:r>
            <w:r>
              <w:rPr>
                <w:rFonts w:ascii="Times New Roman" w:hAnsi="Times New Roman" w:eastAsia="Times New Roman" w:cs="Times New Roman"/>
                <w:color w:val="000000"/>
              </w:rPr>
              <w:t>. Rio de Janeiro: Record, 2003. </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Baudrillard, Jean. </w:t>
            </w:r>
            <w:r>
              <w:rPr>
                <w:rFonts w:ascii="Times New Roman" w:hAnsi="Times New Roman" w:eastAsia="Times New Roman" w:cs="Times New Roman"/>
                <w:b/>
                <w:color w:val="000000"/>
              </w:rPr>
              <w:t>O sistema dos objetos</w:t>
            </w:r>
            <w:r>
              <w:rPr>
                <w:rFonts w:ascii="Times New Roman" w:hAnsi="Times New Roman" w:eastAsia="Times New Roman" w:cs="Times New Roman"/>
                <w:color w:val="000000"/>
              </w:rPr>
              <w:t>. 5. ed. São Paulo: Perspectiva, 2012. </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Burke, Robert B. </w:t>
            </w:r>
            <w:r>
              <w:rPr>
                <w:rFonts w:ascii="Times New Roman" w:hAnsi="Times New Roman" w:eastAsia="Times New Roman" w:cs="Times New Roman"/>
                <w:b/>
                <w:color w:val="000000"/>
              </w:rPr>
              <w:t>Manual de segurança basica de museus</w:t>
            </w:r>
            <w:r>
              <w:rPr>
                <w:rFonts w:ascii="Times New Roman" w:hAnsi="Times New Roman" w:eastAsia="Times New Roman" w:cs="Times New Roman"/>
                <w:color w:val="000000"/>
              </w:rPr>
              <w:t>. Rio de Janeiro: FUNENSEG </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Giraudy, Daniele. </w:t>
            </w:r>
            <w:r>
              <w:rPr>
                <w:rFonts w:ascii="Times New Roman" w:hAnsi="Times New Roman" w:eastAsia="Times New Roman" w:cs="Times New Roman"/>
                <w:b/>
                <w:color w:val="000000"/>
              </w:rPr>
              <w:t>O museu e a vida</w:t>
            </w:r>
            <w:r>
              <w:rPr>
                <w:rFonts w:ascii="Times New Roman" w:hAnsi="Times New Roman" w:eastAsia="Times New Roman" w:cs="Times New Roman"/>
                <w:color w:val="000000"/>
              </w:rPr>
              <w:t>. Porto Alegre, [RS]: Instituto Estadual do Livro </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Peter Burke; tradução: Plínio Dentzien. </w:t>
            </w:r>
            <w:r>
              <w:rPr>
                <w:rFonts w:ascii="Times New Roman" w:hAnsi="Times New Roman" w:eastAsia="Times New Roman" w:cs="Times New Roman"/>
                <w:b/>
                <w:color w:val="000000"/>
              </w:rPr>
              <w:t>Uma história social do conhecimento</w:t>
            </w:r>
            <w:r>
              <w:rPr>
                <w:rFonts w:ascii="Times New Roman" w:hAnsi="Times New Roman" w:eastAsia="Times New Roman" w:cs="Times New Roman"/>
                <w:color w:val="000000"/>
              </w:rPr>
              <w:t>: </w:t>
            </w:r>
            <w:r>
              <w:rPr>
                <w:rFonts w:ascii="Times New Roman" w:hAnsi="Times New Roman" w:eastAsia="Times New Roman" w:cs="Times New Roman"/>
                <w:i/>
                <w:color w:val="000000"/>
              </w:rPr>
              <w:t>de Gutenberg a Diderot</w:t>
            </w:r>
            <w:r>
              <w:rPr>
                <w:rFonts w:ascii="Times New Roman" w:hAnsi="Times New Roman" w:eastAsia="Times New Roman" w:cs="Times New Roman"/>
                <w:color w:val="000000"/>
              </w:rPr>
              <w:t>. Rio de Janeiro: Jorge Zahar, 2003.</w:t>
            </w:r>
          </w:p>
          <w:p>
            <w:pPr>
              <w:spacing w:line="360" w:lineRule="auto"/>
              <w:ind w:left="0" w:hanging="2"/>
              <w:rPr>
                <w:rFonts w:ascii="Times New Roman" w:hAnsi="Times New Roman" w:eastAsia="Times New Roman" w:cs="Times New Roman"/>
              </w:rPr>
            </w:pPr>
          </w:p>
        </w:tc>
      </w:tr>
      <w:tr>
        <w:tblPrEx>
          <w:tblCellMar>
            <w:top w:w="0" w:type="dxa"/>
            <w:left w:w="22" w:type="dxa"/>
            <w:bottom w:w="0" w:type="dxa"/>
            <w:right w:w="22" w:type="dxa"/>
          </w:tblCellMar>
        </w:tblPrEx>
        <w:trPr>
          <w:trHeight w:val="1656"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Bibliografia complementar:</w:t>
            </w:r>
          </w:p>
          <w:p>
            <w:pPr>
              <w:spacing w:line="360" w:lineRule="auto"/>
              <w:ind w:left="0" w:hanging="2"/>
              <w:jc w:val="both"/>
              <w:rPr>
                <w:rFonts w:ascii="Times New Roman" w:hAnsi="Times New Roman" w:cs="Times New Roman"/>
              </w:rPr>
            </w:pPr>
            <w:r>
              <w:rPr>
                <w:rFonts w:ascii="Times New Roman" w:hAnsi="Times New Roman" w:eastAsia="Times New Roman" w:cs="Times New Roman"/>
                <w:color w:val="000000"/>
              </w:rPr>
              <w:t>CACALY, Serge et LE COADIC, Yves François (org.) </w:t>
            </w:r>
            <w:r>
              <w:rPr>
                <w:rFonts w:ascii="Times New Roman" w:hAnsi="Times New Roman" w:eastAsia="Times New Roman" w:cs="Times New Roman"/>
                <w:b/>
                <w:color w:val="000000"/>
              </w:rPr>
              <w:t>Dictionnaire de l’Information</w:t>
            </w:r>
            <w:r>
              <w:rPr>
                <w:rFonts w:ascii="Times New Roman" w:hAnsi="Times New Roman" w:eastAsia="Times New Roman" w:cs="Times New Roman"/>
                <w:color w:val="000000"/>
              </w:rPr>
              <w:t>. Paris: Armand Colin, 2008. </w:t>
            </w:r>
          </w:p>
          <w:p>
            <w:pPr>
              <w:spacing w:line="360" w:lineRule="auto"/>
              <w:ind w:left="0" w:hanging="2"/>
              <w:jc w:val="both"/>
              <w:rPr>
                <w:rFonts w:ascii="Times New Roman" w:hAnsi="Times New Roman" w:cs="Times New Roman"/>
              </w:rPr>
            </w:pPr>
            <w:r>
              <w:rPr>
                <w:rFonts w:ascii="Times New Roman" w:hAnsi="Times New Roman" w:eastAsia="Times New Roman" w:cs="Times New Roman"/>
                <w:color w:val="000000"/>
              </w:rPr>
              <w:t>GUINCHAT, Claire e MENOU, Michel </w:t>
            </w:r>
            <w:r>
              <w:rPr>
                <w:rFonts w:ascii="Times New Roman" w:hAnsi="Times New Roman" w:eastAsia="Times New Roman" w:cs="Times New Roman"/>
                <w:b/>
                <w:color w:val="000000"/>
              </w:rPr>
              <w:t>Introdução Geral às ciências e técnicas da informação e documentação</w:t>
            </w:r>
            <w:r>
              <w:rPr>
                <w:rFonts w:ascii="Times New Roman" w:hAnsi="Times New Roman" w:eastAsia="Times New Roman" w:cs="Times New Roman"/>
                <w:color w:val="000000"/>
              </w:rPr>
              <w:t>. Brasília: IBICT, 1994. </w:t>
            </w:r>
          </w:p>
          <w:p>
            <w:pPr>
              <w:spacing w:line="360" w:lineRule="auto"/>
              <w:ind w:left="0" w:hanging="2"/>
              <w:jc w:val="both"/>
              <w:rPr>
                <w:rFonts w:ascii="Times New Roman" w:hAnsi="Times New Roman" w:cs="Times New Roman"/>
              </w:rPr>
            </w:pPr>
            <w:r>
              <w:rPr>
                <w:rFonts w:ascii="Times New Roman" w:hAnsi="Times New Roman" w:eastAsia="Times New Roman" w:cs="Times New Roman"/>
                <w:color w:val="000000"/>
              </w:rPr>
              <w:t>André Desvallés et François Mairesse (org.) Paris </w:t>
            </w:r>
            <w:r>
              <w:rPr>
                <w:rFonts w:ascii="Times New Roman" w:hAnsi="Times New Roman" w:eastAsia="Times New Roman" w:cs="Times New Roman"/>
                <w:b/>
                <w:color w:val="000000"/>
              </w:rPr>
              <w:t>DICTIONNAIRE ENCYCLOPÉDIQUE DE MUSÉOLOGIE</w:t>
            </w:r>
            <w:r>
              <w:rPr>
                <w:rFonts w:ascii="Times New Roman" w:hAnsi="Times New Roman" w:eastAsia="Times New Roman" w:cs="Times New Roman"/>
                <w:color w:val="000000"/>
              </w:rPr>
              <w:t>. Paris: Armand Colin, 2011. </w:t>
            </w:r>
          </w:p>
          <w:p>
            <w:pPr>
              <w:spacing w:line="360" w:lineRule="auto"/>
              <w:ind w:left="0" w:hanging="2"/>
              <w:rPr>
                <w:rFonts w:ascii="Times New Roman" w:hAnsi="Times New Roman" w:eastAsia="Times New Roman" w:cs="Times New Roman"/>
              </w:rPr>
            </w:pP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32"/>
        <w:tblW w:w="8924" w:type="dxa"/>
        <w:tblInd w:w="-20" w:type="dxa"/>
        <w:tblLayout w:type="fixed"/>
        <w:tblCellMar>
          <w:top w:w="0" w:type="dxa"/>
          <w:left w:w="22" w:type="dxa"/>
          <w:bottom w:w="0" w:type="dxa"/>
          <w:right w:w="22" w:type="dxa"/>
        </w:tblCellMar>
      </w:tblPr>
      <w:tblGrid>
        <w:gridCol w:w="2886"/>
        <w:gridCol w:w="3122"/>
        <w:gridCol w:w="2916"/>
      </w:tblGrid>
      <w:tr>
        <w:tblPrEx>
          <w:tblCellMar>
            <w:top w:w="0" w:type="dxa"/>
            <w:left w:w="22" w:type="dxa"/>
            <w:bottom w:w="0" w:type="dxa"/>
            <w:right w:w="22" w:type="dxa"/>
          </w:tblCellMar>
        </w:tblPrEx>
        <w:trPr>
          <w:trHeight w:val="1877" w:hRule="atLeast"/>
        </w:trPr>
        <w:tc>
          <w:tcPr>
            <w:tcW w:w="6008"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Nome do Componente Curricular em português: Museologia e </w:t>
            </w:r>
            <w:r>
              <w:rPr>
                <w:rFonts w:ascii="Times New Roman" w:hAnsi="Times New Roman" w:eastAsia="Times New Roman" w:cs="Times New Roman"/>
              </w:rPr>
              <w:t>Comunicação</w:t>
            </w:r>
            <w:r>
              <w:rPr>
                <w:rFonts w:ascii="Times New Roman" w:hAnsi="Times New Roman" w:eastAsia="Times New Roman" w:cs="Times New Roman"/>
                <w:color w:val="000000"/>
              </w:rPr>
              <w:t xml:space="preserve"> I</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Museology and Communication I</w:t>
            </w:r>
          </w:p>
        </w:tc>
        <w:tc>
          <w:tcPr>
            <w:tcW w:w="2916"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MUL130</w:t>
            </w:r>
          </w:p>
        </w:tc>
      </w:tr>
      <w:tr>
        <w:tblPrEx>
          <w:tblCellMar>
            <w:top w:w="0" w:type="dxa"/>
            <w:left w:w="22" w:type="dxa"/>
            <w:bottom w:w="0" w:type="dxa"/>
            <w:right w:w="22" w:type="dxa"/>
          </w:tblCellMar>
        </w:tblPrEx>
        <w:trPr>
          <w:trHeight w:val="825" w:hRule="atLeast"/>
        </w:trPr>
        <w:tc>
          <w:tcPr>
            <w:tcW w:w="6008"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Museologia - DEMUL</w:t>
            </w:r>
          </w:p>
        </w:tc>
        <w:tc>
          <w:tcPr>
            <w:tcW w:w="291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3" w:hRule="atLeast"/>
        </w:trPr>
        <w:tc>
          <w:tcPr>
            <w:tcW w:w="2886"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46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7" w:line="36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semestral </w:t>
            </w:r>
          </w:p>
          <w:p>
            <w:pPr>
              <w:widowControl w:val="0"/>
              <w:pBdr>
                <w:top w:val="none" w:color="auto" w:sz="0" w:space="0"/>
                <w:left w:val="none" w:color="auto" w:sz="0" w:space="0"/>
                <w:bottom w:val="none" w:color="auto" w:sz="0" w:space="0"/>
                <w:right w:val="none" w:color="auto" w:sz="0" w:space="0"/>
                <w:between w:val="none" w:color="auto" w:sz="0" w:space="0"/>
              </w:pBdr>
              <w:spacing w:before="7" w:line="36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60 horas</w:t>
            </w:r>
          </w:p>
        </w:tc>
        <w:tc>
          <w:tcPr>
            <w:tcW w:w="3122"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291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00 horas/aula</w:t>
            </w:r>
          </w:p>
        </w:tc>
      </w:tr>
      <w:tr>
        <w:tblPrEx>
          <w:tblCellMar>
            <w:top w:w="0" w:type="dxa"/>
            <w:left w:w="22" w:type="dxa"/>
            <w:bottom w:w="0" w:type="dxa"/>
            <w:right w:w="22" w:type="dxa"/>
          </w:tblCellMar>
        </w:tblPrEx>
        <w:trPr>
          <w:trHeight w:val="1650"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Ementa: Uma postura democrática propôs a instituição museal como instrumento de transformação social e destacou ao longo dos anos o papel significativo das coleções no alcance desse objetivo tão almejado. Assim, na contemporaneidade, a museologia reserva aos museus o seu caráter de meio de comunicação capaz de completar o ciclo do processo de musealização pela aproximação da sociedade e o patrimônio cultural. Neste sentido, pensar a comunicação em museus, no seu sentido amplo, envolve produção de sentidos, difusão, negociação, consumo e recepção de informação com vistas a (re)significação da exposição e da ação educativa. No centro da questão, tendo em vista os procedimentos metodológicos conceituais da Museologia para estudos de interpretação de acervo, processo comunicativo do público e com relação a imagem social refletida pela Instituição, temos as questões ligadas a Semiótica e Semiologia. A disciplina visa proporcionar ao aluno fundamentos do processo de comunicação museal aplicado </w:t>
            </w:r>
            <w:r>
              <w:rPr>
                <w:rFonts w:ascii="Times New Roman" w:hAnsi="Times New Roman" w:eastAsia="Times New Roman" w:cs="Times New Roman"/>
              </w:rPr>
              <w:t>à percepção</w:t>
            </w:r>
            <w:r>
              <w:rPr>
                <w:rFonts w:ascii="Times New Roman" w:hAnsi="Times New Roman" w:eastAsia="Times New Roman" w:cs="Times New Roman"/>
                <w:color w:val="000000"/>
              </w:rPr>
              <w:t xml:space="preserve"> do discurso e aos conceitos e técnicas.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METODOLOGIA: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Processo dialógico; Leitura e discussão de textos; Dinâmicas de grupo; Utilização de recursos multimídia; Visitas a Museus e Centros Culturais.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AVALIAÇÃO: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Prova discursiva. Os trabalhos serão feitos em formato de relatório previamente definidos em sala, acrescido de seminário, acompanhado de apresentação oral à turma.</w:t>
            </w:r>
          </w:p>
        </w:tc>
      </w:tr>
      <w:tr>
        <w:tblPrEx>
          <w:tblCellMar>
            <w:top w:w="0" w:type="dxa"/>
            <w:left w:w="22" w:type="dxa"/>
            <w:bottom w:w="0" w:type="dxa"/>
            <w:right w:w="22" w:type="dxa"/>
          </w:tblCellMar>
        </w:tblPrEx>
        <w:trPr>
          <w:trHeight w:val="2205"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1.</w:t>
            </w:r>
            <w:r>
              <w:rPr>
                <w:rFonts w:ascii="Times New Roman" w:hAnsi="Times New Roman" w:eastAsia="Times New Roman" w:cs="Times New Roman"/>
                <w:color w:val="000000"/>
              </w:rPr>
              <w:tab/>
            </w:r>
            <w:r>
              <w:rPr>
                <w:rFonts w:ascii="Times New Roman" w:hAnsi="Times New Roman" w:eastAsia="Times New Roman" w:cs="Times New Roman"/>
                <w:color w:val="000000"/>
              </w:rPr>
              <w:t>Teoria do objeto;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2.</w:t>
            </w:r>
            <w:r>
              <w:rPr>
                <w:rFonts w:ascii="Times New Roman" w:hAnsi="Times New Roman" w:eastAsia="Times New Roman" w:cs="Times New Roman"/>
                <w:color w:val="000000"/>
              </w:rPr>
              <w:tab/>
            </w:r>
            <w:r>
              <w:rPr>
                <w:rFonts w:ascii="Times New Roman" w:hAnsi="Times New Roman" w:eastAsia="Times New Roman" w:cs="Times New Roman"/>
                <w:color w:val="000000"/>
              </w:rPr>
              <w:t>Teorias da percepção;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3.</w:t>
            </w:r>
            <w:r>
              <w:rPr>
                <w:rFonts w:ascii="Times New Roman" w:hAnsi="Times New Roman" w:eastAsia="Times New Roman" w:cs="Times New Roman"/>
                <w:color w:val="000000"/>
              </w:rPr>
              <w:tab/>
            </w:r>
            <w:r>
              <w:rPr>
                <w:rFonts w:ascii="Times New Roman" w:hAnsi="Times New Roman" w:eastAsia="Times New Roman" w:cs="Times New Roman"/>
                <w:color w:val="000000"/>
              </w:rPr>
              <w:t>Princípios básicos da Semiologia aplicados ao Museu;</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4.</w:t>
            </w:r>
            <w:r>
              <w:rPr>
                <w:rFonts w:ascii="Times New Roman" w:hAnsi="Times New Roman" w:eastAsia="Times New Roman" w:cs="Times New Roman"/>
                <w:color w:val="000000"/>
              </w:rPr>
              <w:tab/>
            </w:r>
            <w:r>
              <w:rPr>
                <w:rFonts w:ascii="Times New Roman" w:hAnsi="Times New Roman" w:eastAsia="Times New Roman" w:cs="Times New Roman"/>
                <w:color w:val="000000"/>
              </w:rPr>
              <w:t>Visitas técnicas a museus.</w:t>
            </w:r>
          </w:p>
        </w:tc>
      </w:tr>
      <w:tr>
        <w:tblPrEx>
          <w:tblCellMar>
            <w:top w:w="0" w:type="dxa"/>
            <w:left w:w="22" w:type="dxa"/>
            <w:bottom w:w="0" w:type="dxa"/>
            <w:right w:w="22" w:type="dxa"/>
          </w:tblCellMar>
        </w:tblPrEx>
        <w:trPr>
          <w:trHeight w:val="1115"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BERGER, John </w:t>
            </w:r>
            <w:r>
              <w:rPr>
                <w:rFonts w:ascii="Times New Roman" w:hAnsi="Times New Roman" w:eastAsia="Times New Roman" w:cs="Times New Roman"/>
                <w:b/>
                <w:color w:val="000000"/>
              </w:rPr>
              <w:t>Modos de ver</w:t>
            </w:r>
            <w:r>
              <w:rPr>
                <w:rFonts w:ascii="Times New Roman" w:hAnsi="Times New Roman" w:eastAsia="Times New Roman" w:cs="Times New Roman"/>
                <w:color w:val="000000"/>
              </w:rPr>
              <w:t>. Rio de Janeiro: Rocco, 1999. </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Castro, Ana Lúcia Siaines de. </w:t>
            </w:r>
            <w:r>
              <w:rPr>
                <w:rFonts w:ascii="Times New Roman" w:hAnsi="Times New Roman" w:eastAsia="Times New Roman" w:cs="Times New Roman"/>
                <w:b/>
                <w:color w:val="000000"/>
              </w:rPr>
              <w:t>O museu do sagrado ao segredo</w:t>
            </w:r>
            <w:r>
              <w:rPr>
                <w:rFonts w:ascii="Times New Roman" w:hAnsi="Times New Roman" w:eastAsia="Times New Roman" w:cs="Times New Roman"/>
                <w:color w:val="000000"/>
              </w:rPr>
              <w:t>. Rio de Janeiro: Revan, 2009. </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Baudrillard, Jean. </w:t>
            </w:r>
            <w:r>
              <w:rPr>
                <w:rFonts w:ascii="Times New Roman" w:hAnsi="Times New Roman" w:eastAsia="Times New Roman" w:cs="Times New Roman"/>
                <w:b/>
                <w:color w:val="000000"/>
              </w:rPr>
              <w:t>O sistema dos objetos</w:t>
            </w:r>
            <w:r>
              <w:rPr>
                <w:rFonts w:ascii="Times New Roman" w:hAnsi="Times New Roman" w:eastAsia="Times New Roman" w:cs="Times New Roman"/>
                <w:color w:val="000000"/>
              </w:rPr>
              <w:t>. 5. ed. São Paulo: Perspectiva, 2012. </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Lucia Santaella. </w:t>
            </w:r>
            <w:r>
              <w:rPr>
                <w:rFonts w:ascii="Times New Roman" w:hAnsi="Times New Roman" w:eastAsia="Times New Roman" w:cs="Times New Roman"/>
                <w:b/>
                <w:color w:val="000000"/>
              </w:rPr>
              <w:t>Percepção</w:t>
            </w:r>
            <w:r>
              <w:rPr>
                <w:rFonts w:ascii="Times New Roman" w:hAnsi="Times New Roman" w:eastAsia="Times New Roman" w:cs="Times New Roman"/>
                <w:color w:val="000000"/>
              </w:rPr>
              <w:t>: </w:t>
            </w:r>
            <w:r>
              <w:rPr>
                <w:rFonts w:ascii="Times New Roman" w:hAnsi="Times New Roman" w:eastAsia="Times New Roman" w:cs="Times New Roman"/>
                <w:i/>
                <w:color w:val="000000"/>
              </w:rPr>
              <w:t>fenomenologia: ecologia : semiótica </w:t>
            </w:r>
            <w:r>
              <w:rPr>
                <w:rFonts w:ascii="Times New Roman" w:hAnsi="Times New Roman" w:eastAsia="Times New Roman" w:cs="Times New Roman"/>
                <w:color w:val="000000"/>
              </w:rPr>
              <w:t>. São Paulo: Cengage Learning, 2012. </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Foucault, Michel. </w:t>
            </w:r>
            <w:r>
              <w:rPr>
                <w:rFonts w:ascii="Times New Roman" w:hAnsi="Times New Roman" w:eastAsia="Times New Roman" w:cs="Times New Roman"/>
                <w:b/>
                <w:color w:val="000000"/>
              </w:rPr>
              <w:t>Isto não é um cachimbo</w:t>
            </w:r>
            <w:r>
              <w:rPr>
                <w:rFonts w:ascii="Times New Roman" w:hAnsi="Times New Roman" w:eastAsia="Times New Roman" w:cs="Times New Roman"/>
                <w:color w:val="000000"/>
              </w:rPr>
              <w:t>. 3ª. Ed. Rio de Janeiro: Paz e Terra, 2002. </w:t>
            </w:r>
          </w:p>
          <w:p>
            <w:pPr>
              <w:spacing w:line="360" w:lineRule="auto"/>
              <w:ind w:left="0" w:hanging="2"/>
              <w:rPr>
                <w:rFonts w:ascii="Times New Roman" w:hAnsi="Times New Roman" w:eastAsia="Times New Roman" w:cs="Times New Roman"/>
              </w:rPr>
            </w:pPr>
          </w:p>
        </w:tc>
      </w:tr>
      <w:tr>
        <w:tblPrEx>
          <w:tblCellMar>
            <w:top w:w="0" w:type="dxa"/>
            <w:left w:w="22" w:type="dxa"/>
            <w:bottom w:w="0" w:type="dxa"/>
            <w:right w:w="22" w:type="dxa"/>
          </w:tblCellMar>
        </w:tblPrEx>
        <w:trPr>
          <w:trHeight w:val="1656"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spacing w:before="120" w:line="360" w:lineRule="auto"/>
              <w:ind w:left="0" w:hanging="2"/>
              <w:rPr>
                <w:rFonts w:ascii="Times New Roman" w:hAnsi="Times New Roman" w:cs="Times New Roman"/>
              </w:rPr>
            </w:pPr>
            <w:r>
              <w:rPr>
                <w:rFonts w:ascii="Times New Roman" w:hAnsi="Times New Roman" w:eastAsia="Times New Roman" w:cs="Times New Roman"/>
                <w:color w:val="000000"/>
              </w:rPr>
              <w:t>IPHAN/DEMU </w:t>
            </w:r>
            <w:r>
              <w:rPr>
                <w:rFonts w:ascii="Times New Roman" w:hAnsi="Times New Roman" w:eastAsia="Times New Roman" w:cs="Times New Roman"/>
                <w:b/>
                <w:color w:val="000000"/>
              </w:rPr>
              <w:t>Musas – Revista Brasileira de Museus e Museologia</w:t>
            </w:r>
            <w:r>
              <w:rPr>
                <w:rFonts w:ascii="Times New Roman" w:hAnsi="Times New Roman" w:eastAsia="Times New Roman" w:cs="Times New Roman"/>
                <w:color w:val="000000"/>
              </w:rPr>
              <w:t>. - vol. 01. Rio de Janeiro: IPHAN/DEMU, 2004.</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Blom, Philipp. </w:t>
            </w:r>
            <w:r>
              <w:rPr>
                <w:rFonts w:ascii="Times New Roman" w:hAnsi="Times New Roman" w:eastAsia="Times New Roman" w:cs="Times New Roman"/>
                <w:b/>
                <w:color w:val="000000"/>
              </w:rPr>
              <w:t>Ter e manter</w:t>
            </w:r>
            <w:r>
              <w:rPr>
                <w:rFonts w:ascii="Times New Roman" w:hAnsi="Times New Roman" w:eastAsia="Times New Roman" w:cs="Times New Roman"/>
                <w:color w:val="000000"/>
              </w:rPr>
              <w:t>. Rio de Janeiro: Record, 2003. </w:t>
            </w:r>
          </w:p>
          <w:p>
            <w:pPr>
              <w:spacing w:line="360" w:lineRule="auto"/>
              <w:ind w:left="0" w:hanging="2"/>
              <w:rPr>
                <w:rFonts w:ascii="Times New Roman" w:hAnsi="Times New Roman" w:cs="Times New Roman"/>
              </w:rPr>
            </w:pPr>
            <w:r>
              <w:rPr>
                <w:rFonts w:ascii="Times New Roman" w:hAnsi="Times New Roman" w:eastAsia="Times New Roman" w:cs="Times New Roman"/>
                <w:b/>
                <w:color w:val="000000"/>
              </w:rPr>
              <w:t>Conceitos-chave de museologia</w:t>
            </w:r>
            <w:r>
              <w:rPr>
                <w:rFonts w:ascii="Times New Roman" w:hAnsi="Times New Roman" w:eastAsia="Times New Roman" w:cs="Times New Roman"/>
                <w:color w:val="000000"/>
              </w:rPr>
              <w:t>. São Paulo: Comitê Brasileiro do Conselho Internacional de Museus, 2014.</w:t>
            </w:r>
          </w:p>
          <w:p>
            <w:pPr>
              <w:spacing w:line="360" w:lineRule="auto"/>
              <w:ind w:left="0" w:hanging="2"/>
              <w:rPr>
                <w:rFonts w:ascii="Times New Roman" w:hAnsi="Times New Roman" w:cs="Times New Roman"/>
              </w:rPr>
            </w:pPr>
            <w:r>
              <w:rPr>
                <w:rFonts w:ascii="Times New Roman" w:hAnsi="Times New Roman" w:eastAsia="Times New Roman" w:cs="Times New Roman"/>
                <w:b/>
                <w:color w:val="000000"/>
              </w:rPr>
              <w:t>Semiologia dos objetos</w:t>
            </w:r>
            <w:r>
              <w:rPr>
                <w:rFonts w:ascii="Times New Roman" w:hAnsi="Times New Roman" w:eastAsia="Times New Roman" w:cs="Times New Roman"/>
                <w:color w:val="000000"/>
              </w:rPr>
              <w:t>. Petrópolis: Vozes, 1972. </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Carlo Ginzburg; tradução Eduardo Brandão. </w:t>
            </w:r>
            <w:r>
              <w:rPr>
                <w:rFonts w:ascii="Times New Roman" w:hAnsi="Times New Roman" w:eastAsia="Times New Roman" w:cs="Times New Roman"/>
                <w:b/>
                <w:color w:val="000000"/>
              </w:rPr>
              <w:t>Olhos de madeira</w:t>
            </w:r>
            <w:r>
              <w:rPr>
                <w:rFonts w:ascii="Times New Roman" w:hAnsi="Times New Roman" w:eastAsia="Times New Roman" w:cs="Times New Roman"/>
                <w:color w:val="000000"/>
              </w:rPr>
              <w:t>: </w:t>
            </w:r>
            <w:r>
              <w:rPr>
                <w:rFonts w:ascii="Times New Roman" w:hAnsi="Times New Roman" w:eastAsia="Times New Roman" w:cs="Times New Roman"/>
                <w:i/>
                <w:color w:val="000000"/>
              </w:rPr>
              <w:t>nove reflexões sobre a distância</w:t>
            </w:r>
            <w:r>
              <w:rPr>
                <w:rFonts w:ascii="Times New Roman" w:hAnsi="Times New Roman" w:eastAsia="Times New Roman" w:cs="Times New Roman"/>
                <w:color w:val="000000"/>
              </w:rPr>
              <w:t>. São Paulo: Companhia das Letras, 2001.</w:t>
            </w:r>
            <w:r>
              <w:rPr>
                <w:rFonts w:ascii="Times New Roman" w:hAnsi="Times New Roman" w:eastAsia="Times New Roman" w:cs="Times New Roman"/>
                <w:color w:val="000000"/>
              </w:rPr>
              <w:br w:type="textWrapping"/>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33"/>
        <w:tblW w:w="8924" w:type="dxa"/>
        <w:tblInd w:w="-20" w:type="dxa"/>
        <w:tblLayout w:type="fixed"/>
        <w:tblCellMar>
          <w:top w:w="0" w:type="dxa"/>
          <w:left w:w="22" w:type="dxa"/>
          <w:bottom w:w="0" w:type="dxa"/>
          <w:right w:w="22" w:type="dxa"/>
        </w:tblCellMar>
      </w:tblPr>
      <w:tblGrid>
        <w:gridCol w:w="2886"/>
        <w:gridCol w:w="3122"/>
        <w:gridCol w:w="2916"/>
      </w:tblGrid>
      <w:tr>
        <w:tblPrEx>
          <w:tblCellMar>
            <w:top w:w="0" w:type="dxa"/>
            <w:left w:w="22" w:type="dxa"/>
            <w:bottom w:w="0" w:type="dxa"/>
            <w:right w:w="22" w:type="dxa"/>
          </w:tblCellMar>
        </w:tblPrEx>
        <w:trPr>
          <w:trHeight w:val="1877" w:hRule="atLeast"/>
        </w:trPr>
        <w:tc>
          <w:tcPr>
            <w:tcW w:w="6008"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Museologia e Comunicação II</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Museology and Communication II</w:t>
            </w:r>
          </w:p>
        </w:tc>
        <w:tc>
          <w:tcPr>
            <w:tcW w:w="2916"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MUL131</w:t>
            </w:r>
          </w:p>
        </w:tc>
      </w:tr>
      <w:tr>
        <w:tblPrEx>
          <w:tblCellMar>
            <w:top w:w="0" w:type="dxa"/>
            <w:left w:w="22" w:type="dxa"/>
            <w:bottom w:w="0" w:type="dxa"/>
            <w:right w:w="22" w:type="dxa"/>
          </w:tblCellMar>
        </w:tblPrEx>
        <w:trPr>
          <w:trHeight w:val="825" w:hRule="atLeast"/>
        </w:trPr>
        <w:tc>
          <w:tcPr>
            <w:tcW w:w="6008"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Museologia - DEMUL</w:t>
            </w:r>
          </w:p>
        </w:tc>
        <w:tc>
          <w:tcPr>
            <w:tcW w:w="291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3" w:hRule="atLeast"/>
        </w:trPr>
        <w:tc>
          <w:tcPr>
            <w:tcW w:w="2886"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46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7" w:line="36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semestral </w:t>
            </w:r>
          </w:p>
          <w:p>
            <w:pPr>
              <w:widowControl w:val="0"/>
              <w:pBdr>
                <w:top w:val="none" w:color="auto" w:sz="0" w:space="0"/>
                <w:left w:val="none" w:color="auto" w:sz="0" w:space="0"/>
                <w:bottom w:val="none" w:color="auto" w:sz="0" w:space="0"/>
                <w:right w:val="none" w:color="auto" w:sz="0" w:space="0"/>
                <w:between w:val="none" w:color="auto" w:sz="0" w:space="0"/>
              </w:pBdr>
              <w:spacing w:before="7" w:line="36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60 horas</w:t>
            </w:r>
          </w:p>
        </w:tc>
        <w:tc>
          <w:tcPr>
            <w:tcW w:w="3122"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291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00 horas/aula</w:t>
            </w:r>
          </w:p>
        </w:tc>
      </w:tr>
      <w:tr>
        <w:tblPrEx>
          <w:tblCellMar>
            <w:top w:w="0" w:type="dxa"/>
            <w:left w:w="22" w:type="dxa"/>
            <w:bottom w:w="0" w:type="dxa"/>
            <w:right w:w="22" w:type="dxa"/>
          </w:tblCellMar>
        </w:tblPrEx>
        <w:trPr>
          <w:trHeight w:val="447"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Ementa: Refletir sobre a função comunicação nos museus como processo global que envolve a produção, veiculação, difusão e recepção de exposições. Assim, o museu tanto formula quanto comunica sentidos a partir de seu acervo. A exposição é o meio físico e espaço público que permite o diálogo com a comunidade, ou seja, tem um papel significativo no processo de construção simbólica e da identidade na sociedade. Nesse aspecto, torna-se necessário analisar que imagens o museu quer construir e que imagem o público faz dessas instituições. A disciplina visa, ainda, proporcionar ao aluno fundamentos aplicados à questão do desenho espacial da exposição, a sua museografia, observando os processos metodológicos e procedimentos técnicos. </w:t>
            </w:r>
          </w:p>
        </w:tc>
      </w:tr>
      <w:tr>
        <w:tblPrEx>
          <w:tblCellMar>
            <w:top w:w="0" w:type="dxa"/>
            <w:left w:w="22" w:type="dxa"/>
            <w:bottom w:w="0" w:type="dxa"/>
            <w:right w:w="22" w:type="dxa"/>
          </w:tblCellMar>
        </w:tblPrEx>
        <w:trPr>
          <w:trHeight w:val="2205"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1.</w:t>
            </w:r>
            <w:r>
              <w:rPr>
                <w:rFonts w:ascii="Times New Roman" w:hAnsi="Times New Roman" w:eastAsia="Times New Roman" w:cs="Times New Roman"/>
                <w:color w:val="000000"/>
              </w:rPr>
              <w:tab/>
            </w:r>
            <w:r>
              <w:rPr>
                <w:rFonts w:ascii="Times New Roman" w:hAnsi="Times New Roman" w:eastAsia="Times New Roman" w:cs="Times New Roman"/>
                <w:color w:val="000000"/>
              </w:rPr>
              <w:t>Estudo de elementos constituintes das exposições (espaço, forma, objeto, luz, cor, recursos gráficos e plásticos;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2.</w:t>
            </w:r>
            <w:r>
              <w:rPr>
                <w:rFonts w:ascii="Times New Roman" w:hAnsi="Times New Roman" w:eastAsia="Times New Roman" w:cs="Times New Roman"/>
                <w:color w:val="000000"/>
              </w:rPr>
              <w:tab/>
            </w:r>
            <w:r>
              <w:rPr>
                <w:rFonts w:ascii="Times New Roman" w:hAnsi="Times New Roman" w:eastAsia="Times New Roman" w:cs="Times New Roman"/>
                <w:color w:val="000000"/>
              </w:rPr>
              <w:t>Metodologia e técnicas;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3.</w:t>
            </w:r>
            <w:r>
              <w:rPr>
                <w:rFonts w:ascii="Times New Roman" w:hAnsi="Times New Roman" w:eastAsia="Times New Roman" w:cs="Times New Roman"/>
                <w:color w:val="000000"/>
              </w:rPr>
              <w:tab/>
            </w:r>
            <w:r>
              <w:rPr>
                <w:rFonts w:ascii="Times New Roman" w:hAnsi="Times New Roman" w:eastAsia="Times New Roman" w:cs="Times New Roman"/>
                <w:color w:val="000000"/>
              </w:rPr>
              <w:t>Design de exposições: teoria e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4.</w:t>
            </w:r>
            <w:r>
              <w:rPr>
                <w:rFonts w:ascii="Times New Roman" w:hAnsi="Times New Roman" w:eastAsia="Times New Roman" w:cs="Times New Roman"/>
                <w:color w:val="000000"/>
              </w:rPr>
              <w:tab/>
            </w:r>
            <w:r>
              <w:rPr>
                <w:rFonts w:ascii="Times New Roman" w:hAnsi="Times New Roman" w:eastAsia="Times New Roman" w:cs="Times New Roman"/>
                <w:color w:val="000000"/>
              </w:rPr>
              <w:t>Visitas técnicas a museus de São Paulo e outras cidades.</w:t>
            </w:r>
          </w:p>
        </w:tc>
      </w:tr>
      <w:tr>
        <w:tblPrEx>
          <w:tblCellMar>
            <w:top w:w="0" w:type="dxa"/>
            <w:left w:w="22" w:type="dxa"/>
            <w:bottom w:w="0" w:type="dxa"/>
            <w:right w:w="22" w:type="dxa"/>
          </w:tblCellMar>
        </w:tblPrEx>
        <w:trPr>
          <w:trHeight w:val="1115"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Brian O'Doherty ; introdução: Thomas McEvilley, tradução: Carlos S. Mendes Rosa, apresentação: Martin Grossmann. </w:t>
            </w:r>
            <w:r>
              <w:rPr>
                <w:rFonts w:ascii="Times New Roman" w:hAnsi="Times New Roman" w:eastAsia="Times New Roman" w:cs="Times New Roman"/>
                <w:b/>
                <w:color w:val="000000"/>
              </w:rPr>
              <w:t>No interior do cubo branco</w:t>
            </w:r>
            <w:r>
              <w:rPr>
                <w:rFonts w:ascii="Times New Roman" w:hAnsi="Times New Roman" w:eastAsia="Times New Roman" w:cs="Times New Roman"/>
                <w:color w:val="000000"/>
              </w:rPr>
              <w:t>: </w:t>
            </w:r>
            <w:r>
              <w:rPr>
                <w:rFonts w:ascii="Times New Roman" w:hAnsi="Times New Roman" w:eastAsia="Times New Roman" w:cs="Times New Roman"/>
                <w:i/>
                <w:color w:val="000000"/>
              </w:rPr>
              <w:t>a ideologia do espaço da arte</w:t>
            </w:r>
            <w:r>
              <w:rPr>
                <w:rFonts w:ascii="Times New Roman" w:hAnsi="Times New Roman" w:eastAsia="Times New Roman" w:cs="Times New Roman"/>
                <w:color w:val="000000"/>
              </w:rPr>
              <w:t>. São Paulo : Martins Fontes, 2002. </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Lisbeth Rebollo Gonçalves. </w:t>
            </w:r>
            <w:r>
              <w:rPr>
                <w:rFonts w:ascii="Times New Roman" w:hAnsi="Times New Roman" w:eastAsia="Times New Roman" w:cs="Times New Roman"/>
                <w:b/>
                <w:color w:val="000000"/>
              </w:rPr>
              <w:t>Entre cenografias</w:t>
            </w:r>
            <w:r>
              <w:rPr>
                <w:rFonts w:ascii="Times New Roman" w:hAnsi="Times New Roman" w:eastAsia="Times New Roman" w:cs="Times New Roman"/>
                <w:color w:val="000000"/>
              </w:rPr>
              <w:t>: </w:t>
            </w:r>
            <w:r>
              <w:rPr>
                <w:rFonts w:ascii="Times New Roman" w:hAnsi="Times New Roman" w:eastAsia="Times New Roman" w:cs="Times New Roman"/>
                <w:i/>
                <w:color w:val="000000"/>
              </w:rPr>
              <w:t>o museu e a exposição de arte no século XX </w:t>
            </w:r>
            <w:r>
              <w:rPr>
                <w:rFonts w:ascii="Times New Roman" w:hAnsi="Times New Roman" w:eastAsia="Times New Roman" w:cs="Times New Roman"/>
                <w:color w:val="000000"/>
              </w:rPr>
              <w:t>. São Paulo: Editora da Universidade de São Paulo / FAPESP,2004.</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Sarah Fassa Benchetrit, Rafael Zamorano Bezzera, Aline Montenegro Magalhães (orgs.). </w:t>
            </w:r>
            <w:r>
              <w:rPr>
                <w:rFonts w:ascii="Times New Roman" w:hAnsi="Times New Roman" w:eastAsia="Times New Roman" w:cs="Times New Roman"/>
                <w:b/>
                <w:color w:val="000000"/>
              </w:rPr>
              <w:t>Museus e comunicação</w:t>
            </w:r>
            <w:r>
              <w:rPr>
                <w:rFonts w:ascii="Times New Roman" w:hAnsi="Times New Roman" w:eastAsia="Times New Roman" w:cs="Times New Roman"/>
                <w:color w:val="000000"/>
              </w:rPr>
              <w:t>: </w:t>
            </w:r>
            <w:r>
              <w:rPr>
                <w:rFonts w:ascii="Times New Roman" w:hAnsi="Times New Roman" w:eastAsia="Times New Roman" w:cs="Times New Roman"/>
                <w:i/>
                <w:color w:val="000000"/>
              </w:rPr>
              <w:t>exposições como objeto de estudo</w:t>
            </w:r>
            <w:r>
              <w:rPr>
                <w:rFonts w:ascii="Times New Roman" w:hAnsi="Times New Roman" w:eastAsia="Times New Roman" w:cs="Times New Roman"/>
                <w:color w:val="000000"/>
              </w:rPr>
              <w:t>. Rio de Janeiro: Museu Histórico Nacional, 2010. </w:t>
            </w:r>
          </w:p>
        </w:tc>
      </w:tr>
      <w:tr>
        <w:tblPrEx>
          <w:tblCellMar>
            <w:top w:w="0" w:type="dxa"/>
            <w:left w:w="22" w:type="dxa"/>
            <w:bottom w:w="0" w:type="dxa"/>
            <w:right w:w="22" w:type="dxa"/>
          </w:tblCellMar>
        </w:tblPrEx>
        <w:trPr>
          <w:trHeight w:val="1656"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Bibliografia complementar:</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SEGRE, Roberto </w:t>
            </w:r>
            <w:r>
              <w:rPr>
                <w:rFonts w:ascii="Times New Roman" w:hAnsi="Times New Roman" w:eastAsia="Times New Roman" w:cs="Times New Roman"/>
                <w:b/>
                <w:color w:val="000000"/>
              </w:rPr>
              <w:t>Museus Brasileiros</w:t>
            </w:r>
            <w:r>
              <w:rPr>
                <w:rFonts w:ascii="Times New Roman" w:hAnsi="Times New Roman" w:eastAsia="Times New Roman" w:cs="Times New Roman"/>
                <w:color w:val="000000"/>
              </w:rPr>
              <w:t>: </w:t>
            </w:r>
            <w:r>
              <w:rPr>
                <w:rFonts w:ascii="Times New Roman" w:hAnsi="Times New Roman" w:eastAsia="Times New Roman" w:cs="Times New Roman"/>
                <w:i/>
                <w:color w:val="000000"/>
              </w:rPr>
              <w:t>brazilian museum</w:t>
            </w:r>
            <w:r>
              <w:rPr>
                <w:rFonts w:ascii="Times New Roman" w:hAnsi="Times New Roman" w:eastAsia="Times New Roman" w:cs="Times New Roman"/>
                <w:color w:val="000000"/>
              </w:rPr>
              <w:t>. Rio de Janeiro: Viana &amp;Mosley, 2010. </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Baudrillard, Jean. </w:t>
            </w:r>
            <w:r>
              <w:rPr>
                <w:rFonts w:ascii="Times New Roman" w:hAnsi="Times New Roman" w:eastAsia="Times New Roman" w:cs="Times New Roman"/>
                <w:b/>
                <w:color w:val="000000"/>
              </w:rPr>
              <w:t>O sistema dos objetos</w:t>
            </w:r>
            <w:r>
              <w:rPr>
                <w:rFonts w:ascii="Times New Roman" w:hAnsi="Times New Roman" w:eastAsia="Times New Roman" w:cs="Times New Roman"/>
                <w:color w:val="000000"/>
              </w:rPr>
              <w:t>. 5. ed: [s.n.] </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Cury, Marília Xavier. </w:t>
            </w:r>
            <w:r>
              <w:rPr>
                <w:rFonts w:ascii="Times New Roman" w:hAnsi="Times New Roman" w:eastAsia="Times New Roman" w:cs="Times New Roman"/>
                <w:b/>
                <w:color w:val="000000"/>
              </w:rPr>
              <w:t>Exposição</w:t>
            </w:r>
            <w:r>
              <w:rPr>
                <w:rFonts w:ascii="Times New Roman" w:hAnsi="Times New Roman" w:eastAsia="Times New Roman" w:cs="Times New Roman"/>
                <w:color w:val="000000"/>
              </w:rPr>
              <w:t>. São Paulo: Annablume, 2006. </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Cêça Guimaraens, organizadora. </w:t>
            </w:r>
            <w:r>
              <w:rPr>
                <w:rFonts w:ascii="Times New Roman" w:hAnsi="Times New Roman" w:eastAsia="Times New Roman" w:cs="Times New Roman"/>
                <w:b/>
                <w:color w:val="000000"/>
              </w:rPr>
              <w:t>Museografia e arquitetura de museus</w:t>
            </w:r>
            <w:r>
              <w:rPr>
                <w:rFonts w:ascii="Times New Roman" w:hAnsi="Times New Roman" w:eastAsia="Times New Roman" w:cs="Times New Roman"/>
                <w:color w:val="000000"/>
              </w:rPr>
              <w:t>: </w:t>
            </w:r>
            <w:r>
              <w:rPr>
                <w:rFonts w:ascii="Times New Roman" w:hAnsi="Times New Roman" w:eastAsia="Times New Roman" w:cs="Times New Roman"/>
                <w:i/>
                <w:color w:val="000000"/>
              </w:rPr>
              <w:t>conservação e técnicas sensoriais</w:t>
            </w:r>
            <w:r>
              <w:rPr>
                <w:rFonts w:ascii="Times New Roman" w:hAnsi="Times New Roman" w:eastAsia="Times New Roman" w:cs="Times New Roman"/>
                <w:color w:val="000000"/>
              </w:rPr>
              <w:t>. Rio de Janeiro: FAU/PROARQ, 2012.</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Cêça Guimaraens, organizadora. </w:t>
            </w:r>
            <w:r>
              <w:rPr>
                <w:rFonts w:ascii="Times New Roman" w:hAnsi="Times New Roman" w:eastAsia="Times New Roman" w:cs="Times New Roman"/>
                <w:b/>
                <w:color w:val="000000"/>
              </w:rPr>
              <w:t>Anais do 3º Seminário Internacional Museografia e Arquitetura de Museus</w:t>
            </w:r>
            <w:r>
              <w:rPr>
                <w:rFonts w:ascii="Times New Roman" w:hAnsi="Times New Roman" w:eastAsia="Times New Roman" w:cs="Times New Roman"/>
                <w:color w:val="000000"/>
              </w:rPr>
              <w:t>. Rio de Janeiro: FAU/PROARQ, 2012. </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34"/>
        <w:tblW w:w="8924" w:type="dxa"/>
        <w:tblInd w:w="-20" w:type="dxa"/>
        <w:tblLayout w:type="fixed"/>
        <w:tblCellMar>
          <w:top w:w="0" w:type="dxa"/>
          <w:left w:w="22" w:type="dxa"/>
          <w:bottom w:w="0" w:type="dxa"/>
          <w:right w:w="22" w:type="dxa"/>
        </w:tblCellMar>
      </w:tblPr>
      <w:tblGrid>
        <w:gridCol w:w="2886"/>
        <w:gridCol w:w="3122"/>
        <w:gridCol w:w="2916"/>
      </w:tblGrid>
      <w:tr>
        <w:tblPrEx>
          <w:tblCellMar>
            <w:top w:w="0" w:type="dxa"/>
            <w:left w:w="22" w:type="dxa"/>
            <w:bottom w:w="0" w:type="dxa"/>
            <w:right w:w="22" w:type="dxa"/>
          </w:tblCellMar>
        </w:tblPrEx>
        <w:trPr>
          <w:trHeight w:val="1877" w:hRule="atLeast"/>
        </w:trPr>
        <w:tc>
          <w:tcPr>
            <w:tcW w:w="6008"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Museus e Seus Públicos</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Museums and Its Public</w:t>
            </w:r>
          </w:p>
        </w:tc>
        <w:tc>
          <w:tcPr>
            <w:tcW w:w="2916"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MUL139</w:t>
            </w:r>
          </w:p>
        </w:tc>
      </w:tr>
      <w:tr>
        <w:tblPrEx>
          <w:tblCellMar>
            <w:top w:w="0" w:type="dxa"/>
            <w:left w:w="22" w:type="dxa"/>
            <w:bottom w:w="0" w:type="dxa"/>
            <w:right w:w="22" w:type="dxa"/>
          </w:tblCellMar>
        </w:tblPrEx>
        <w:trPr>
          <w:trHeight w:val="825" w:hRule="atLeast"/>
        </w:trPr>
        <w:tc>
          <w:tcPr>
            <w:tcW w:w="6008"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Museologia - DEMUL</w:t>
            </w:r>
          </w:p>
        </w:tc>
        <w:tc>
          <w:tcPr>
            <w:tcW w:w="291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3" w:hRule="atLeast"/>
        </w:trPr>
        <w:tc>
          <w:tcPr>
            <w:tcW w:w="2886"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6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semestral </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60 horas</w:t>
            </w:r>
          </w:p>
        </w:tc>
        <w:tc>
          <w:tcPr>
            <w:tcW w:w="3122"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02 horas/aula</w:t>
            </w:r>
          </w:p>
        </w:tc>
        <w:tc>
          <w:tcPr>
            <w:tcW w:w="291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02 horas/aula</w:t>
            </w:r>
          </w:p>
        </w:tc>
      </w:tr>
      <w:tr>
        <w:tblPrEx>
          <w:tblCellMar>
            <w:top w:w="0" w:type="dxa"/>
            <w:left w:w="22" w:type="dxa"/>
            <w:bottom w:w="0" w:type="dxa"/>
            <w:right w:w="22" w:type="dxa"/>
          </w:tblCellMar>
        </w:tblPrEx>
        <w:trPr>
          <w:trHeight w:val="1650"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Ementa: Sabe-se que o colecionismo constituiu-se em um fenômeno histórico-cultural necessário ao aparecimento da instituição museológica. O museu, que nasce de uma contradição – “conservar” as obras, atualmente, encontram-se em uma encruzilhada traduzida pela necessidade de absorção e recepção da sensibilidade social. Essa é a meta da Museologia:  resolver o conflito sujeito-objeto, atrair maior número de pessoas e conseguir novas atividades e funções museológicas.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 disciplina – de caráter teórico e prático - tem como finalidade, conhecer as questões fundamentais referentes à sua problemática, promover e enriquecer o debate sobre a instituição Museu e sua relação com os diferentes públicos usuários.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As pesquisas in loco deverão subsidiar um espaço de discussão e reflexão entre os diversos profissionais envolvidos com a teoria e a prática museológicas.</w:t>
            </w:r>
          </w:p>
        </w:tc>
      </w:tr>
      <w:tr>
        <w:tblPrEx>
          <w:tblCellMar>
            <w:top w:w="0" w:type="dxa"/>
            <w:left w:w="22" w:type="dxa"/>
            <w:bottom w:w="0" w:type="dxa"/>
            <w:right w:w="22" w:type="dxa"/>
          </w:tblCellMar>
        </w:tblPrEx>
        <w:trPr>
          <w:trHeight w:val="2205"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TEÓRICO: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1.</w:t>
            </w:r>
            <w:r>
              <w:rPr>
                <w:rFonts w:ascii="Times New Roman" w:hAnsi="Times New Roman" w:eastAsia="Times New Roman" w:cs="Times New Roman"/>
                <w:color w:val="000000"/>
              </w:rPr>
              <w:tab/>
            </w:r>
            <w:r>
              <w:rPr>
                <w:rFonts w:ascii="Times New Roman" w:hAnsi="Times New Roman" w:eastAsia="Times New Roman" w:cs="Times New Roman"/>
                <w:color w:val="000000"/>
              </w:rPr>
              <w:t>Aspectos fundamentais da teoria museológica: ciência e empiria do museu;</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2.</w:t>
            </w:r>
            <w:r>
              <w:rPr>
                <w:rFonts w:ascii="Times New Roman" w:hAnsi="Times New Roman" w:eastAsia="Times New Roman" w:cs="Times New Roman"/>
                <w:color w:val="000000"/>
              </w:rPr>
              <w:tab/>
            </w:r>
            <w:r>
              <w:rPr>
                <w:rFonts w:ascii="Times New Roman" w:hAnsi="Times New Roman" w:eastAsia="Times New Roman" w:cs="Times New Roman"/>
                <w:color w:val="000000"/>
              </w:rPr>
              <w:t>A Museologia e o fenômeno museográfico;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3.</w:t>
            </w:r>
            <w:r>
              <w:rPr>
                <w:rFonts w:ascii="Times New Roman" w:hAnsi="Times New Roman" w:eastAsia="Times New Roman" w:cs="Times New Roman"/>
                <w:color w:val="000000"/>
              </w:rPr>
              <w:tab/>
            </w:r>
            <w:r>
              <w:rPr>
                <w:rFonts w:ascii="Times New Roman" w:hAnsi="Times New Roman" w:eastAsia="Times New Roman" w:cs="Times New Roman"/>
                <w:color w:val="000000"/>
              </w:rPr>
              <w:t>O Visitante de Museu: níveis socioculturais e intelectuais;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4.</w:t>
            </w:r>
            <w:r>
              <w:rPr>
                <w:rFonts w:ascii="Times New Roman" w:hAnsi="Times New Roman" w:eastAsia="Times New Roman" w:cs="Times New Roman"/>
                <w:color w:val="000000"/>
              </w:rPr>
              <w:tab/>
            </w:r>
            <w:r>
              <w:rPr>
                <w:rFonts w:ascii="Times New Roman" w:hAnsi="Times New Roman" w:eastAsia="Times New Roman" w:cs="Times New Roman"/>
                <w:color w:val="000000"/>
              </w:rPr>
              <w:t>Dialéticas das relações humanas e objetuais;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5.</w:t>
            </w:r>
            <w:r>
              <w:rPr>
                <w:rFonts w:ascii="Times New Roman" w:hAnsi="Times New Roman" w:eastAsia="Times New Roman" w:cs="Times New Roman"/>
                <w:color w:val="000000"/>
              </w:rPr>
              <w:tab/>
            </w:r>
            <w:r>
              <w:rPr>
                <w:rFonts w:ascii="Times New Roman" w:hAnsi="Times New Roman" w:eastAsia="Times New Roman" w:cs="Times New Roman"/>
                <w:color w:val="000000"/>
              </w:rPr>
              <w:t>A relação entre público e equipe do museu;</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6.</w:t>
            </w:r>
            <w:r>
              <w:rPr>
                <w:rFonts w:ascii="Times New Roman" w:hAnsi="Times New Roman" w:eastAsia="Times New Roman" w:cs="Times New Roman"/>
                <w:color w:val="000000"/>
              </w:rPr>
              <w:tab/>
            </w:r>
            <w:r>
              <w:rPr>
                <w:rFonts w:ascii="Times New Roman" w:hAnsi="Times New Roman" w:eastAsia="Times New Roman" w:cs="Times New Roman"/>
                <w:color w:val="000000"/>
              </w:rPr>
              <w:t xml:space="preserve">Avaliação do perfil do visitante: estudos de casos.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PRÁTICO: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1.</w:t>
            </w:r>
            <w:r>
              <w:rPr>
                <w:rFonts w:ascii="Times New Roman" w:hAnsi="Times New Roman" w:eastAsia="Times New Roman" w:cs="Times New Roman"/>
                <w:color w:val="000000"/>
              </w:rPr>
              <w:tab/>
            </w:r>
            <w:r>
              <w:rPr>
                <w:rFonts w:ascii="Times New Roman" w:hAnsi="Times New Roman" w:eastAsia="Times New Roman" w:cs="Times New Roman"/>
                <w:color w:val="000000"/>
              </w:rPr>
              <w:t>Construção de instrumentos de pesquisa; validação;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2.</w:t>
            </w:r>
            <w:r>
              <w:rPr>
                <w:rFonts w:ascii="Times New Roman" w:hAnsi="Times New Roman" w:eastAsia="Times New Roman" w:cs="Times New Roman"/>
                <w:color w:val="000000"/>
              </w:rPr>
              <w:tab/>
            </w:r>
            <w:r>
              <w:rPr>
                <w:rFonts w:ascii="Times New Roman" w:hAnsi="Times New Roman" w:eastAsia="Times New Roman" w:cs="Times New Roman"/>
                <w:color w:val="000000"/>
              </w:rPr>
              <w:t>Realização de pesquisa qualitativa e quantitativa de público nos museus existentes no Município de Ouro Preto e arredores, de acordo com a demanda do Sistema de Museus de Ouro Preto e as possibilidades de DEMUL.</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3.</w:t>
            </w:r>
            <w:r>
              <w:rPr>
                <w:rFonts w:ascii="Times New Roman" w:hAnsi="Times New Roman" w:eastAsia="Times New Roman" w:cs="Times New Roman"/>
                <w:color w:val="000000"/>
              </w:rPr>
              <w:tab/>
            </w:r>
            <w:r>
              <w:rPr>
                <w:rFonts w:ascii="Times New Roman" w:hAnsi="Times New Roman" w:eastAsia="Times New Roman" w:cs="Times New Roman"/>
                <w:color w:val="000000"/>
              </w:rPr>
              <w:t>Apresentação dos resultados como trabalho final da disciplina.</w:t>
            </w:r>
          </w:p>
        </w:tc>
      </w:tr>
      <w:tr>
        <w:tblPrEx>
          <w:tblCellMar>
            <w:top w:w="0" w:type="dxa"/>
            <w:left w:w="22" w:type="dxa"/>
            <w:bottom w:w="0" w:type="dxa"/>
            <w:right w:w="22" w:type="dxa"/>
          </w:tblCellMar>
        </w:tblPrEx>
        <w:trPr>
          <w:trHeight w:val="1115"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   Bibliografia básica:</w:t>
            </w:r>
          </w:p>
          <w:p>
            <w:pPr>
              <w:ind w:left="0" w:right="17" w:hanging="2"/>
              <w:rPr>
                <w:rFonts w:ascii="Times New Roman" w:hAnsi="Times New Roman" w:cs="Times New Roman"/>
              </w:rPr>
            </w:pPr>
            <w:r>
              <w:rPr>
                <w:rFonts w:ascii="Times New Roman" w:hAnsi="Times New Roman" w:eastAsia="Times New Roman" w:cs="Times New Roman"/>
                <w:color w:val="000000"/>
              </w:rPr>
              <w:t>EIDELMAN, Jacqueline; ROUSTAN, Mélanie; GOLDSTEIN, Bernadette (Orgs.) </w:t>
            </w:r>
            <w:r>
              <w:rPr>
                <w:rFonts w:ascii="Times New Roman" w:hAnsi="Times New Roman" w:eastAsia="Times New Roman" w:cs="Times New Roman"/>
                <w:b/>
                <w:color w:val="000000"/>
              </w:rPr>
              <w:t>O Lugar do Público</w:t>
            </w:r>
            <w:r>
              <w:rPr>
                <w:rFonts w:ascii="Times New Roman" w:hAnsi="Times New Roman" w:eastAsia="Times New Roman" w:cs="Times New Roman"/>
                <w:color w:val="000000"/>
              </w:rPr>
              <w:t>: </w:t>
            </w:r>
            <w:r>
              <w:rPr>
                <w:rFonts w:ascii="Times New Roman" w:hAnsi="Times New Roman" w:eastAsia="Times New Roman" w:cs="Times New Roman"/>
                <w:i/>
                <w:color w:val="000000"/>
              </w:rPr>
              <w:t>sobre o uso e pesquisas pelos museus. Trad. Ana Goldberger</w:t>
            </w:r>
            <w:r>
              <w:rPr>
                <w:rFonts w:ascii="Times New Roman" w:hAnsi="Times New Roman" w:eastAsia="Times New Roman" w:cs="Times New Roman"/>
                <w:color w:val="000000"/>
              </w:rPr>
              <w:t>.</w:t>
            </w:r>
            <w:r>
              <w:rPr>
                <w:rFonts w:ascii="Times New Roman" w:hAnsi="Times New Roman" w:eastAsia="Times New Roman" w:cs="Times New Roman"/>
                <w:color w:val="000000"/>
              </w:rPr>
              <w:br w:type="textWrapping"/>
            </w:r>
            <w:r>
              <w:rPr>
                <w:rFonts w:ascii="Times New Roman" w:hAnsi="Times New Roman" w:eastAsia="Times New Roman" w:cs="Times New Roman"/>
                <w:color w:val="000000"/>
              </w:rPr>
              <w:t>São Paulo: Iluminuras/Itaú Cultural, 2014. </w:t>
            </w:r>
          </w:p>
          <w:p>
            <w:pPr>
              <w:ind w:left="0" w:right="17" w:hanging="2"/>
              <w:rPr>
                <w:rFonts w:ascii="Times New Roman" w:hAnsi="Times New Roman" w:cs="Times New Roman"/>
              </w:rPr>
            </w:pPr>
            <w:r>
              <w:rPr>
                <w:rFonts w:ascii="Times New Roman" w:hAnsi="Times New Roman" w:eastAsia="Times New Roman" w:cs="Times New Roman"/>
                <w:color w:val="000000"/>
              </w:rPr>
              <w:t>HALL, Stuart </w:t>
            </w:r>
            <w:r>
              <w:rPr>
                <w:rFonts w:ascii="Times New Roman" w:hAnsi="Times New Roman" w:eastAsia="Times New Roman" w:cs="Times New Roman"/>
                <w:b/>
                <w:color w:val="000000"/>
              </w:rPr>
              <w:t>Cultura e Representação</w:t>
            </w:r>
            <w:r>
              <w:rPr>
                <w:rFonts w:ascii="Times New Roman" w:hAnsi="Times New Roman" w:eastAsia="Times New Roman" w:cs="Times New Roman"/>
                <w:color w:val="000000"/>
              </w:rPr>
              <w:t>: </w:t>
            </w:r>
            <w:r>
              <w:rPr>
                <w:rFonts w:ascii="Times New Roman" w:hAnsi="Times New Roman" w:eastAsia="Times New Roman" w:cs="Times New Roman"/>
                <w:i/>
                <w:color w:val="000000"/>
              </w:rPr>
              <w:t>Trad. Daniel Miranda e William Oliveira</w:t>
            </w:r>
            <w:r>
              <w:rPr>
                <w:rFonts w:ascii="Times New Roman" w:hAnsi="Times New Roman" w:eastAsia="Times New Roman" w:cs="Times New Roman"/>
                <w:color w:val="000000"/>
              </w:rPr>
              <w:t>. Rio de Janeiro: Editora PUC Rio/ Apicuri, 2016. </w:t>
            </w:r>
          </w:p>
          <w:p>
            <w:pPr>
              <w:ind w:left="0" w:right="17" w:hanging="2"/>
              <w:rPr>
                <w:rFonts w:ascii="Times New Roman" w:hAnsi="Times New Roman" w:cs="Times New Roman"/>
              </w:rPr>
            </w:pPr>
            <w:r>
              <w:rPr>
                <w:rFonts w:ascii="Times New Roman" w:hAnsi="Times New Roman" w:eastAsia="Times New Roman" w:cs="Times New Roman"/>
                <w:color w:val="000000"/>
              </w:rPr>
              <w:t>KOPTCKE, Luciana Sepúlveda </w:t>
            </w:r>
            <w:r>
              <w:rPr>
                <w:rFonts w:ascii="Times New Roman" w:hAnsi="Times New Roman" w:eastAsia="Times New Roman" w:cs="Times New Roman"/>
                <w:b/>
                <w:color w:val="000000"/>
              </w:rPr>
              <w:t>Bárbaros, Escravos e Civilizados</w:t>
            </w:r>
            <w:r>
              <w:rPr>
                <w:rFonts w:ascii="Times New Roman" w:hAnsi="Times New Roman" w:eastAsia="Times New Roman" w:cs="Times New Roman"/>
                <w:color w:val="000000"/>
              </w:rPr>
              <w:t>: </w:t>
            </w:r>
            <w:r>
              <w:rPr>
                <w:rFonts w:ascii="Times New Roman" w:hAnsi="Times New Roman" w:eastAsia="Times New Roman" w:cs="Times New Roman"/>
                <w:i/>
                <w:color w:val="000000"/>
              </w:rPr>
              <w:t>o público dos museus no Brasil -Revista do Patrimônio. Museus: antropofagia da memória e do patrimônio</w:t>
            </w:r>
            <w:r>
              <w:rPr>
                <w:rFonts w:ascii="Times New Roman" w:hAnsi="Times New Roman" w:eastAsia="Times New Roman" w:cs="Times New Roman"/>
                <w:color w:val="000000"/>
              </w:rPr>
              <w:t>.</w:t>
            </w:r>
            <w:r>
              <w:rPr>
                <w:rFonts w:ascii="Times New Roman" w:hAnsi="Times New Roman" w:eastAsia="Times New Roman" w:cs="Times New Roman"/>
                <w:color w:val="000000"/>
              </w:rPr>
              <w:br w:type="textWrapping"/>
            </w:r>
            <w:r>
              <w:rPr>
                <w:rFonts w:ascii="Times New Roman" w:hAnsi="Times New Roman" w:eastAsia="Times New Roman" w:cs="Times New Roman"/>
                <w:color w:val="000000"/>
              </w:rPr>
              <w:t>Nº 31Brasília: MinC/IPHAN, 2005. </w:t>
            </w:r>
          </w:p>
          <w:p>
            <w:pPr>
              <w:ind w:left="0" w:right="17" w:hanging="2"/>
              <w:rPr>
                <w:rFonts w:ascii="Times New Roman" w:hAnsi="Times New Roman" w:cs="Times New Roman"/>
              </w:rPr>
            </w:pPr>
            <w:r>
              <w:rPr>
                <w:rFonts w:ascii="Times New Roman" w:hAnsi="Times New Roman" w:eastAsia="Times New Roman" w:cs="Times New Roman"/>
                <w:color w:val="000000"/>
              </w:rPr>
              <w:t>Leandro Benedini Brusadin. </w:t>
            </w:r>
            <w:r>
              <w:rPr>
                <w:rFonts w:ascii="Times New Roman" w:hAnsi="Times New Roman" w:eastAsia="Times New Roman" w:cs="Times New Roman"/>
                <w:b/>
                <w:color w:val="000000"/>
              </w:rPr>
              <w:t>História, turismo e patrimônio cultural</w:t>
            </w:r>
            <w:r>
              <w:rPr>
                <w:rFonts w:ascii="Times New Roman" w:hAnsi="Times New Roman" w:eastAsia="Times New Roman" w:cs="Times New Roman"/>
                <w:color w:val="000000"/>
              </w:rPr>
              <w:t>: </w:t>
            </w:r>
            <w:r>
              <w:rPr>
                <w:rFonts w:ascii="Times New Roman" w:hAnsi="Times New Roman" w:eastAsia="Times New Roman" w:cs="Times New Roman"/>
                <w:i/>
                <w:color w:val="000000"/>
              </w:rPr>
              <w:t>o poder simbólico do Museu da Inconfidência no imaginário social</w:t>
            </w:r>
            <w:r>
              <w:rPr>
                <w:rFonts w:ascii="Times New Roman" w:hAnsi="Times New Roman" w:eastAsia="Times New Roman" w:cs="Times New Roman"/>
                <w:color w:val="000000"/>
              </w:rPr>
              <w:t>. 1. ed. Curitiba: Prismas, 2015. </w:t>
            </w:r>
          </w:p>
          <w:p>
            <w:pPr>
              <w:ind w:left="0" w:hanging="2"/>
              <w:rPr>
                <w:rFonts w:ascii="Times New Roman" w:hAnsi="Times New Roman" w:eastAsia="Times New Roman" w:cs="Times New Roman"/>
              </w:rPr>
            </w:pPr>
          </w:p>
        </w:tc>
      </w:tr>
      <w:tr>
        <w:tblPrEx>
          <w:tblCellMar>
            <w:top w:w="0" w:type="dxa"/>
            <w:left w:w="22" w:type="dxa"/>
            <w:bottom w:w="0" w:type="dxa"/>
            <w:right w:w="22" w:type="dxa"/>
          </w:tblCellMar>
        </w:tblPrEx>
        <w:trPr>
          <w:trHeight w:val="1656"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Bibliografia complementar:</w:t>
            </w:r>
          </w:p>
          <w:p>
            <w:pPr>
              <w:ind w:left="0" w:hanging="2"/>
              <w:rPr>
                <w:rFonts w:ascii="Times New Roman" w:hAnsi="Times New Roman" w:cs="Times New Roman"/>
              </w:rPr>
            </w:pPr>
            <w:r>
              <w:rPr>
                <w:rFonts w:ascii="Times New Roman" w:hAnsi="Times New Roman" w:eastAsia="Times New Roman" w:cs="Times New Roman"/>
                <w:b/>
                <w:color w:val="000000"/>
              </w:rPr>
              <w:t>Musas </w:t>
            </w:r>
            <w:r>
              <w:rPr>
                <w:rFonts w:ascii="Times New Roman" w:hAnsi="Times New Roman" w:eastAsia="Times New Roman" w:cs="Times New Roman"/>
                <w:color w:val="000000"/>
              </w:rPr>
              <w:t>: </w:t>
            </w:r>
            <w:r>
              <w:rPr>
                <w:rFonts w:ascii="Times New Roman" w:hAnsi="Times New Roman" w:eastAsia="Times New Roman" w:cs="Times New Roman"/>
                <w:i/>
                <w:color w:val="000000"/>
              </w:rPr>
              <w:t>Revista Brasileira de Museus e Museologia. </w:t>
            </w:r>
            <w:r>
              <w:rPr>
                <w:rFonts w:ascii="Times New Roman" w:hAnsi="Times New Roman" w:eastAsia="Times New Roman" w:cs="Times New Roman"/>
                <w:color w:val="000000"/>
              </w:rPr>
              <w:t>. Rio de Janeiro (RJ): Instituto do Patrimônio Histórico e Artístico Nacional (IPHAN), 2004- (periódico corrente). </w:t>
            </w:r>
          </w:p>
          <w:p>
            <w:pPr>
              <w:ind w:left="0" w:hanging="2"/>
              <w:rPr>
                <w:rFonts w:ascii="Times New Roman" w:hAnsi="Times New Roman" w:cs="Times New Roman"/>
              </w:rPr>
            </w:pPr>
            <w:r>
              <w:rPr>
                <w:rFonts w:ascii="Times New Roman" w:hAnsi="Times New Roman" w:eastAsia="Times New Roman" w:cs="Times New Roman"/>
                <w:color w:val="000000"/>
              </w:rPr>
              <w:t>Pierre Bourdieu e Alain Darbel com a colaboração de Dominique Schnapper; tradução Guilherme João de Freitas Teixeira </w:t>
            </w:r>
            <w:r>
              <w:rPr>
                <w:rFonts w:ascii="Times New Roman" w:hAnsi="Times New Roman" w:eastAsia="Times New Roman" w:cs="Times New Roman"/>
                <w:b/>
                <w:color w:val="000000"/>
              </w:rPr>
              <w:t>O amor pela arte </w:t>
            </w:r>
            <w:r>
              <w:rPr>
                <w:rFonts w:ascii="Times New Roman" w:hAnsi="Times New Roman" w:eastAsia="Times New Roman" w:cs="Times New Roman"/>
                <w:color w:val="000000"/>
              </w:rPr>
              <w:t>: </w:t>
            </w:r>
            <w:r>
              <w:rPr>
                <w:rFonts w:ascii="Times New Roman" w:hAnsi="Times New Roman" w:eastAsia="Times New Roman" w:cs="Times New Roman"/>
                <w:i/>
                <w:color w:val="000000"/>
              </w:rPr>
              <w:t>os museus de arte na Europa e seu público </w:t>
            </w:r>
            <w:r>
              <w:rPr>
                <w:rFonts w:ascii="Times New Roman" w:hAnsi="Times New Roman" w:eastAsia="Times New Roman" w:cs="Times New Roman"/>
                <w:color w:val="000000"/>
              </w:rPr>
              <w:t>.2. ed. São Paulo : EDUSP.</w:t>
            </w:r>
          </w:p>
          <w:p>
            <w:pPr>
              <w:spacing w:line="360" w:lineRule="auto"/>
              <w:ind w:left="0" w:hanging="2"/>
              <w:rPr>
                <w:rFonts w:ascii="Times New Roman" w:hAnsi="Times New Roman" w:eastAsia="Times New Roman" w:cs="Times New Roman"/>
              </w:rPr>
            </w:pP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35"/>
        <w:tblW w:w="8924" w:type="dxa"/>
        <w:tblInd w:w="-20" w:type="dxa"/>
        <w:tblLayout w:type="fixed"/>
        <w:tblCellMar>
          <w:top w:w="0" w:type="dxa"/>
          <w:left w:w="22" w:type="dxa"/>
          <w:bottom w:w="0" w:type="dxa"/>
          <w:right w:w="22" w:type="dxa"/>
        </w:tblCellMar>
      </w:tblPr>
      <w:tblGrid>
        <w:gridCol w:w="2886"/>
        <w:gridCol w:w="3122"/>
        <w:gridCol w:w="2916"/>
      </w:tblGrid>
      <w:tr>
        <w:tblPrEx>
          <w:tblCellMar>
            <w:top w:w="0" w:type="dxa"/>
            <w:left w:w="22" w:type="dxa"/>
            <w:bottom w:w="0" w:type="dxa"/>
            <w:right w:w="22" w:type="dxa"/>
          </w:tblCellMar>
        </w:tblPrEx>
        <w:trPr>
          <w:trHeight w:val="1877" w:hRule="atLeast"/>
        </w:trPr>
        <w:tc>
          <w:tcPr>
            <w:tcW w:w="6008"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Organização de Museus</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Nome do Componente Curricular em inglês: Museums Organization  </w:t>
            </w:r>
          </w:p>
        </w:tc>
        <w:tc>
          <w:tcPr>
            <w:tcW w:w="2916"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MUL140</w:t>
            </w:r>
          </w:p>
        </w:tc>
      </w:tr>
      <w:tr>
        <w:tblPrEx>
          <w:tblCellMar>
            <w:top w:w="0" w:type="dxa"/>
            <w:left w:w="22" w:type="dxa"/>
            <w:bottom w:w="0" w:type="dxa"/>
            <w:right w:w="22" w:type="dxa"/>
          </w:tblCellMar>
        </w:tblPrEx>
        <w:trPr>
          <w:trHeight w:val="825" w:hRule="atLeast"/>
        </w:trPr>
        <w:tc>
          <w:tcPr>
            <w:tcW w:w="6008"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Museologia - DEMUL</w:t>
            </w:r>
          </w:p>
        </w:tc>
        <w:tc>
          <w:tcPr>
            <w:tcW w:w="291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3" w:hRule="atLeast"/>
        </w:trPr>
        <w:tc>
          <w:tcPr>
            <w:tcW w:w="2886"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6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semestral </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30 horas</w:t>
            </w:r>
          </w:p>
        </w:tc>
        <w:tc>
          <w:tcPr>
            <w:tcW w:w="3122"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02 horas/aula</w:t>
            </w:r>
          </w:p>
        </w:tc>
        <w:tc>
          <w:tcPr>
            <w:tcW w:w="291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00 horas/aula</w:t>
            </w:r>
          </w:p>
        </w:tc>
      </w:tr>
      <w:tr>
        <w:tblPrEx>
          <w:tblCellMar>
            <w:top w:w="0" w:type="dxa"/>
            <w:left w:w="22" w:type="dxa"/>
            <w:bottom w:w="0" w:type="dxa"/>
            <w:right w:w="22" w:type="dxa"/>
          </w:tblCellMar>
        </w:tblPrEx>
        <w:trPr>
          <w:trHeight w:val="1650"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Ementa: O Museu e suas Funções. Elementos constitutivos do Museu e sua Organização Geral. Coleções. A Equipe Administrativa, Técnica e de Segurança. Serviços Gerais. O Público. </w:t>
            </w:r>
          </w:p>
        </w:tc>
      </w:tr>
      <w:tr>
        <w:tblPrEx>
          <w:tblCellMar>
            <w:top w:w="0" w:type="dxa"/>
            <w:left w:w="22" w:type="dxa"/>
            <w:bottom w:w="0" w:type="dxa"/>
            <w:right w:w="22" w:type="dxa"/>
          </w:tblCellMar>
        </w:tblPrEx>
        <w:trPr>
          <w:trHeight w:val="2205"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numPr>
                <w:ilvl w:val="0"/>
                <w:numId w:val="108"/>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Museu e suas Funções.</w:t>
            </w:r>
          </w:p>
          <w:p>
            <w:pPr>
              <w:widowControl w:val="0"/>
              <w:numPr>
                <w:ilvl w:val="0"/>
                <w:numId w:val="108"/>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Elementos constitutivos do Museu e sua Organização Geral. </w:t>
            </w:r>
          </w:p>
          <w:p>
            <w:pPr>
              <w:widowControl w:val="0"/>
              <w:numPr>
                <w:ilvl w:val="0"/>
                <w:numId w:val="108"/>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Coleções. </w:t>
            </w:r>
          </w:p>
          <w:p>
            <w:pPr>
              <w:widowControl w:val="0"/>
              <w:numPr>
                <w:ilvl w:val="0"/>
                <w:numId w:val="108"/>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 Equipe Administrativa, Técnica e de Segurança. </w:t>
            </w:r>
          </w:p>
          <w:p>
            <w:pPr>
              <w:widowControl w:val="0"/>
              <w:numPr>
                <w:ilvl w:val="0"/>
                <w:numId w:val="108"/>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Serviços Gerais. </w:t>
            </w:r>
          </w:p>
          <w:p>
            <w:pPr>
              <w:widowControl w:val="0"/>
              <w:numPr>
                <w:ilvl w:val="0"/>
                <w:numId w:val="108"/>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 Público.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p>
        </w:tc>
      </w:tr>
      <w:tr>
        <w:tblPrEx>
          <w:tblCellMar>
            <w:top w:w="0" w:type="dxa"/>
            <w:left w:w="22" w:type="dxa"/>
            <w:bottom w:w="0" w:type="dxa"/>
            <w:right w:w="22" w:type="dxa"/>
          </w:tblCellMar>
        </w:tblPrEx>
        <w:trPr>
          <w:trHeight w:val="1115"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    Bibliografia básica:</w:t>
            </w:r>
          </w:p>
          <w:p>
            <w:pPr>
              <w:ind w:left="0" w:hanging="2"/>
              <w:rPr>
                <w:rFonts w:ascii="Times New Roman" w:hAnsi="Times New Roman" w:cs="Times New Roman"/>
              </w:rPr>
            </w:pPr>
            <w:r>
              <w:rPr>
                <w:rFonts w:ascii="Times New Roman" w:hAnsi="Times New Roman" w:eastAsia="Times New Roman" w:cs="Times New Roman"/>
                <w:color w:val="000000"/>
              </w:rPr>
              <w:t>Regina Abreu, Mário de Souza Chagas, Myrian Sepúlveda dos Santos [organizadores]. </w:t>
            </w:r>
            <w:r>
              <w:rPr>
                <w:rFonts w:ascii="Times New Roman" w:hAnsi="Times New Roman" w:eastAsia="Times New Roman" w:cs="Times New Roman"/>
                <w:b/>
                <w:color w:val="000000"/>
              </w:rPr>
              <w:t>Museus, coleções e patrimônios </w:t>
            </w:r>
            <w:r>
              <w:rPr>
                <w:rFonts w:ascii="Times New Roman" w:hAnsi="Times New Roman" w:eastAsia="Times New Roman" w:cs="Times New Roman"/>
                <w:color w:val="000000"/>
              </w:rPr>
              <w:t>: </w:t>
            </w:r>
            <w:r>
              <w:rPr>
                <w:rFonts w:ascii="Times New Roman" w:hAnsi="Times New Roman" w:eastAsia="Times New Roman" w:cs="Times New Roman"/>
                <w:i/>
                <w:color w:val="000000"/>
              </w:rPr>
              <w:t>narrativa polifônicas </w:t>
            </w:r>
            <w:r>
              <w:rPr>
                <w:rFonts w:ascii="Times New Roman" w:hAnsi="Times New Roman" w:eastAsia="Times New Roman" w:cs="Times New Roman"/>
                <w:color w:val="000000"/>
              </w:rPr>
              <w:t>.V.3 MUSEO. Rio de Janeiro: Garamond </w:t>
            </w:r>
            <w:r>
              <w:rPr>
                <w:rFonts w:ascii="Times New Roman" w:hAnsi="Times New Roman" w:eastAsia="Times New Roman" w:cs="Times New Roman"/>
                <w:color w:val="FF0000"/>
              </w:rPr>
              <w:t>.</w:t>
            </w:r>
          </w:p>
          <w:p>
            <w:pPr>
              <w:ind w:left="0" w:hanging="2"/>
              <w:rPr>
                <w:rFonts w:ascii="Times New Roman" w:hAnsi="Times New Roman" w:cs="Times New Roman"/>
              </w:rPr>
            </w:pPr>
            <w:r>
              <w:rPr>
                <w:rFonts w:ascii="Times New Roman" w:hAnsi="Times New Roman" w:eastAsia="Times New Roman" w:cs="Times New Roman"/>
                <w:color w:val="000000"/>
              </w:rPr>
              <w:t>Ministério da Cultura. </w:t>
            </w:r>
            <w:r>
              <w:rPr>
                <w:rFonts w:ascii="Times New Roman" w:hAnsi="Times New Roman" w:eastAsia="Times New Roman" w:cs="Times New Roman"/>
                <w:b/>
                <w:color w:val="000000"/>
              </w:rPr>
              <w:t>Política nacional de museus</w:t>
            </w:r>
            <w:r>
              <w:rPr>
                <w:rFonts w:ascii="Times New Roman" w:hAnsi="Times New Roman" w:eastAsia="Times New Roman" w:cs="Times New Roman"/>
                <w:color w:val="000000"/>
              </w:rPr>
              <w:t>: </w:t>
            </w:r>
            <w:r>
              <w:rPr>
                <w:rFonts w:ascii="Times New Roman" w:hAnsi="Times New Roman" w:eastAsia="Times New Roman" w:cs="Times New Roman"/>
                <w:i/>
                <w:color w:val="000000"/>
              </w:rPr>
              <w:t>bases para a política nacional de museus, Programa de formação e capacitação em museologia, cadastro de instituições museológicas</w:t>
            </w:r>
            <w:r>
              <w:rPr>
                <w:rFonts w:ascii="Times New Roman" w:hAnsi="Times New Roman" w:eastAsia="Times New Roman" w:cs="Times New Roman"/>
                <w:color w:val="000000"/>
              </w:rPr>
              <w:t>. Brasília : Ministério da Cultura, 2003. </w:t>
            </w:r>
          </w:p>
          <w:p>
            <w:pPr>
              <w:ind w:left="0" w:hanging="2"/>
              <w:rPr>
                <w:rFonts w:ascii="Times New Roman" w:hAnsi="Times New Roman" w:cs="Times New Roman"/>
              </w:rPr>
            </w:pPr>
            <w:r>
              <w:rPr>
                <w:rFonts w:ascii="Times New Roman" w:hAnsi="Times New Roman" w:eastAsia="Times New Roman" w:cs="Times New Roman"/>
                <w:b/>
                <w:color w:val="000000"/>
              </w:rPr>
              <w:t>Guia de museus brasileiros</w:t>
            </w:r>
            <w:r>
              <w:rPr>
                <w:rFonts w:ascii="Times New Roman" w:hAnsi="Times New Roman" w:eastAsia="Times New Roman" w:cs="Times New Roman"/>
                <w:color w:val="000000"/>
              </w:rPr>
              <w:t>. São Paulo: USP, 1997. </w:t>
            </w:r>
          </w:p>
          <w:p>
            <w:pPr>
              <w:ind w:left="0" w:hanging="2"/>
              <w:rPr>
                <w:rFonts w:ascii="Times New Roman" w:hAnsi="Times New Roman" w:cs="Times New Roman"/>
              </w:rPr>
            </w:pPr>
            <w:r>
              <w:rPr>
                <w:rFonts w:ascii="Times New Roman" w:hAnsi="Times New Roman" w:eastAsia="Times New Roman" w:cs="Times New Roman"/>
                <w:color w:val="000000"/>
              </w:rPr>
              <w:t>Ministério da Cultura, Instituto do Patrimônio Histórico e Artístico Nacional, Departamento de Museus e Centros Culturais </w:t>
            </w:r>
            <w:r>
              <w:rPr>
                <w:rFonts w:ascii="Times New Roman" w:hAnsi="Times New Roman" w:eastAsia="Times New Roman" w:cs="Times New Roman"/>
                <w:b/>
                <w:color w:val="000000"/>
              </w:rPr>
              <w:t>Política nacional de museus</w:t>
            </w:r>
            <w:r>
              <w:rPr>
                <w:rFonts w:ascii="Times New Roman" w:hAnsi="Times New Roman" w:eastAsia="Times New Roman" w:cs="Times New Roman"/>
                <w:color w:val="000000"/>
              </w:rPr>
              <w:t>: </w:t>
            </w:r>
            <w:r>
              <w:rPr>
                <w:rFonts w:ascii="Times New Roman" w:hAnsi="Times New Roman" w:eastAsia="Times New Roman" w:cs="Times New Roman"/>
                <w:i/>
                <w:color w:val="000000"/>
              </w:rPr>
              <w:t>relatório de gestão 2003-2004 </w:t>
            </w:r>
            <w:r>
              <w:rPr>
                <w:rFonts w:ascii="Times New Roman" w:hAnsi="Times New Roman" w:eastAsia="Times New Roman" w:cs="Times New Roman"/>
                <w:color w:val="000000"/>
              </w:rPr>
              <w:t>. [Brasília] : Minc/ IPHAN/ DEMU, 2005. </w:t>
            </w:r>
          </w:p>
        </w:tc>
      </w:tr>
      <w:tr>
        <w:tblPrEx>
          <w:tblCellMar>
            <w:top w:w="0" w:type="dxa"/>
            <w:left w:w="22" w:type="dxa"/>
            <w:bottom w:w="0" w:type="dxa"/>
            <w:right w:w="22" w:type="dxa"/>
          </w:tblCellMar>
        </w:tblPrEx>
        <w:trPr>
          <w:trHeight w:val="1656"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ind w:left="0" w:hanging="2"/>
              <w:rPr>
                <w:rFonts w:ascii="Times New Roman" w:hAnsi="Times New Roman" w:cs="Times New Roman"/>
              </w:rPr>
            </w:pPr>
            <w:r>
              <w:rPr>
                <w:rFonts w:ascii="Times New Roman" w:hAnsi="Times New Roman" w:eastAsia="Times New Roman" w:cs="Times New Roman"/>
                <w:color w:val="000000"/>
              </w:rPr>
              <w:t>Timonthy Mason. </w:t>
            </w:r>
            <w:r>
              <w:rPr>
                <w:rFonts w:ascii="Times New Roman" w:hAnsi="Times New Roman" w:eastAsia="Times New Roman" w:cs="Times New Roman"/>
                <w:b/>
                <w:color w:val="000000"/>
              </w:rPr>
              <w:t>Gestão museológica</w:t>
            </w:r>
            <w:r>
              <w:rPr>
                <w:rFonts w:ascii="Times New Roman" w:hAnsi="Times New Roman" w:eastAsia="Times New Roman" w:cs="Times New Roman"/>
                <w:color w:val="000000"/>
              </w:rPr>
              <w:t>: </w:t>
            </w:r>
            <w:r>
              <w:rPr>
                <w:rFonts w:ascii="Times New Roman" w:hAnsi="Times New Roman" w:eastAsia="Times New Roman" w:cs="Times New Roman"/>
                <w:i/>
                <w:color w:val="000000"/>
              </w:rPr>
              <w:t>desafios e práticas</w:t>
            </w:r>
            <w:r>
              <w:rPr>
                <w:rFonts w:ascii="Times New Roman" w:hAnsi="Times New Roman" w:eastAsia="Times New Roman" w:cs="Times New Roman"/>
                <w:color w:val="000000"/>
              </w:rPr>
              <w:t>. - V.7 MUSEO. São Paulo: EDUSP </w:t>
            </w:r>
          </w:p>
          <w:p>
            <w:pPr>
              <w:ind w:left="0" w:hanging="2"/>
              <w:rPr>
                <w:rFonts w:ascii="Times New Roman" w:hAnsi="Times New Roman" w:cs="Times New Roman"/>
              </w:rPr>
            </w:pPr>
            <w:r>
              <w:rPr>
                <w:rFonts w:ascii="Times New Roman" w:hAnsi="Times New Roman" w:eastAsia="Times New Roman" w:cs="Times New Roman"/>
                <w:color w:val="000000"/>
              </w:rPr>
              <w:t>Comitê Brasileiro do Conselho Internacional de Museus (ICOM-BR) ; Comitê Português do Conselho Internacional de Museus (ICOM-PT). </w:t>
            </w:r>
            <w:r>
              <w:rPr>
                <w:rFonts w:ascii="Times New Roman" w:hAnsi="Times New Roman" w:eastAsia="Times New Roman" w:cs="Times New Roman"/>
                <w:b/>
                <w:color w:val="000000"/>
              </w:rPr>
              <w:t>Código de ética do ICOM para museus</w:t>
            </w:r>
            <w:r>
              <w:rPr>
                <w:rFonts w:ascii="Times New Roman" w:hAnsi="Times New Roman" w:eastAsia="Times New Roman" w:cs="Times New Roman"/>
                <w:color w:val="000000"/>
              </w:rPr>
              <w:t>: </w:t>
            </w:r>
            <w:r>
              <w:rPr>
                <w:rFonts w:ascii="Times New Roman" w:hAnsi="Times New Roman" w:eastAsia="Times New Roman" w:cs="Times New Roman"/>
                <w:i/>
                <w:color w:val="000000"/>
              </w:rPr>
              <w:t>versão lusófona</w:t>
            </w:r>
            <w:r>
              <w:rPr>
                <w:rFonts w:ascii="Times New Roman" w:hAnsi="Times New Roman" w:eastAsia="Times New Roman" w:cs="Times New Roman"/>
                <w:color w:val="000000"/>
              </w:rPr>
              <w:t>. Brasil: ICOM-BR </w:t>
            </w:r>
          </w:p>
          <w:p>
            <w:pPr>
              <w:ind w:left="0" w:hanging="2"/>
              <w:rPr>
                <w:rFonts w:ascii="Times New Roman" w:hAnsi="Times New Roman" w:cs="Times New Roman"/>
              </w:rPr>
            </w:pPr>
            <w:r>
              <w:rPr>
                <w:rFonts w:ascii="Times New Roman" w:hAnsi="Times New Roman" w:eastAsia="Times New Roman" w:cs="Times New Roman"/>
                <w:color w:val="000000"/>
              </w:rPr>
              <w:t>Obrist, Hans Ulrich. </w:t>
            </w:r>
            <w:r>
              <w:rPr>
                <w:rFonts w:ascii="Times New Roman" w:hAnsi="Times New Roman" w:eastAsia="Times New Roman" w:cs="Times New Roman"/>
                <w:b/>
                <w:color w:val="000000"/>
              </w:rPr>
              <w:t>Uma breve história da curadoria</w:t>
            </w:r>
            <w:r>
              <w:rPr>
                <w:rFonts w:ascii="Times New Roman" w:hAnsi="Times New Roman" w:eastAsia="Times New Roman" w:cs="Times New Roman"/>
                <w:color w:val="000000"/>
              </w:rPr>
              <w:t>. São Paulo: BEI, 2008.</w:t>
            </w:r>
          </w:p>
          <w:p>
            <w:pPr>
              <w:ind w:left="0" w:hanging="2"/>
              <w:rPr>
                <w:rFonts w:ascii="Times New Roman" w:hAnsi="Times New Roman" w:cs="Times New Roman"/>
              </w:rPr>
            </w:pPr>
            <w:r>
              <w:rPr>
                <w:rFonts w:ascii="Times New Roman" w:hAnsi="Times New Roman" w:eastAsia="Times New Roman" w:cs="Times New Roman"/>
                <w:b/>
                <w:color w:val="000000"/>
              </w:rPr>
              <w:t>O caráter político dos museus</w:t>
            </w:r>
            <w:r>
              <w:rPr>
                <w:rFonts w:ascii="Times New Roman" w:hAnsi="Times New Roman" w:eastAsia="Times New Roman" w:cs="Times New Roman"/>
                <w:color w:val="000000"/>
              </w:rPr>
              <w:t>. Rio de Janeiro: MAST, 2010. </w:t>
            </w:r>
          </w:p>
          <w:p>
            <w:pPr>
              <w:ind w:left="0" w:hanging="2"/>
              <w:rPr>
                <w:rFonts w:ascii="Times New Roman" w:hAnsi="Times New Roman" w:cs="Times New Roman"/>
              </w:rPr>
            </w:pPr>
            <w:r>
              <w:rPr>
                <w:rFonts w:ascii="Times New Roman" w:hAnsi="Times New Roman" w:eastAsia="Times New Roman" w:cs="Times New Roman"/>
                <w:b/>
                <w:color w:val="000000"/>
              </w:rPr>
              <w:t>Como explorar um museu histórico</w:t>
            </w:r>
            <w:r>
              <w:rPr>
                <w:rFonts w:ascii="Times New Roman" w:hAnsi="Times New Roman" w:eastAsia="Times New Roman" w:cs="Times New Roman"/>
                <w:color w:val="000000"/>
              </w:rPr>
              <w:t>. São Paulo: Museu Paulista, [1992]. </w:t>
            </w:r>
          </w:p>
          <w:p>
            <w:pPr>
              <w:spacing w:line="360" w:lineRule="auto"/>
              <w:ind w:left="0" w:hanging="2"/>
              <w:rPr>
                <w:rFonts w:ascii="Times New Roman" w:hAnsi="Times New Roman" w:eastAsia="Times New Roman" w:cs="Times New Roman"/>
              </w:rPr>
            </w:pP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36"/>
        <w:tblW w:w="8924" w:type="dxa"/>
        <w:tblInd w:w="-20" w:type="dxa"/>
        <w:tblLayout w:type="fixed"/>
        <w:tblCellMar>
          <w:top w:w="0" w:type="dxa"/>
          <w:left w:w="22" w:type="dxa"/>
          <w:bottom w:w="0" w:type="dxa"/>
          <w:right w:w="22" w:type="dxa"/>
        </w:tblCellMar>
      </w:tblPr>
      <w:tblGrid>
        <w:gridCol w:w="2886"/>
        <w:gridCol w:w="3122"/>
        <w:gridCol w:w="2916"/>
      </w:tblGrid>
      <w:tr>
        <w:tblPrEx>
          <w:tblCellMar>
            <w:top w:w="0" w:type="dxa"/>
            <w:left w:w="22" w:type="dxa"/>
            <w:bottom w:w="0" w:type="dxa"/>
            <w:right w:w="22" w:type="dxa"/>
          </w:tblCellMar>
        </w:tblPrEx>
        <w:trPr>
          <w:trHeight w:val="1877" w:hRule="atLeast"/>
        </w:trPr>
        <w:tc>
          <w:tcPr>
            <w:tcW w:w="6008"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Gestão e Administração de Museus</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Nome do Componente Curricular em inglês: Museums Management and Administration  </w:t>
            </w:r>
          </w:p>
        </w:tc>
        <w:tc>
          <w:tcPr>
            <w:tcW w:w="2916"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MUL141</w:t>
            </w:r>
          </w:p>
        </w:tc>
      </w:tr>
      <w:tr>
        <w:tblPrEx>
          <w:tblCellMar>
            <w:top w:w="0" w:type="dxa"/>
            <w:left w:w="22" w:type="dxa"/>
            <w:bottom w:w="0" w:type="dxa"/>
            <w:right w:w="22" w:type="dxa"/>
          </w:tblCellMar>
        </w:tblPrEx>
        <w:trPr>
          <w:trHeight w:val="825" w:hRule="atLeast"/>
        </w:trPr>
        <w:tc>
          <w:tcPr>
            <w:tcW w:w="6008"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Museologia - DEMUL</w:t>
            </w:r>
          </w:p>
        </w:tc>
        <w:tc>
          <w:tcPr>
            <w:tcW w:w="291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3" w:hRule="atLeast"/>
        </w:trPr>
        <w:tc>
          <w:tcPr>
            <w:tcW w:w="2886"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6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semestral </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30 horas</w:t>
            </w:r>
          </w:p>
        </w:tc>
        <w:tc>
          <w:tcPr>
            <w:tcW w:w="3122"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02 horas/aula</w:t>
            </w:r>
          </w:p>
        </w:tc>
        <w:tc>
          <w:tcPr>
            <w:tcW w:w="291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00 horas/aula</w:t>
            </w:r>
          </w:p>
        </w:tc>
      </w:tr>
      <w:tr>
        <w:tblPrEx>
          <w:tblCellMar>
            <w:top w:w="0" w:type="dxa"/>
            <w:left w:w="22" w:type="dxa"/>
            <w:bottom w:w="0" w:type="dxa"/>
            <w:right w:w="22" w:type="dxa"/>
          </w:tblCellMar>
        </w:tblPrEx>
        <w:trPr>
          <w:trHeight w:val="1085"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Planejamento, criação e administração de museus e centros culturais. Planejamento estratégico e sistemas de qualidades. Ética profissional.</w:t>
            </w:r>
          </w:p>
        </w:tc>
      </w:tr>
      <w:tr>
        <w:tblPrEx>
          <w:tblCellMar>
            <w:top w:w="0" w:type="dxa"/>
            <w:left w:w="22" w:type="dxa"/>
            <w:bottom w:w="0" w:type="dxa"/>
            <w:right w:w="22" w:type="dxa"/>
          </w:tblCellMar>
        </w:tblPrEx>
        <w:trPr>
          <w:trHeight w:val="2205"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Planejamento e Gestão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b/>
            </w:r>
            <w:r>
              <w:rPr>
                <w:rFonts w:ascii="Times New Roman" w:hAnsi="Times New Roman" w:eastAsia="Times New Roman" w:cs="Times New Roman"/>
                <w:color w:val="000000"/>
              </w:rPr>
              <w:t>Primeiro Setor: a Administração direta, Autarquias e Fundações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b/>
            </w:r>
            <w:r>
              <w:rPr>
                <w:rFonts w:ascii="Times New Roman" w:hAnsi="Times New Roman" w:eastAsia="Times New Roman" w:cs="Times New Roman"/>
                <w:color w:val="000000"/>
              </w:rPr>
              <w:t>Segundo Setor: Entidades de Apoio, Empresas, Associações.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b/>
            </w:r>
            <w:r>
              <w:rPr>
                <w:rFonts w:ascii="Times New Roman" w:hAnsi="Times New Roman" w:eastAsia="Times New Roman" w:cs="Times New Roman"/>
                <w:color w:val="000000"/>
              </w:rPr>
              <w:t>Terceiro Setor: Serviços Sociais Autônomos, Organizações Sociais e Organizações da Sociedade Civil de Interesse Público</w:t>
            </w:r>
          </w:p>
          <w:p>
            <w:pPr>
              <w:widowControl w:val="0"/>
              <w:numPr>
                <w:ilvl w:val="0"/>
                <w:numId w:val="109"/>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Modelos de Gestão Previstos no Estatuto dos Museus</w:t>
            </w:r>
          </w:p>
          <w:p>
            <w:pPr>
              <w:widowControl w:val="0"/>
              <w:numPr>
                <w:ilvl w:val="0"/>
                <w:numId w:val="109"/>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Administração de Museus</w:t>
            </w:r>
          </w:p>
          <w:p>
            <w:pPr>
              <w:widowControl w:val="0"/>
              <w:numPr>
                <w:ilvl w:val="0"/>
                <w:numId w:val="109"/>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Gestão de Pessoas</w:t>
            </w:r>
          </w:p>
          <w:p>
            <w:pPr>
              <w:widowControl w:val="0"/>
              <w:numPr>
                <w:ilvl w:val="0"/>
                <w:numId w:val="109"/>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Gestão Financeira</w:t>
            </w:r>
          </w:p>
          <w:p>
            <w:pPr>
              <w:widowControl w:val="0"/>
              <w:numPr>
                <w:ilvl w:val="0"/>
                <w:numId w:val="109"/>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Gestão de Projetos</w:t>
            </w:r>
          </w:p>
          <w:p>
            <w:pPr>
              <w:widowControl w:val="0"/>
              <w:numPr>
                <w:ilvl w:val="0"/>
                <w:numId w:val="109"/>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Processos Licitatórios</w:t>
            </w:r>
          </w:p>
          <w:p>
            <w:pPr>
              <w:widowControl w:val="0"/>
              <w:numPr>
                <w:ilvl w:val="0"/>
                <w:numId w:val="109"/>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Processos de Acompanhamento e Avaliação</w:t>
            </w:r>
          </w:p>
          <w:p>
            <w:pPr>
              <w:widowControl w:val="0"/>
              <w:numPr>
                <w:ilvl w:val="0"/>
                <w:numId w:val="109"/>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Planejamento estratégico e o Plano Museológico</w:t>
            </w:r>
          </w:p>
          <w:p>
            <w:pPr>
              <w:widowControl w:val="0"/>
              <w:numPr>
                <w:ilvl w:val="0"/>
                <w:numId w:val="109"/>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Ética profissional </w:t>
            </w:r>
          </w:p>
        </w:tc>
      </w:tr>
      <w:tr>
        <w:tblPrEx>
          <w:tblCellMar>
            <w:top w:w="0" w:type="dxa"/>
            <w:left w:w="22" w:type="dxa"/>
            <w:bottom w:w="0" w:type="dxa"/>
            <w:right w:w="22" w:type="dxa"/>
          </w:tblCellMar>
        </w:tblPrEx>
        <w:trPr>
          <w:trHeight w:val="1115"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   Bibliografia básica:</w:t>
            </w:r>
          </w:p>
          <w:p>
            <w:pPr>
              <w:ind w:left="0" w:hanging="2"/>
              <w:rPr>
                <w:rFonts w:ascii="Times New Roman" w:hAnsi="Times New Roman" w:cs="Times New Roman"/>
              </w:rPr>
            </w:pPr>
            <w:r>
              <w:rPr>
                <w:rFonts w:ascii="Times New Roman" w:hAnsi="Times New Roman" w:eastAsia="Times New Roman" w:cs="Times New Roman"/>
                <w:color w:val="000000"/>
              </w:rPr>
              <w:t>Davies, Stuart. </w:t>
            </w:r>
            <w:r>
              <w:rPr>
                <w:rFonts w:ascii="Times New Roman" w:hAnsi="Times New Roman" w:eastAsia="Times New Roman" w:cs="Times New Roman"/>
                <w:b/>
                <w:color w:val="000000"/>
              </w:rPr>
              <w:t>Plano Diretor</w:t>
            </w:r>
            <w:r>
              <w:rPr>
                <w:rFonts w:ascii="Times New Roman" w:hAnsi="Times New Roman" w:eastAsia="Times New Roman" w:cs="Times New Roman"/>
                <w:color w:val="000000"/>
              </w:rPr>
              <w:t>. São Paulo: Edusp, 2001. </w:t>
            </w:r>
          </w:p>
          <w:p>
            <w:pPr>
              <w:ind w:left="0" w:hanging="2"/>
              <w:rPr>
                <w:rFonts w:ascii="Times New Roman" w:hAnsi="Times New Roman" w:cs="Times New Roman"/>
              </w:rPr>
            </w:pPr>
            <w:r>
              <w:rPr>
                <w:rFonts w:ascii="Times New Roman" w:hAnsi="Times New Roman" w:eastAsia="Times New Roman" w:cs="Times New Roman"/>
                <w:color w:val="000000"/>
              </w:rPr>
              <w:t>Timonthy Mason. </w:t>
            </w:r>
            <w:r>
              <w:rPr>
                <w:rFonts w:ascii="Times New Roman" w:hAnsi="Times New Roman" w:eastAsia="Times New Roman" w:cs="Times New Roman"/>
                <w:b/>
                <w:color w:val="000000"/>
              </w:rPr>
              <w:t>Gestão museológica</w:t>
            </w:r>
            <w:r>
              <w:rPr>
                <w:rFonts w:ascii="Times New Roman" w:hAnsi="Times New Roman" w:eastAsia="Times New Roman" w:cs="Times New Roman"/>
                <w:color w:val="000000"/>
              </w:rPr>
              <w:t>: </w:t>
            </w:r>
            <w:r>
              <w:rPr>
                <w:rFonts w:ascii="Times New Roman" w:hAnsi="Times New Roman" w:eastAsia="Times New Roman" w:cs="Times New Roman"/>
                <w:i/>
                <w:color w:val="000000"/>
              </w:rPr>
              <w:t>desafios e práticas</w:t>
            </w:r>
            <w:r>
              <w:rPr>
                <w:rFonts w:ascii="Times New Roman" w:hAnsi="Times New Roman" w:eastAsia="Times New Roman" w:cs="Times New Roman"/>
                <w:color w:val="000000"/>
              </w:rPr>
              <w:t>. São Paulo: EDUSP.</w:t>
            </w:r>
          </w:p>
          <w:p>
            <w:pPr>
              <w:ind w:left="0" w:hanging="2"/>
              <w:rPr>
                <w:rFonts w:ascii="Times New Roman" w:hAnsi="Times New Roman" w:cs="Times New Roman"/>
              </w:rPr>
            </w:pPr>
            <w:r>
              <w:rPr>
                <w:rFonts w:ascii="Times New Roman" w:hAnsi="Times New Roman" w:eastAsia="Times New Roman" w:cs="Times New Roman"/>
                <w:color w:val="000000"/>
              </w:rPr>
              <w:t>Pereira Junior, Jessé Torres. </w:t>
            </w:r>
            <w:r>
              <w:rPr>
                <w:rFonts w:ascii="Times New Roman" w:hAnsi="Times New Roman" w:eastAsia="Times New Roman" w:cs="Times New Roman"/>
                <w:b/>
                <w:color w:val="000000"/>
              </w:rPr>
              <w:t>Comentários a lei das licitações e contratações da administração publica: lei n. 8.666/93, com a redação da Lei n.8.883/94</w:t>
            </w:r>
            <w:r>
              <w:rPr>
                <w:rFonts w:ascii="Times New Roman" w:hAnsi="Times New Roman" w:eastAsia="Times New Roman" w:cs="Times New Roman"/>
                <w:color w:val="000000"/>
              </w:rPr>
              <w:t>. 8. ed. rev., atual. e ampl. Rio de Janeiro: Renovar, 2009. </w:t>
            </w:r>
          </w:p>
          <w:p>
            <w:pPr>
              <w:ind w:left="0" w:hanging="2"/>
              <w:rPr>
                <w:rFonts w:ascii="Times New Roman" w:hAnsi="Times New Roman" w:cs="Times New Roman"/>
              </w:rPr>
            </w:pPr>
            <w:r>
              <w:rPr>
                <w:rFonts w:ascii="Times New Roman" w:hAnsi="Times New Roman" w:eastAsia="Times New Roman" w:cs="Times New Roman"/>
                <w:color w:val="000000"/>
              </w:rPr>
              <w:t>Conselho Internacional de Museus. </w:t>
            </w:r>
            <w:r>
              <w:rPr>
                <w:rFonts w:ascii="Times New Roman" w:hAnsi="Times New Roman" w:eastAsia="Times New Roman" w:cs="Times New Roman"/>
                <w:b/>
                <w:color w:val="000000"/>
              </w:rPr>
              <w:t>Como gerir um museu</w:t>
            </w:r>
            <w:r>
              <w:rPr>
                <w:rFonts w:ascii="Times New Roman" w:hAnsi="Times New Roman" w:eastAsia="Times New Roman" w:cs="Times New Roman"/>
                <w:color w:val="000000"/>
              </w:rPr>
              <w:t>: </w:t>
            </w:r>
            <w:r>
              <w:rPr>
                <w:rFonts w:ascii="Times New Roman" w:hAnsi="Times New Roman" w:eastAsia="Times New Roman" w:cs="Times New Roman"/>
                <w:i/>
                <w:color w:val="000000"/>
              </w:rPr>
              <w:t>manual prático</w:t>
            </w:r>
            <w:r>
              <w:rPr>
                <w:rFonts w:ascii="Times New Roman" w:hAnsi="Times New Roman" w:eastAsia="Times New Roman" w:cs="Times New Roman"/>
                <w:color w:val="000000"/>
              </w:rPr>
              <w:t>. Paris: ICOM/UNESCO, 2004. </w:t>
            </w:r>
          </w:p>
          <w:p>
            <w:pPr>
              <w:ind w:left="0" w:hanging="2"/>
              <w:rPr>
                <w:rFonts w:ascii="Times New Roman" w:hAnsi="Times New Roman" w:eastAsia="Times New Roman" w:cs="Times New Roman"/>
              </w:rPr>
            </w:pPr>
          </w:p>
        </w:tc>
      </w:tr>
      <w:tr>
        <w:tblPrEx>
          <w:tblCellMar>
            <w:top w:w="0" w:type="dxa"/>
            <w:left w:w="22" w:type="dxa"/>
            <w:bottom w:w="0" w:type="dxa"/>
            <w:right w:w="22" w:type="dxa"/>
          </w:tblCellMar>
        </w:tblPrEx>
        <w:trPr>
          <w:trHeight w:val="1656"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ind w:left="0" w:hanging="2"/>
              <w:jc w:val="both"/>
              <w:rPr>
                <w:rFonts w:ascii="Times New Roman" w:hAnsi="Times New Roman" w:cs="Times New Roman"/>
              </w:rPr>
            </w:pPr>
            <w:r>
              <w:rPr>
                <w:rFonts w:ascii="Times New Roman" w:hAnsi="Times New Roman" w:eastAsia="Times New Roman" w:cs="Times New Roman"/>
                <w:color w:val="000000"/>
              </w:rPr>
              <w:t>Ministério da Cultura. </w:t>
            </w:r>
            <w:r>
              <w:rPr>
                <w:rFonts w:ascii="Times New Roman" w:hAnsi="Times New Roman" w:eastAsia="Times New Roman" w:cs="Times New Roman"/>
                <w:b/>
                <w:color w:val="000000"/>
              </w:rPr>
              <w:t>Política nacional de museus</w:t>
            </w:r>
            <w:r>
              <w:rPr>
                <w:rFonts w:ascii="Times New Roman" w:hAnsi="Times New Roman" w:eastAsia="Times New Roman" w:cs="Times New Roman"/>
                <w:color w:val="000000"/>
              </w:rPr>
              <w:t>: </w:t>
            </w:r>
            <w:r>
              <w:rPr>
                <w:rFonts w:ascii="Times New Roman" w:hAnsi="Times New Roman" w:eastAsia="Times New Roman" w:cs="Times New Roman"/>
                <w:i/>
                <w:color w:val="000000"/>
              </w:rPr>
              <w:t>bases para a política nacional de museus, Programa de formação e capacitação em museologia, cadastro de instituições museológicas</w:t>
            </w:r>
            <w:r>
              <w:rPr>
                <w:rFonts w:ascii="Times New Roman" w:hAnsi="Times New Roman" w:eastAsia="Times New Roman" w:cs="Times New Roman"/>
                <w:color w:val="000000"/>
              </w:rPr>
              <w:t>. Brasília: Ministério da Cultura, 2003. </w:t>
            </w:r>
          </w:p>
          <w:p>
            <w:pPr>
              <w:ind w:left="0" w:hanging="2"/>
              <w:jc w:val="both"/>
              <w:rPr>
                <w:rFonts w:ascii="Times New Roman" w:hAnsi="Times New Roman" w:cs="Times New Roman"/>
              </w:rPr>
            </w:pPr>
            <w:r>
              <w:rPr>
                <w:rFonts w:ascii="Times New Roman" w:hAnsi="Times New Roman" w:eastAsia="Times New Roman" w:cs="Times New Roman"/>
                <w:b/>
                <w:color w:val="000000"/>
              </w:rPr>
              <w:t>Economia de museus</w:t>
            </w:r>
            <w:r>
              <w:rPr>
                <w:rFonts w:ascii="Times New Roman" w:hAnsi="Times New Roman" w:eastAsia="Times New Roman" w:cs="Times New Roman"/>
                <w:color w:val="000000"/>
              </w:rPr>
              <w:t>. Brasília: Minc/IBRAM, 2010. </w:t>
            </w:r>
          </w:p>
          <w:p>
            <w:pPr>
              <w:ind w:left="0" w:hanging="2"/>
              <w:jc w:val="both"/>
              <w:rPr>
                <w:rFonts w:ascii="Times New Roman" w:hAnsi="Times New Roman" w:cs="Times New Roman"/>
              </w:rPr>
            </w:pPr>
            <w:r>
              <w:rPr>
                <w:rFonts w:ascii="Times New Roman" w:hAnsi="Times New Roman" w:eastAsia="Times New Roman" w:cs="Times New Roman"/>
                <w:color w:val="000000"/>
              </w:rPr>
              <w:t>Chiavenato, Idalberto. </w:t>
            </w:r>
            <w:r>
              <w:rPr>
                <w:rFonts w:ascii="Times New Roman" w:hAnsi="Times New Roman" w:eastAsia="Times New Roman" w:cs="Times New Roman"/>
                <w:b/>
                <w:color w:val="000000"/>
              </w:rPr>
              <w:t>Gestão de pessoas</w:t>
            </w:r>
            <w:r>
              <w:rPr>
                <w:rFonts w:ascii="Times New Roman" w:hAnsi="Times New Roman" w:eastAsia="Times New Roman" w:cs="Times New Roman"/>
                <w:color w:val="000000"/>
              </w:rPr>
              <w:t>. 3.ed. rev. e atual. Rio de Janeiro: Campus, c2010. </w:t>
            </w:r>
          </w:p>
          <w:p>
            <w:pPr>
              <w:ind w:left="0" w:hanging="2"/>
              <w:jc w:val="both"/>
              <w:rPr>
                <w:rFonts w:ascii="Times New Roman" w:hAnsi="Times New Roman" w:cs="Times New Roman"/>
              </w:rPr>
            </w:pPr>
            <w:r>
              <w:rPr>
                <w:rFonts w:ascii="Times New Roman" w:hAnsi="Times New Roman" w:eastAsia="Times New Roman" w:cs="Times New Roman"/>
                <w:color w:val="000000"/>
              </w:rPr>
              <w:t>Maria Eugênia Malagodi, Fábio de Sá Cesnik. </w:t>
            </w:r>
            <w:r>
              <w:rPr>
                <w:rFonts w:ascii="Times New Roman" w:hAnsi="Times New Roman" w:eastAsia="Times New Roman" w:cs="Times New Roman"/>
                <w:b/>
                <w:color w:val="000000"/>
              </w:rPr>
              <w:t>Projetos culturais</w:t>
            </w:r>
            <w:r>
              <w:rPr>
                <w:rFonts w:ascii="Times New Roman" w:hAnsi="Times New Roman" w:eastAsia="Times New Roman" w:cs="Times New Roman"/>
                <w:color w:val="000000"/>
              </w:rPr>
              <w:t>: </w:t>
            </w:r>
            <w:r>
              <w:rPr>
                <w:rFonts w:ascii="Times New Roman" w:hAnsi="Times New Roman" w:eastAsia="Times New Roman" w:cs="Times New Roman"/>
                <w:i/>
                <w:color w:val="000000"/>
              </w:rPr>
              <w:t>elaboração, administração, aspectos legais, busca de patrocínio </w:t>
            </w:r>
            <w:r>
              <w:rPr>
                <w:rFonts w:ascii="Times New Roman" w:hAnsi="Times New Roman" w:eastAsia="Times New Roman" w:cs="Times New Roman"/>
                <w:color w:val="000000"/>
              </w:rPr>
              <w:t>. 4.ed. rev. e atual. São Paulo : Escrituras, 2001. </w:t>
            </w:r>
          </w:p>
          <w:p>
            <w:pPr>
              <w:spacing w:line="360" w:lineRule="auto"/>
              <w:ind w:left="0" w:hanging="2"/>
              <w:rPr>
                <w:rFonts w:ascii="Times New Roman" w:hAnsi="Times New Roman" w:eastAsia="Times New Roman" w:cs="Times New Roman"/>
              </w:rPr>
            </w:pP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37"/>
        <w:tblW w:w="8924" w:type="dxa"/>
        <w:tblInd w:w="-20" w:type="dxa"/>
        <w:tblLayout w:type="fixed"/>
        <w:tblCellMar>
          <w:top w:w="0" w:type="dxa"/>
          <w:left w:w="22" w:type="dxa"/>
          <w:bottom w:w="0" w:type="dxa"/>
          <w:right w:w="22" w:type="dxa"/>
        </w:tblCellMar>
      </w:tblPr>
      <w:tblGrid>
        <w:gridCol w:w="2886"/>
        <w:gridCol w:w="3122"/>
        <w:gridCol w:w="2916"/>
      </w:tblGrid>
      <w:tr>
        <w:tblPrEx>
          <w:tblCellMar>
            <w:top w:w="0" w:type="dxa"/>
            <w:left w:w="22" w:type="dxa"/>
            <w:bottom w:w="0" w:type="dxa"/>
            <w:right w:w="22" w:type="dxa"/>
          </w:tblCellMar>
        </w:tblPrEx>
        <w:trPr>
          <w:trHeight w:val="1877" w:hRule="atLeast"/>
        </w:trPr>
        <w:tc>
          <w:tcPr>
            <w:tcW w:w="6008"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Elaboração e Gestão de Projetos Culturais</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Cultural Projects  Preparation And Analysis</w:t>
            </w:r>
          </w:p>
        </w:tc>
        <w:tc>
          <w:tcPr>
            <w:tcW w:w="2916"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MUL142</w:t>
            </w:r>
          </w:p>
        </w:tc>
      </w:tr>
      <w:tr>
        <w:tblPrEx>
          <w:tblCellMar>
            <w:top w:w="0" w:type="dxa"/>
            <w:left w:w="22" w:type="dxa"/>
            <w:bottom w:w="0" w:type="dxa"/>
            <w:right w:w="22" w:type="dxa"/>
          </w:tblCellMar>
        </w:tblPrEx>
        <w:trPr>
          <w:trHeight w:val="825" w:hRule="atLeast"/>
        </w:trPr>
        <w:tc>
          <w:tcPr>
            <w:tcW w:w="6008"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Museologia - DEMUL</w:t>
            </w:r>
          </w:p>
        </w:tc>
        <w:tc>
          <w:tcPr>
            <w:tcW w:w="291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3" w:hRule="atLeast"/>
        </w:trPr>
        <w:tc>
          <w:tcPr>
            <w:tcW w:w="2886"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6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semestral </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60 horas</w:t>
            </w:r>
          </w:p>
        </w:tc>
        <w:tc>
          <w:tcPr>
            <w:tcW w:w="3122"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04 horas/aula</w:t>
            </w:r>
          </w:p>
        </w:tc>
        <w:tc>
          <w:tcPr>
            <w:tcW w:w="291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00 horas/aula</w:t>
            </w:r>
          </w:p>
        </w:tc>
      </w:tr>
      <w:tr>
        <w:tblPrEx>
          <w:tblCellMar>
            <w:top w:w="0" w:type="dxa"/>
            <w:left w:w="22" w:type="dxa"/>
            <w:bottom w:w="0" w:type="dxa"/>
            <w:right w:w="22" w:type="dxa"/>
          </w:tblCellMar>
        </w:tblPrEx>
        <w:trPr>
          <w:trHeight w:val="1085"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Projeto e fomento: conceitos básicos. A elaboração de projetos. A importância do planejamento e da metodologia. A política de editais: exemplos práticos. Fontes de financiamento e captação de recursos. A gestão de projetos, o papel das Associações de Amigos e de Apoio aos Museus. Prestação de contas.</w:t>
            </w:r>
          </w:p>
        </w:tc>
      </w:tr>
      <w:tr>
        <w:tblPrEx>
          <w:tblCellMar>
            <w:top w:w="0" w:type="dxa"/>
            <w:left w:w="22" w:type="dxa"/>
            <w:bottom w:w="0" w:type="dxa"/>
            <w:right w:w="22" w:type="dxa"/>
          </w:tblCellMar>
        </w:tblPrEx>
        <w:trPr>
          <w:trHeight w:val="2205"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numPr>
                <w:ilvl w:val="0"/>
                <w:numId w:val="110"/>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Planejamento e Gestão de Projetos</w:t>
            </w:r>
          </w:p>
          <w:p>
            <w:pPr>
              <w:widowControl w:val="0"/>
              <w:numPr>
                <w:ilvl w:val="0"/>
                <w:numId w:val="110"/>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Elaboração de Projetos: conceitos básicos e metodológicos</w:t>
            </w:r>
          </w:p>
          <w:p>
            <w:pPr>
              <w:widowControl w:val="0"/>
              <w:numPr>
                <w:ilvl w:val="0"/>
                <w:numId w:val="110"/>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Elaboração de Projetos: redação e elaboração</w:t>
            </w:r>
          </w:p>
          <w:p>
            <w:pPr>
              <w:widowControl w:val="0"/>
              <w:numPr>
                <w:ilvl w:val="0"/>
                <w:numId w:val="110"/>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Patrocínio Direto</w:t>
            </w:r>
          </w:p>
          <w:p>
            <w:pPr>
              <w:widowControl w:val="0"/>
              <w:numPr>
                <w:ilvl w:val="0"/>
                <w:numId w:val="110"/>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Leis de Incentivo à Cultura</w:t>
            </w:r>
          </w:p>
          <w:p>
            <w:pPr>
              <w:widowControl w:val="0"/>
              <w:numPr>
                <w:ilvl w:val="0"/>
                <w:numId w:val="110"/>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Editais públicos</w:t>
            </w:r>
          </w:p>
          <w:p>
            <w:pPr>
              <w:widowControl w:val="0"/>
              <w:numPr>
                <w:ilvl w:val="0"/>
                <w:numId w:val="110"/>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Captação de recursos</w:t>
            </w:r>
          </w:p>
          <w:p>
            <w:pPr>
              <w:widowControl w:val="0"/>
              <w:numPr>
                <w:ilvl w:val="0"/>
                <w:numId w:val="110"/>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Aplicação dos recursos</w:t>
            </w:r>
          </w:p>
          <w:p>
            <w:pPr>
              <w:widowControl w:val="0"/>
              <w:numPr>
                <w:ilvl w:val="0"/>
                <w:numId w:val="110"/>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rPr>
            </w:pPr>
            <w:r>
              <w:rPr>
                <w:rFonts w:ascii="Times New Roman" w:hAnsi="Times New Roman" w:eastAsia="Times New Roman" w:cs="Times New Roman"/>
              </w:rPr>
              <w:t xml:space="preserve"> </w:t>
            </w:r>
            <w:r>
              <w:rPr>
                <w:rFonts w:ascii="Times New Roman" w:hAnsi="Times New Roman" w:eastAsia="Times New Roman" w:cs="Times New Roman"/>
                <w:color w:val="000000"/>
              </w:rPr>
              <w:t>Gestão de Projetos</w:t>
            </w:r>
          </w:p>
          <w:p>
            <w:pPr>
              <w:widowControl w:val="0"/>
              <w:numPr>
                <w:ilvl w:val="0"/>
                <w:numId w:val="110"/>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Associações de Amigos e Fundações de Apoio aos Museus</w:t>
            </w:r>
          </w:p>
          <w:p>
            <w:pPr>
              <w:widowControl w:val="0"/>
              <w:numPr>
                <w:ilvl w:val="0"/>
                <w:numId w:val="110"/>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Sustentabilidade dos projetos</w:t>
            </w:r>
          </w:p>
          <w:p>
            <w:pPr>
              <w:widowControl w:val="0"/>
              <w:numPr>
                <w:ilvl w:val="0"/>
                <w:numId w:val="110"/>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Relatório Técnico</w:t>
            </w:r>
          </w:p>
          <w:p>
            <w:pPr>
              <w:widowControl w:val="0"/>
              <w:numPr>
                <w:ilvl w:val="0"/>
                <w:numId w:val="110"/>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Prestação de Contas</w:t>
            </w:r>
          </w:p>
          <w:p>
            <w:pPr>
              <w:widowControl w:val="0"/>
              <w:numPr>
                <w:ilvl w:val="0"/>
                <w:numId w:val="110"/>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Avaliação de resultados</w:t>
            </w:r>
          </w:p>
        </w:tc>
      </w:tr>
      <w:tr>
        <w:tblPrEx>
          <w:tblCellMar>
            <w:top w:w="0" w:type="dxa"/>
            <w:left w:w="22" w:type="dxa"/>
            <w:bottom w:w="0" w:type="dxa"/>
            <w:right w:w="22" w:type="dxa"/>
          </w:tblCellMar>
        </w:tblPrEx>
        <w:trPr>
          <w:trHeight w:val="1115"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ind w:left="0" w:hanging="2"/>
              <w:rPr>
                <w:rFonts w:ascii="Times New Roman" w:hAnsi="Times New Roman" w:cs="Times New Roman"/>
              </w:rPr>
            </w:pPr>
            <w:r>
              <w:rPr>
                <w:rFonts w:ascii="Times New Roman" w:hAnsi="Times New Roman" w:eastAsia="Times New Roman" w:cs="Times New Roman"/>
                <w:color w:val="000000"/>
              </w:rPr>
              <w:t xml:space="preserve">CESNIK, Fábio de Sá, MALAGODI, Maria Eugênia, Projetos culturais: elaboração, administração, aspectos legais, busca de patrocínio, São Paulo: Escrituras, 2001. </w:t>
            </w:r>
          </w:p>
          <w:p>
            <w:pPr>
              <w:ind w:left="0" w:hanging="2"/>
              <w:rPr>
                <w:rFonts w:ascii="Times New Roman" w:hAnsi="Times New Roman" w:cs="Times New Roman"/>
              </w:rPr>
            </w:pPr>
            <w:r>
              <w:rPr>
                <w:rFonts w:ascii="Times New Roman" w:hAnsi="Times New Roman" w:eastAsia="Times New Roman" w:cs="Times New Roman"/>
                <w:color w:val="000000"/>
              </w:rPr>
              <w:t xml:space="preserve">OLIVEIRA, Cristiane Garcia, Cultura neoliberal: leis de incentivo como política pública de cultura, São Paulo : Escrituras Editora : Instituto Pensarte, 2004. </w:t>
            </w:r>
          </w:p>
          <w:p>
            <w:pPr>
              <w:ind w:left="0" w:hanging="2"/>
              <w:rPr>
                <w:rFonts w:ascii="Times New Roman" w:hAnsi="Times New Roman" w:cs="Times New Roman"/>
              </w:rPr>
            </w:pPr>
            <w:r>
              <w:rPr>
                <w:rFonts w:ascii="Times New Roman" w:hAnsi="Times New Roman" w:eastAsia="Times New Roman" w:cs="Times New Roman"/>
                <w:color w:val="000000"/>
              </w:rPr>
              <w:t>GIDO, Jack, Gestão de Projetos, Traduçao Da dª Ed Norte-Americana</w:t>
            </w:r>
          </w:p>
          <w:p>
            <w:pPr>
              <w:ind w:left="0" w:hanging="2"/>
              <w:rPr>
                <w:rFonts w:ascii="Times New Roman" w:hAnsi="Times New Roman" w:cs="Times New Roman"/>
              </w:rPr>
            </w:pPr>
            <w:r>
              <w:rPr>
                <w:rFonts w:ascii="Times New Roman" w:hAnsi="Times New Roman" w:eastAsia="Times New Roman" w:cs="Times New Roman"/>
                <w:color w:val="000000"/>
              </w:rPr>
              <w:t>ICOM, Como Gerir um Museu: manual Prático, Conselho Internacional de Museus, ICOM. Paris, 2004</w:t>
            </w:r>
          </w:p>
          <w:p>
            <w:pPr>
              <w:ind w:left="0" w:hanging="2"/>
              <w:rPr>
                <w:rFonts w:ascii="Times New Roman" w:hAnsi="Times New Roman" w:cs="Times New Roman"/>
              </w:rPr>
            </w:pPr>
            <w:r>
              <w:rPr>
                <w:rFonts w:ascii="Times New Roman" w:hAnsi="Times New Roman" w:eastAsia="Times New Roman" w:cs="Times New Roman"/>
                <w:color w:val="000000"/>
              </w:rPr>
              <w:t>SERRA, Filipe Mascarenhas, Práticas de Gestão nos Museus Portugueses. Universidade Católica Editora, 2007</w:t>
            </w:r>
          </w:p>
          <w:p>
            <w:pPr>
              <w:ind w:left="0" w:hanging="2"/>
              <w:rPr>
                <w:rFonts w:ascii="Times New Roman" w:hAnsi="Times New Roman" w:cs="Times New Roman"/>
              </w:rPr>
            </w:pPr>
            <w:r>
              <w:rPr>
                <w:rFonts w:ascii="Times New Roman" w:hAnsi="Times New Roman" w:eastAsia="Times New Roman" w:cs="Times New Roman"/>
                <w:color w:val="000000"/>
              </w:rPr>
              <w:t>BRASIL, Lei Nº 11.904, de 14 de janeiro de 2009. Estatuto de Museus. Brasília. Presidência da República, 2009.</w:t>
            </w:r>
          </w:p>
          <w:p>
            <w:pPr>
              <w:ind w:left="0" w:hanging="2"/>
              <w:rPr>
                <w:rFonts w:ascii="Times New Roman" w:hAnsi="Times New Roman" w:cs="Times New Roman"/>
              </w:rPr>
            </w:pPr>
            <w:r>
              <w:rPr>
                <w:rFonts w:ascii="Times New Roman" w:hAnsi="Times New Roman" w:eastAsia="Times New Roman" w:cs="Times New Roman"/>
                <w:color w:val="000000"/>
              </w:rPr>
              <w:t>________, Lei Nº 11.906, de 20 de janeiro de 2009. Cria o Instituto Brasileiro de Museus. Brasília. Presidência da República, 2009.</w:t>
            </w:r>
          </w:p>
          <w:p>
            <w:pPr>
              <w:ind w:left="0" w:hanging="2"/>
              <w:rPr>
                <w:rFonts w:ascii="Times New Roman" w:hAnsi="Times New Roman" w:cs="Times New Roman"/>
              </w:rPr>
            </w:pPr>
            <w:r>
              <w:rPr>
                <w:rFonts w:ascii="Times New Roman" w:hAnsi="Times New Roman" w:eastAsia="Times New Roman" w:cs="Times New Roman"/>
                <w:color w:val="000000"/>
              </w:rPr>
              <w:t xml:space="preserve">________,Lei Nº 8.313, de 23 de dezembro de 1991. Restabelece princípios da Lei n° 7.505, de 2 de julho de 1986, institui o Programa Nacional de Apoio à Cultura (Pronac) e dá outras providências. Brasília. Presidência da República, 1991. </w:t>
            </w:r>
          </w:p>
          <w:p>
            <w:pPr>
              <w:ind w:left="0" w:hanging="2"/>
              <w:rPr>
                <w:rFonts w:ascii="Times New Roman" w:hAnsi="Times New Roman" w:cs="Times New Roman"/>
              </w:rPr>
            </w:pPr>
            <w:r>
              <w:rPr>
                <w:rFonts w:ascii="Times New Roman" w:hAnsi="Times New Roman" w:eastAsia="Times New Roman" w:cs="Times New Roman"/>
                <w:color w:val="000000"/>
              </w:rPr>
              <w:t>________, Política Nacional de Museus - Bases para a Política Nacional de Museus e Programação de Formação e Capacitação em Museologia. Brasília. Ministério da Cultura. Instituto do Patrimônio Histórico e Artístico Nacional. Departamento de Museus e Centros Culturais. Minc/IPHAN/Demu, 2003.</w:t>
            </w:r>
          </w:p>
          <w:p>
            <w:pPr>
              <w:ind w:left="0" w:hanging="2"/>
              <w:rPr>
                <w:rFonts w:ascii="Times New Roman" w:hAnsi="Times New Roman" w:cs="Times New Roman"/>
              </w:rPr>
            </w:pPr>
            <w:r>
              <w:rPr>
                <w:rFonts w:ascii="Times New Roman" w:hAnsi="Times New Roman" w:eastAsia="Times New Roman" w:cs="Times New Roman"/>
                <w:color w:val="000000"/>
              </w:rPr>
              <w:t>________, Política Nacional de Museus Relatório de Gestão 2003/2004. Brasília. Ministério da Cultura. Instituto do Patrimônio Histórico e Artístico Nacional. Departamento de Museus e Centros Culturais. Minc/IPHAN/Demu, 72p, 2005.</w:t>
            </w:r>
          </w:p>
          <w:p>
            <w:pPr>
              <w:ind w:left="0" w:hanging="2"/>
              <w:rPr>
                <w:rFonts w:ascii="Times New Roman" w:hAnsi="Times New Roman" w:cs="Times New Roman"/>
              </w:rPr>
            </w:pPr>
            <w:r>
              <w:rPr>
                <w:rFonts w:ascii="Times New Roman" w:hAnsi="Times New Roman" w:eastAsia="Times New Roman" w:cs="Times New Roman"/>
                <w:color w:val="000000"/>
              </w:rPr>
              <w:t>________, Lei Nº 8.666, de 21 de junho de 1993. Regulamenta o art. 37, inciso XXI, da Constituição Federal, institui normas para licitações e contratos da Administração Pública e dá outras providências. Brasília. Presidência da República, 1993.</w:t>
            </w:r>
          </w:p>
          <w:p>
            <w:pPr>
              <w:ind w:left="0" w:hanging="2"/>
              <w:rPr>
                <w:rFonts w:ascii="Times New Roman" w:hAnsi="Times New Roman" w:cs="Times New Roman"/>
              </w:rPr>
            </w:pPr>
            <w:r>
              <w:rPr>
                <w:rFonts w:ascii="Times New Roman" w:hAnsi="Times New Roman" w:eastAsia="Times New Roman" w:cs="Times New Roman"/>
                <w:color w:val="000000"/>
              </w:rPr>
              <w:t>EQUIPO, Manual Juridic Dels Museus, Editora: MARCIAL PONS, 1999</w:t>
            </w:r>
          </w:p>
          <w:p>
            <w:pPr>
              <w:ind w:left="0" w:hanging="2"/>
              <w:rPr>
                <w:rFonts w:ascii="Times New Roman" w:hAnsi="Times New Roman" w:cs="Times New Roman"/>
              </w:rPr>
            </w:pPr>
            <w:r>
              <w:rPr>
                <w:rFonts w:ascii="Times New Roman" w:hAnsi="Times New Roman" w:eastAsia="Times New Roman" w:cs="Times New Roman"/>
                <w:color w:val="000000"/>
              </w:rPr>
              <w:t xml:space="preserve">KERZNER, Harold, Gestão de projetos: as melhores práticas; tradução Marco Antonio Viana Borges, Marcelo Klippel, Gustavo Severo de Borba. Porto Alegre: Bookman, 2002. </w:t>
            </w:r>
          </w:p>
          <w:p>
            <w:pPr>
              <w:ind w:left="0" w:hanging="2"/>
              <w:rPr>
                <w:rFonts w:ascii="Times New Roman" w:hAnsi="Times New Roman" w:cs="Times New Roman"/>
              </w:rPr>
            </w:pPr>
            <w:r>
              <w:rPr>
                <w:rFonts w:ascii="Times New Roman" w:hAnsi="Times New Roman" w:eastAsia="Times New Roman" w:cs="Times New Roman"/>
                <w:color w:val="000000"/>
              </w:rPr>
              <w:t>CUNHA, Maria Helena, Profissional Em Formação, Editora: DUO EDITORIAL, 1ª Edição - 2007</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38"/>
        <w:tblW w:w="8924" w:type="dxa"/>
        <w:tblInd w:w="-20" w:type="dxa"/>
        <w:tblLayout w:type="fixed"/>
        <w:tblCellMar>
          <w:top w:w="0" w:type="dxa"/>
          <w:left w:w="22" w:type="dxa"/>
          <w:bottom w:w="0" w:type="dxa"/>
          <w:right w:w="22" w:type="dxa"/>
        </w:tblCellMar>
      </w:tblPr>
      <w:tblGrid>
        <w:gridCol w:w="2886"/>
        <w:gridCol w:w="3122"/>
        <w:gridCol w:w="2916"/>
      </w:tblGrid>
      <w:tr>
        <w:tblPrEx>
          <w:tblCellMar>
            <w:top w:w="0" w:type="dxa"/>
            <w:left w:w="22" w:type="dxa"/>
            <w:bottom w:w="0" w:type="dxa"/>
            <w:right w:w="22" w:type="dxa"/>
          </w:tblCellMar>
        </w:tblPrEx>
        <w:trPr>
          <w:trHeight w:val="1877" w:hRule="atLeast"/>
        </w:trPr>
        <w:tc>
          <w:tcPr>
            <w:tcW w:w="6008"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Elaboração e Gestão de Projetos Culturais 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Nome do Componente Curricular em inglês:Cultural Projects  Preparation and Analysis A </w:t>
            </w:r>
          </w:p>
        </w:tc>
        <w:tc>
          <w:tcPr>
            <w:tcW w:w="2916"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MUL144</w:t>
            </w:r>
          </w:p>
        </w:tc>
      </w:tr>
      <w:tr>
        <w:tblPrEx>
          <w:tblCellMar>
            <w:top w:w="0" w:type="dxa"/>
            <w:left w:w="22" w:type="dxa"/>
            <w:bottom w:w="0" w:type="dxa"/>
            <w:right w:w="22" w:type="dxa"/>
          </w:tblCellMar>
        </w:tblPrEx>
        <w:trPr>
          <w:trHeight w:val="825" w:hRule="atLeast"/>
        </w:trPr>
        <w:tc>
          <w:tcPr>
            <w:tcW w:w="6008"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Museologia - DEMUL</w:t>
            </w:r>
          </w:p>
        </w:tc>
        <w:tc>
          <w:tcPr>
            <w:tcW w:w="291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3" w:hRule="atLeast"/>
        </w:trPr>
        <w:tc>
          <w:tcPr>
            <w:tcW w:w="2886"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46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7" w:line="36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semestral </w:t>
            </w:r>
          </w:p>
          <w:p>
            <w:pPr>
              <w:widowControl w:val="0"/>
              <w:pBdr>
                <w:top w:val="none" w:color="auto" w:sz="0" w:space="0"/>
                <w:left w:val="none" w:color="auto" w:sz="0" w:space="0"/>
                <w:bottom w:val="none" w:color="auto" w:sz="0" w:space="0"/>
                <w:right w:val="none" w:color="auto" w:sz="0" w:space="0"/>
                <w:between w:val="none" w:color="auto" w:sz="0" w:space="0"/>
              </w:pBdr>
              <w:spacing w:before="7" w:line="36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30 horas</w:t>
            </w:r>
          </w:p>
        </w:tc>
        <w:tc>
          <w:tcPr>
            <w:tcW w:w="3122"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02 horas/aula</w:t>
            </w:r>
          </w:p>
        </w:tc>
        <w:tc>
          <w:tcPr>
            <w:tcW w:w="291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00 horas/aula</w:t>
            </w:r>
          </w:p>
        </w:tc>
      </w:tr>
      <w:tr>
        <w:tblPrEx>
          <w:tblCellMar>
            <w:top w:w="0" w:type="dxa"/>
            <w:left w:w="22" w:type="dxa"/>
            <w:bottom w:w="0" w:type="dxa"/>
            <w:right w:w="22" w:type="dxa"/>
          </w:tblCellMar>
        </w:tblPrEx>
        <w:trPr>
          <w:trHeight w:val="1085"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Estudo dos conceitos de Planejamento e Gestão de Projetos, a Elaboração de Projetos seus conceitos básicos e metodológicos, redação e elaboração. Mecanismos de financiamento de projetos como o Patrocínio Direto, as Leis de Incentivo à Cultura nas três esferas de Governo e os Editais públicos. Estratégias de Captação de recursos. A aplicação dos recursos e a Gestão de Projetos. As Associações de Amigos e Fundações de Apoio aos Museus. A Sustentabilidade dos projetos. A avaliação dos resultados por meio do Relatório Técnico e da Prestação de Contas</w:t>
            </w:r>
          </w:p>
        </w:tc>
      </w:tr>
      <w:tr>
        <w:tblPrEx>
          <w:tblCellMar>
            <w:top w:w="0" w:type="dxa"/>
            <w:left w:w="22" w:type="dxa"/>
            <w:bottom w:w="0" w:type="dxa"/>
            <w:right w:w="22" w:type="dxa"/>
          </w:tblCellMar>
        </w:tblPrEx>
        <w:trPr>
          <w:trHeight w:val="2205"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numPr>
                <w:ilvl w:val="0"/>
                <w:numId w:val="111"/>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Planejamento e Gestão de Projetos</w:t>
            </w:r>
          </w:p>
          <w:p>
            <w:pPr>
              <w:widowControl w:val="0"/>
              <w:numPr>
                <w:ilvl w:val="0"/>
                <w:numId w:val="111"/>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Elaboração de Projetos: conceitos básicos e metodológicos</w:t>
            </w:r>
          </w:p>
          <w:p>
            <w:pPr>
              <w:widowControl w:val="0"/>
              <w:numPr>
                <w:ilvl w:val="0"/>
                <w:numId w:val="111"/>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Elaboração de Projetos: redação e elaboração</w:t>
            </w:r>
          </w:p>
          <w:p>
            <w:pPr>
              <w:widowControl w:val="0"/>
              <w:numPr>
                <w:ilvl w:val="0"/>
                <w:numId w:val="111"/>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Patrocínio Direto</w:t>
            </w:r>
          </w:p>
          <w:p>
            <w:pPr>
              <w:widowControl w:val="0"/>
              <w:numPr>
                <w:ilvl w:val="0"/>
                <w:numId w:val="111"/>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Leis de Incentivo à Cultura</w:t>
            </w:r>
          </w:p>
          <w:p>
            <w:pPr>
              <w:widowControl w:val="0"/>
              <w:numPr>
                <w:ilvl w:val="0"/>
                <w:numId w:val="111"/>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Editais públicos</w:t>
            </w:r>
          </w:p>
          <w:p>
            <w:pPr>
              <w:widowControl w:val="0"/>
              <w:numPr>
                <w:ilvl w:val="0"/>
                <w:numId w:val="111"/>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Captação de recursos</w:t>
            </w:r>
          </w:p>
          <w:p>
            <w:pPr>
              <w:widowControl w:val="0"/>
              <w:numPr>
                <w:ilvl w:val="0"/>
                <w:numId w:val="111"/>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Aplicação dos recursos</w:t>
            </w:r>
          </w:p>
          <w:p>
            <w:pPr>
              <w:widowControl w:val="0"/>
              <w:numPr>
                <w:ilvl w:val="0"/>
                <w:numId w:val="111"/>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Gestão de Projetos</w:t>
            </w:r>
          </w:p>
          <w:p>
            <w:pPr>
              <w:widowControl w:val="0"/>
              <w:numPr>
                <w:ilvl w:val="0"/>
                <w:numId w:val="111"/>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Associações de Amigos e Fundações de Apoio aos Museus</w:t>
            </w:r>
          </w:p>
          <w:p>
            <w:pPr>
              <w:widowControl w:val="0"/>
              <w:numPr>
                <w:ilvl w:val="0"/>
                <w:numId w:val="111"/>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Sustentabilidade dos projetos</w:t>
            </w:r>
          </w:p>
          <w:p>
            <w:pPr>
              <w:widowControl w:val="0"/>
              <w:numPr>
                <w:ilvl w:val="0"/>
                <w:numId w:val="111"/>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Relatório Técnico</w:t>
            </w:r>
          </w:p>
          <w:p>
            <w:pPr>
              <w:widowControl w:val="0"/>
              <w:numPr>
                <w:ilvl w:val="0"/>
                <w:numId w:val="111"/>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Prestação de Contas</w:t>
            </w:r>
          </w:p>
          <w:p>
            <w:pPr>
              <w:widowControl w:val="0"/>
              <w:numPr>
                <w:ilvl w:val="0"/>
                <w:numId w:val="111"/>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Avaliação de resultados</w:t>
            </w:r>
          </w:p>
        </w:tc>
      </w:tr>
      <w:tr>
        <w:tblPrEx>
          <w:tblCellMar>
            <w:top w:w="0" w:type="dxa"/>
            <w:left w:w="22" w:type="dxa"/>
            <w:bottom w:w="0" w:type="dxa"/>
            <w:right w:w="22" w:type="dxa"/>
          </w:tblCellMar>
        </w:tblPrEx>
        <w:trPr>
          <w:trHeight w:val="1894"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spacing w:line="360" w:lineRule="auto"/>
              <w:ind w:left="0" w:hanging="2"/>
              <w:jc w:val="both"/>
              <w:rPr>
                <w:rFonts w:ascii="Times New Roman" w:hAnsi="Times New Roman" w:cs="Times New Roman"/>
              </w:rPr>
            </w:pPr>
            <w:r>
              <w:rPr>
                <w:rFonts w:ascii="Times New Roman" w:hAnsi="Times New Roman" w:eastAsia="Times New Roman" w:cs="Times New Roman"/>
                <w:color w:val="000000"/>
              </w:rPr>
              <w:t>CUNHA, Maria Helena </w:t>
            </w:r>
            <w:r>
              <w:rPr>
                <w:rFonts w:ascii="Times New Roman" w:hAnsi="Times New Roman" w:eastAsia="Times New Roman" w:cs="Times New Roman"/>
                <w:b/>
                <w:color w:val="000000"/>
              </w:rPr>
              <w:t>urso de Formação de Gestores Públicos e Agentes Culturais. Projeto Cultural</w:t>
            </w:r>
            <w:r>
              <w:rPr>
                <w:rFonts w:ascii="Times New Roman" w:hAnsi="Times New Roman" w:eastAsia="Times New Roman" w:cs="Times New Roman"/>
                <w:color w:val="000000"/>
              </w:rPr>
              <w:t>: Concepção, elaboração e Avaliação. Instituto de Formação Humana com Tecnologia IFHT/UERJ com recursos do Programa de Apoio ao desenvolvimento dos Municípios do Estado do Rio de Janeiro (PADEC). Rio de Janeiro:"http://www.cultura.rj.gov.br/curso-gestores-agentes/textos/projcultconcelaava.pdf", 2013. </w:t>
            </w:r>
          </w:p>
          <w:p>
            <w:pPr>
              <w:spacing w:line="360" w:lineRule="auto"/>
              <w:ind w:left="0" w:hanging="2"/>
              <w:jc w:val="both"/>
              <w:rPr>
                <w:rFonts w:ascii="Times New Roman" w:hAnsi="Times New Roman" w:cs="Times New Roman"/>
              </w:rPr>
            </w:pPr>
            <w:r>
              <w:rPr>
                <w:rFonts w:ascii="Times New Roman" w:hAnsi="Times New Roman" w:eastAsia="Times New Roman" w:cs="Times New Roman"/>
                <w:color w:val="000000"/>
              </w:rPr>
              <w:t>Conselho Internacional de Museus. </w:t>
            </w:r>
            <w:r>
              <w:rPr>
                <w:rFonts w:ascii="Times New Roman" w:hAnsi="Times New Roman" w:eastAsia="Times New Roman" w:cs="Times New Roman"/>
                <w:b/>
                <w:color w:val="000000"/>
              </w:rPr>
              <w:t>Como gerir um museu</w:t>
            </w:r>
            <w:r>
              <w:rPr>
                <w:rFonts w:ascii="Times New Roman" w:hAnsi="Times New Roman" w:eastAsia="Times New Roman" w:cs="Times New Roman"/>
                <w:color w:val="000000"/>
              </w:rPr>
              <w:t>: </w:t>
            </w:r>
            <w:r>
              <w:rPr>
                <w:rFonts w:ascii="Times New Roman" w:hAnsi="Times New Roman" w:eastAsia="Times New Roman" w:cs="Times New Roman"/>
                <w:i/>
                <w:color w:val="000000"/>
              </w:rPr>
              <w:t>manual prático </w:t>
            </w:r>
            <w:r>
              <w:rPr>
                <w:rFonts w:ascii="Times New Roman" w:hAnsi="Times New Roman" w:eastAsia="Times New Roman" w:cs="Times New Roman"/>
                <w:color w:val="000000"/>
              </w:rPr>
              <w:t>. Paris: ICOM/UNESCO , 2004. </w:t>
            </w:r>
          </w:p>
          <w:p>
            <w:pPr>
              <w:spacing w:line="360" w:lineRule="auto"/>
              <w:ind w:left="0" w:hanging="2"/>
              <w:rPr>
                <w:rFonts w:ascii="Times New Roman" w:hAnsi="Times New Roman" w:eastAsia="Times New Roman" w:cs="Times New Roman"/>
              </w:rPr>
            </w:pPr>
          </w:p>
        </w:tc>
      </w:tr>
      <w:tr>
        <w:tblPrEx>
          <w:tblCellMar>
            <w:top w:w="0" w:type="dxa"/>
            <w:left w:w="22" w:type="dxa"/>
            <w:bottom w:w="0" w:type="dxa"/>
            <w:right w:w="22" w:type="dxa"/>
          </w:tblCellMar>
        </w:tblPrEx>
        <w:trPr>
          <w:trHeight w:val="1894"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CUNHA, Maria Helena </w:t>
            </w:r>
            <w:r>
              <w:rPr>
                <w:rFonts w:ascii="Times New Roman" w:hAnsi="Times New Roman" w:eastAsia="Times New Roman" w:cs="Times New Roman"/>
                <w:b/>
                <w:color w:val="000000"/>
              </w:rPr>
              <w:t>Gestão Cultural</w:t>
            </w:r>
            <w:r>
              <w:rPr>
                <w:rFonts w:ascii="Times New Roman" w:hAnsi="Times New Roman" w:eastAsia="Times New Roman" w:cs="Times New Roman"/>
                <w:color w:val="000000"/>
              </w:rPr>
              <w:t>. Coleção Política e Gestão CulturaisSalvador: Secretaria do Estado da Bahia, 2013. </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BARROS, José Márcio; JUNIOR, José Oliveira </w:t>
            </w:r>
            <w:r>
              <w:rPr>
                <w:rFonts w:ascii="Times New Roman" w:hAnsi="Times New Roman" w:eastAsia="Times New Roman" w:cs="Times New Roman"/>
                <w:b/>
                <w:color w:val="000000"/>
              </w:rPr>
              <w:t>Pensar e Agir com a Cultura</w:t>
            </w:r>
            <w:r>
              <w:rPr>
                <w:rFonts w:ascii="Times New Roman" w:hAnsi="Times New Roman" w:eastAsia="Times New Roman" w:cs="Times New Roman"/>
                <w:color w:val="000000"/>
              </w:rPr>
              <w:t>: </w:t>
            </w:r>
            <w:r>
              <w:rPr>
                <w:rFonts w:ascii="Times New Roman" w:hAnsi="Times New Roman" w:eastAsia="Times New Roman" w:cs="Times New Roman"/>
                <w:i/>
                <w:color w:val="000000"/>
              </w:rPr>
              <w:t>desafios da gestão cultural</w:t>
            </w:r>
            <w:r>
              <w:rPr>
                <w:rFonts w:ascii="Times New Roman" w:hAnsi="Times New Roman" w:eastAsia="Times New Roman" w:cs="Times New Roman"/>
                <w:color w:val="000000"/>
              </w:rPr>
              <w:t>. Belo Horizonte: Observatório da diversidade cultural,2011.</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COSTA, Frederico Lustosa </w:t>
            </w:r>
            <w:r>
              <w:rPr>
                <w:rFonts w:ascii="Times New Roman" w:hAnsi="Times New Roman" w:eastAsia="Times New Roman" w:cs="Times New Roman"/>
                <w:b/>
                <w:color w:val="000000"/>
              </w:rPr>
              <w:t>Políticas e Gestão Cultural</w:t>
            </w:r>
            <w:r>
              <w:rPr>
                <w:rFonts w:ascii="Times New Roman" w:hAnsi="Times New Roman" w:eastAsia="Times New Roman" w:cs="Times New Roman"/>
                <w:color w:val="000000"/>
              </w:rPr>
              <w:t>: </w:t>
            </w:r>
            <w:r>
              <w:rPr>
                <w:rFonts w:ascii="Times New Roman" w:hAnsi="Times New Roman" w:eastAsia="Times New Roman" w:cs="Times New Roman"/>
                <w:i/>
                <w:color w:val="000000"/>
              </w:rPr>
              <w:t>perspectivas Brasil e França</w:t>
            </w:r>
            <w:r>
              <w:rPr>
                <w:rFonts w:ascii="Times New Roman" w:hAnsi="Times New Roman" w:eastAsia="Times New Roman" w:cs="Times New Roman"/>
                <w:color w:val="000000"/>
              </w:rPr>
              <w:t>. Salvador: EDUFBA, 2013. </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MELO, Herbart dos Santos; LEITÃO, Leonardo Costa (orgs.) </w:t>
            </w:r>
            <w:r>
              <w:rPr>
                <w:rFonts w:ascii="Times New Roman" w:hAnsi="Times New Roman" w:eastAsia="Times New Roman" w:cs="Times New Roman"/>
                <w:b/>
                <w:color w:val="000000"/>
              </w:rPr>
              <w:t>Captação deRecursos</w:t>
            </w:r>
            <w:r>
              <w:rPr>
                <w:rFonts w:ascii="Times New Roman" w:hAnsi="Times New Roman" w:eastAsia="Times New Roman" w:cs="Times New Roman"/>
                <w:color w:val="000000"/>
              </w:rPr>
              <w:t>: </w:t>
            </w:r>
            <w:r>
              <w:rPr>
                <w:rFonts w:ascii="Times New Roman" w:hAnsi="Times New Roman" w:eastAsia="Times New Roman" w:cs="Times New Roman"/>
                <w:i/>
                <w:color w:val="000000"/>
              </w:rPr>
              <w:t>Coletânea de Instituições Nacionais e Internacionais com linha de financiamento para elaboração de projetos</w:t>
            </w:r>
            <w:r>
              <w:rPr>
                <w:rFonts w:ascii="Times New Roman" w:hAnsi="Times New Roman" w:eastAsia="Times New Roman" w:cs="Times New Roman"/>
                <w:color w:val="000000"/>
              </w:rPr>
              <w:t>.Fortaleza: SEBRAE/CE, 2007. </w:t>
            </w:r>
          </w:p>
          <w:p>
            <w:pPr>
              <w:spacing w:line="360" w:lineRule="auto"/>
              <w:ind w:left="0" w:hanging="2"/>
              <w:rPr>
                <w:rFonts w:ascii="Times New Roman" w:hAnsi="Times New Roman" w:cs="Times New Roman"/>
              </w:rPr>
            </w:pPr>
            <w:r>
              <w:rPr>
                <w:rFonts w:ascii="Times New Roman" w:hAnsi="Times New Roman" w:eastAsia="Times New Roman" w:cs="Times New Roman"/>
                <w:color w:val="000000"/>
              </w:rPr>
              <w:t>Funari, Pedro Paulo Abreu. </w:t>
            </w:r>
            <w:r>
              <w:rPr>
                <w:rFonts w:ascii="Times New Roman" w:hAnsi="Times New Roman" w:eastAsia="Times New Roman" w:cs="Times New Roman"/>
                <w:b/>
                <w:color w:val="000000"/>
              </w:rPr>
              <w:t>Patrimônio histórico e cultural</w:t>
            </w:r>
            <w:r>
              <w:rPr>
                <w:rFonts w:ascii="Times New Roman" w:hAnsi="Times New Roman" w:eastAsia="Times New Roman" w:cs="Times New Roman"/>
                <w:color w:val="000000"/>
              </w:rPr>
              <w:t>. Rio de Janeiro: Zahar, 2009.</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39"/>
        <w:tblW w:w="8924" w:type="dxa"/>
        <w:tblInd w:w="-20" w:type="dxa"/>
        <w:tblLayout w:type="fixed"/>
        <w:tblCellMar>
          <w:top w:w="0" w:type="dxa"/>
          <w:left w:w="22" w:type="dxa"/>
          <w:bottom w:w="0" w:type="dxa"/>
          <w:right w:w="22" w:type="dxa"/>
        </w:tblCellMar>
      </w:tblPr>
      <w:tblGrid>
        <w:gridCol w:w="2886"/>
        <w:gridCol w:w="3122"/>
        <w:gridCol w:w="2916"/>
      </w:tblGrid>
      <w:tr>
        <w:tblPrEx>
          <w:tblCellMar>
            <w:top w:w="0" w:type="dxa"/>
            <w:left w:w="22" w:type="dxa"/>
            <w:bottom w:w="0" w:type="dxa"/>
            <w:right w:w="22" w:type="dxa"/>
          </w:tblCellMar>
        </w:tblPrEx>
        <w:trPr>
          <w:trHeight w:val="1877" w:hRule="atLeast"/>
        </w:trPr>
        <w:tc>
          <w:tcPr>
            <w:tcW w:w="6008"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Tópicos Especiais em Museologia I - Cultura Material</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Nome do Componente Curricular em inglês: Special Topics in Museology I - Culture Material </w:t>
            </w:r>
          </w:p>
        </w:tc>
        <w:tc>
          <w:tcPr>
            <w:tcW w:w="2916"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MUL401</w:t>
            </w:r>
          </w:p>
        </w:tc>
      </w:tr>
      <w:tr>
        <w:tblPrEx>
          <w:tblCellMar>
            <w:top w:w="0" w:type="dxa"/>
            <w:left w:w="22" w:type="dxa"/>
            <w:bottom w:w="0" w:type="dxa"/>
            <w:right w:w="22" w:type="dxa"/>
          </w:tblCellMar>
        </w:tblPrEx>
        <w:trPr>
          <w:trHeight w:val="825" w:hRule="atLeast"/>
        </w:trPr>
        <w:tc>
          <w:tcPr>
            <w:tcW w:w="6008"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Museologia - DEMUL</w:t>
            </w:r>
          </w:p>
        </w:tc>
        <w:tc>
          <w:tcPr>
            <w:tcW w:w="291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3" w:hRule="atLeast"/>
        </w:trPr>
        <w:tc>
          <w:tcPr>
            <w:tcW w:w="2886"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6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semestral </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30 horas</w:t>
            </w:r>
          </w:p>
        </w:tc>
        <w:tc>
          <w:tcPr>
            <w:tcW w:w="3122"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02 horas/aula</w:t>
            </w:r>
          </w:p>
        </w:tc>
        <w:tc>
          <w:tcPr>
            <w:tcW w:w="291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00 horas/aula</w:t>
            </w:r>
          </w:p>
        </w:tc>
      </w:tr>
      <w:tr>
        <w:tblPrEx>
          <w:tblCellMar>
            <w:top w:w="0" w:type="dxa"/>
            <w:left w:w="22" w:type="dxa"/>
            <w:bottom w:w="0" w:type="dxa"/>
            <w:right w:w="22" w:type="dxa"/>
          </w:tblCellMar>
        </w:tblPrEx>
        <w:trPr>
          <w:trHeight w:val="1085"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O curso destina-se a apresentar aos alunos a disciplina denominada “Cultura Material” e relacioná-la com os museus. A disciplina “Cultura Material”, conforme diz o nome, aborda a “cultura”, ou seja, os diversos produtos simbólicos dos grupos humanos e objetivos dos grupos humanos, mas o faz através de suas inumeráveis expressões materiais.</w:t>
            </w:r>
          </w:p>
        </w:tc>
      </w:tr>
      <w:tr>
        <w:tblPrEx>
          <w:tblCellMar>
            <w:top w:w="0" w:type="dxa"/>
            <w:left w:w="22" w:type="dxa"/>
            <w:bottom w:w="0" w:type="dxa"/>
            <w:right w:w="22" w:type="dxa"/>
          </w:tblCellMar>
        </w:tblPrEx>
        <w:trPr>
          <w:trHeight w:val="1123"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 disciplina “Cultura Material” - definição e conceitos; o corpo humano como produtor de necessidades; a mão e o cérebro; memória e futuro; os artefatos como metáfora do corpo humano; a expansão do conceito: artefatos imateriais e super-artefatos. Como abordar a Cultura Material; sobre a natureza da teoria; forma e função; as diversas perspectivas: interpretação dos artefatos; artefatos como valor; artefatos como monumentos; artefatos como documentos. Os artefatos falam? A cultura como sistema de comunicação; aspectos comunicativos dos artefatos; artefatos como signos; a interpretação de artefatos e seus problemas; denotação e conotação; a veracidade da interpretação.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Os artefatos em sociedade. A teoria sociológica; não há artefatos sem sociedade; “artefatos” ou “objetos”; funcionalismo e funcionalidade; o gosto e seus desdobramentos; tendências e moda; raça, etnicidade, gênero; artefatos como signos de posição social. A economia dos artefatos. Artesanato e indústria rural; auto-suficiência; artefatos numa sociedade capitalista; produção em massa e reprodutibilidade; alienação e consumo; a criação de necessidades; a obsolescência; a questão da tecnologia e das “novas tecnologias”. A cultura imaterial como cultura material; aspectos materiais da cultura imaterial; parada, procissão e música: exemplos de artefatos que não são artefatos; lugares da cultura imaterial. A segunda vida dos artefatos. O artefato como acervo museal; artefatos como suportes de informações; coleções e política de aquisição; o museu como lugar de produção científica; o museu: a instituição social; super-artefato. </w:t>
            </w:r>
          </w:p>
        </w:tc>
      </w:tr>
      <w:tr>
        <w:tblPrEx>
          <w:tblCellMar>
            <w:top w:w="0" w:type="dxa"/>
            <w:left w:w="22" w:type="dxa"/>
            <w:bottom w:w="0" w:type="dxa"/>
            <w:right w:w="22" w:type="dxa"/>
          </w:tblCellMar>
        </w:tblPrEx>
        <w:trPr>
          <w:trHeight w:val="1894"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ind w:left="0" w:hanging="2"/>
              <w:rPr>
                <w:rFonts w:ascii="Times New Roman" w:hAnsi="Times New Roman" w:cs="Times New Roman"/>
              </w:rPr>
            </w:pPr>
            <w:r>
              <w:rPr>
                <w:rFonts w:ascii="Times New Roman" w:hAnsi="Times New Roman" w:eastAsia="Times New Roman" w:cs="Times New Roman"/>
                <w:color w:val="000000"/>
              </w:rPr>
              <w:t>BITTENCOURT, José N. Dê-lhes um curso d´água e colocarão o mundo a se mover. Cultura Material e Tecnologia Tradicional: apontamentos para um possível estudo de caso. In:GRANATO, M., RANGEL, M. (Orgs.). Cultura material e patrimônio da ciência e tecnologia (Livro eletrônico). Rio de Janeiro: Museu de Astronomia e Ciências Afins, 2009.</w:t>
            </w:r>
          </w:p>
          <w:p>
            <w:pPr>
              <w:ind w:left="0" w:hanging="2"/>
              <w:rPr>
                <w:rFonts w:ascii="Times New Roman" w:hAnsi="Times New Roman" w:cs="Times New Roman"/>
              </w:rPr>
            </w:pPr>
            <w:r>
              <w:rPr>
                <w:rFonts w:ascii="Times New Roman" w:hAnsi="Times New Roman" w:eastAsia="Times New Roman" w:cs="Times New Roman"/>
                <w:color w:val="000000"/>
              </w:rPr>
              <w:t>BERGER, A. A. What objects mean. An introduction to material culture. Walnut Creek (USA): Left Coast Press, 2009.</w:t>
            </w:r>
          </w:p>
          <w:p>
            <w:pPr>
              <w:ind w:left="0" w:hanging="2"/>
              <w:rPr>
                <w:rFonts w:ascii="Times New Roman" w:hAnsi="Times New Roman" w:cs="Times New Roman"/>
              </w:rPr>
            </w:pPr>
            <w:r>
              <w:rPr>
                <w:rFonts w:ascii="Times New Roman" w:hAnsi="Times New Roman" w:eastAsia="Times New Roman" w:cs="Times New Roman"/>
                <w:color w:val="000000"/>
              </w:rPr>
              <w:t>CARVALHO, A. V., FUNARI, P. P. A. As possibilidades da Arqueologia Pública. história e-história. Campinas: Unicamp/CEANS. Atualizada em 24 de março de 2009. Disponível em: http://www.historiaehistoria.com.br/materia.cfm?tb=arqueologia&amp;id=31.</w:t>
            </w:r>
          </w:p>
          <w:p>
            <w:pPr>
              <w:ind w:left="0" w:hanging="2"/>
              <w:rPr>
                <w:rFonts w:ascii="Times New Roman" w:hAnsi="Times New Roman" w:cs="Times New Roman"/>
              </w:rPr>
            </w:pPr>
            <w:r>
              <w:rPr>
                <w:rFonts w:ascii="Times New Roman" w:hAnsi="Times New Roman" w:eastAsia="Times New Roman" w:cs="Times New Roman"/>
                <w:color w:val="000000"/>
              </w:rPr>
              <w:t>COSTA, P. F. Sinfonia de objetos. São Paulo: Iluminuras, 2007.</w:t>
            </w:r>
          </w:p>
          <w:p>
            <w:pPr>
              <w:ind w:left="0" w:hanging="2"/>
              <w:rPr>
                <w:rFonts w:ascii="Times New Roman" w:hAnsi="Times New Roman" w:cs="Times New Roman"/>
              </w:rPr>
            </w:pPr>
            <w:r>
              <w:rPr>
                <w:rFonts w:ascii="Times New Roman" w:hAnsi="Times New Roman" w:eastAsia="Times New Roman" w:cs="Times New Roman"/>
                <w:color w:val="000000"/>
              </w:rPr>
              <w:t>FUNARI, P. P. A., CARVALHO, A. V. Cultura material e patrimônio científico: discussões atuais. In: GRANATO, M., RANGEL, M. (Orgs.). Cultura material e patrimônio da ciência e tecnologia (Livro eletrônico). Rio de Janeiro: Museu de Astronomia e Ciências Afins, 2009.</w:t>
            </w:r>
          </w:p>
          <w:p>
            <w:pPr>
              <w:ind w:left="0" w:hanging="2"/>
              <w:rPr>
                <w:rFonts w:ascii="Times New Roman" w:hAnsi="Times New Roman" w:cs="Times New Roman"/>
              </w:rPr>
            </w:pPr>
            <w:r>
              <w:rPr>
                <w:rFonts w:ascii="Times New Roman" w:hAnsi="Times New Roman" w:eastAsia="Times New Roman" w:cs="Times New Roman"/>
                <w:color w:val="000000"/>
              </w:rPr>
              <w:t>GEERTZ, Clifford. A interpretação das culturas. Rio de Janeiro: Ed. Guanabara, 1989.</w:t>
            </w:r>
          </w:p>
          <w:p>
            <w:pPr>
              <w:ind w:left="0" w:hanging="2"/>
              <w:rPr>
                <w:rFonts w:ascii="Times New Roman" w:hAnsi="Times New Roman" w:cs="Times New Roman"/>
              </w:rPr>
            </w:pPr>
            <w:r>
              <w:rPr>
                <w:rFonts w:ascii="Times New Roman" w:hAnsi="Times New Roman" w:eastAsia="Times New Roman" w:cs="Times New Roman"/>
                <w:color w:val="000000"/>
              </w:rPr>
              <w:t xml:space="preserve">HERKOVITS, M. J. Antropologia cultural. São Paulo: Ed. Mestre Jou, 4ª ed., 1973 (2 tomos). </w:t>
            </w:r>
          </w:p>
          <w:p>
            <w:pPr>
              <w:ind w:left="0" w:hanging="2"/>
              <w:rPr>
                <w:rFonts w:ascii="Times New Roman" w:hAnsi="Times New Roman" w:cs="Times New Roman"/>
              </w:rPr>
            </w:pPr>
            <w:r>
              <w:rPr>
                <w:rFonts w:ascii="Times New Roman" w:hAnsi="Times New Roman" w:eastAsia="Times New Roman" w:cs="Times New Roman"/>
                <w:color w:val="000000"/>
              </w:rPr>
              <w:t>MENESES, Ulpiano T. B. de. Memória e cultura material: documentos pessoais no espaço público. Estudos Históricos, v.11, n. 21, p.89-103,1998. Disponível em http://virtualbib.fgv.br/ojs/index.php/reh/article/viewFile/2067/1206</w:t>
            </w:r>
          </w:p>
          <w:p>
            <w:pPr>
              <w:ind w:left="0" w:hanging="2"/>
              <w:rPr>
                <w:rFonts w:ascii="Times New Roman" w:hAnsi="Times New Roman" w:cs="Times New Roman"/>
              </w:rPr>
            </w:pPr>
            <w:r>
              <w:rPr>
                <w:rFonts w:ascii="Times New Roman" w:hAnsi="Times New Roman" w:eastAsia="Times New Roman" w:cs="Times New Roman"/>
                <w:color w:val="000000"/>
              </w:rPr>
              <w:t xml:space="preserve">MILLER, D. (Ed.). Materiality. Durhan (USA): Duke University Press, 2005. </w:t>
            </w:r>
          </w:p>
          <w:p>
            <w:pPr>
              <w:ind w:left="0" w:hanging="2"/>
              <w:rPr>
                <w:rFonts w:ascii="Times New Roman" w:hAnsi="Times New Roman" w:cs="Times New Roman"/>
              </w:rPr>
            </w:pPr>
            <w:r>
              <w:rPr>
                <w:rFonts w:ascii="Times New Roman" w:hAnsi="Times New Roman" w:eastAsia="Times New Roman" w:cs="Times New Roman"/>
                <w:color w:val="000000"/>
              </w:rPr>
              <w:t>MONTANARI, M. Comida como cultura. São Paulo: Ed. Senac, 2004.</w:t>
            </w:r>
          </w:p>
          <w:p>
            <w:pPr>
              <w:ind w:left="0" w:hanging="2"/>
              <w:rPr>
                <w:rFonts w:ascii="Times New Roman" w:hAnsi="Times New Roman" w:cs="Times New Roman"/>
              </w:rPr>
            </w:pPr>
            <w:r>
              <w:rPr>
                <w:rFonts w:ascii="Times New Roman" w:hAnsi="Times New Roman" w:eastAsia="Times New Roman" w:cs="Times New Roman"/>
                <w:color w:val="000000"/>
              </w:rPr>
              <w:t>POMIAN, K. Tempo/temporalidade. In: ___. Enciclopédia Einaudi (Vol. 29. Tempo/temporalidade). Lisboa: Imprensa Nacional/Casa da Moeda. 1993. P. 11-91.</w:t>
            </w:r>
          </w:p>
          <w:p>
            <w:pPr>
              <w:ind w:left="0" w:hanging="2"/>
              <w:rPr>
                <w:rFonts w:ascii="Times New Roman" w:hAnsi="Times New Roman" w:cs="Times New Roman"/>
              </w:rPr>
            </w:pPr>
            <w:r>
              <w:rPr>
                <w:rFonts w:ascii="Times New Roman" w:hAnsi="Times New Roman" w:eastAsia="Times New Roman" w:cs="Times New Roman"/>
                <w:color w:val="000000"/>
              </w:rPr>
              <w:t>ROMANO, Ruggiero (dir.) Enciclopédia Einaudi. (Vol 16. Homo/Domesticação-Cultura Material). Lisboa: Imprensa Nacional/Casa da Moeda. 1989.</w:t>
            </w:r>
          </w:p>
          <w:p>
            <w:pPr>
              <w:ind w:left="0" w:hanging="2"/>
              <w:rPr>
                <w:rFonts w:ascii="Times New Roman" w:hAnsi="Times New Roman" w:cs="Times New Roman"/>
              </w:rPr>
            </w:pPr>
            <w:r>
              <w:rPr>
                <w:rFonts w:ascii="Times New Roman" w:hAnsi="Times New Roman" w:eastAsia="Times New Roman" w:cs="Times New Roman"/>
                <w:color w:val="000000"/>
              </w:rPr>
              <w:t>SCHLERETH, T. (Ed.). Material culture: A research guide. Lawrence (USA): Univ. of Kansas Press, 10ª re-impr., 2009 (1ª ed. 1985).</w:t>
            </w:r>
          </w:p>
          <w:p>
            <w:pPr>
              <w:ind w:left="0" w:hanging="2"/>
              <w:rPr>
                <w:rFonts w:ascii="Times New Roman" w:hAnsi="Times New Roman" w:cs="Times New Roman"/>
              </w:rPr>
            </w:pPr>
            <w:r>
              <w:rPr>
                <w:rFonts w:ascii="Times New Roman" w:hAnsi="Times New Roman" w:eastAsia="Times New Roman" w:cs="Times New Roman"/>
                <w:color w:val="000000"/>
              </w:rPr>
              <w:t>WIESER, W. Organismos, estruturas, máquinas: Para uma teoria do organismo. São Paulo: Cultrix, 1972.</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40"/>
        <w:tblW w:w="8924" w:type="dxa"/>
        <w:tblInd w:w="-20" w:type="dxa"/>
        <w:tblLayout w:type="fixed"/>
        <w:tblCellMar>
          <w:top w:w="0" w:type="dxa"/>
          <w:left w:w="22" w:type="dxa"/>
          <w:bottom w:w="0" w:type="dxa"/>
          <w:right w:w="22" w:type="dxa"/>
        </w:tblCellMar>
      </w:tblPr>
      <w:tblGrid>
        <w:gridCol w:w="2886"/>
        <w:gridCol w:w="3122"/>
        <w:gridCol w:w="2916"/>
      </w:tblGrid>
      <w:tr>
        <w:tblPrEx>
          <w:tblCellMar>
            <w:top w:w="0" w:type="dxa"/>
            <w:left w:w="22" w:type="dxa"/>
            <w:bottom w:w="0" w:type="dxa"/>
            <w:right w:w="22" w:type="dxa"/>
          </w:tblCellMar>
        </w:tblPrEx>
        <w:trPr>
          <w:trHeight w:val="1877" w:hRule="atLeast"/>
        </w:trPr>
        <w:tc>
          <w:tcPr>
            <w:tcW w:w="6008"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Introdução A História da Ciência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Nome do Componente Curricular em inglês: Introduction to History of Science </w:t>
            </w:r>
          </w:p>
        </w:tc>
        <w:tc>
          <w:tcPr>
            <w:tcW w:w="2916"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MUL402</w:t>
            </w:r>
          </w:p>
        </w:tc>
      </w:tr>
      <w:tr>
        <w:tblPrEx>
          <w:tblCellMar>
            <w:top w:w="0" w:type="dxa"/>
            <w:left w:w="22" w:type="dxa"/>
            <w:bottom w:w="0" w:type="dxa"/>
            <w:right w:w="22" w:type="dxa"/>
          </w:tblCellMar>
        </w:tblPrEx>
        <w:trPr>
          <w:trHeight w:val="825" w:hRule="atLeast"/>
        </w:trPr>
        <w:tc>
          <w:tcPr>
            <w:tcW w:w="6008"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Museologia - DEMUL</w:t>
            </w:r>
          </w:p>
        </w:tc>
        <w:tc>
          <w:tcPr>
            <w:tcW w:w="291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3" w:hRule="atLeast"/>
        </w:trPr>
        <w:tc>
          <w:tcPr>
            <w:tcW w:w="2886"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6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semestral </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30 horas</w:t>
            </w:r>
          </w:p>
        </w:tc>
        <w:tc>
          <w:tcPr>
            <w:tcW w:w="3122"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02 horas/aula</w:t>
            </w:r>
          </w:p>
        </w:tc>
        <w:tc>
          <w:tcPr>
            <w:tcW w:w="291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00 horas/aula</w:t>
            </w:r>
          </w:p>
        </w:tc>
      </w:tr>
      <w:tr>
        <w:tblPrEx>
          <w:tblCellMar>
            <w:top w:w="0" w:type="dxa"/>
            <w:left w:w="22" w:type="dxa"/>
            <w:bottom w:w="0" w:type="dxa"/>
            <w:right w:w="22" w:type="dxa"/>
          </w:tblCellMar>
        </w:tblPrEx>
        <w:trPr>
          <w:trHeight w:val="1085"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Introdução ao método científico, A Ciência no contexto da antiguidade clássica, idade média, renascimento e revolução industrial, Relação social-histórica da ciência contemporânea, Museus de Ciência e espaços de memória da ciência.</w:t>
            </w:r>
          </w:p>
        </w:tc>
      </w:tr>
      <w:tr>
        <w:tblPrEx>
          <w:tblCellMar>
            <w:top w:w="0" w:type="dxa"/>
            <w:left w:w="22" w:type="dxa"/>
            <w:bottom w:w="0" w:type="dxa"/>
            <w:right w:w="22" w:type="dxa"/>
          </w:tblCellMar>
        </w:tblPrEx>
        <w:trPr>
          <w:trHeight w:val="974"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numPr>
                <w:ilvl w:val="0"/>
                <w:numId w:val="112"/>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Introdução ao método científico</w:t>
            </w:r>
          </w:p>
          <w:p>
            <w:pPr>
              <w:widowControl w:val="0"/>
              <w:numPr>
                <w:ilvl w:val="0"/>
                <w:numId w:val="112"/>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Conhecimento científico na civilização greco-romana</w:t>
            </w:r>
          </w:p>
          <w:p>
            <w:pPr>
              <w:widowControl w:val="0"/>
              <w:numPr>
                <w:ilvl w:val="0"/>
                <w:numId w:val="112"/>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 Idade Média – ciência e limites da fé </w:t>
            </w:r>
          </w:p>
          <w:p>
            <w:pPr>
              <w:widowControl w:val="0"/>
              <w:numPr>
                <w:ilvl w:val="0"/>
                <w:numId w:val="112"/>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 Revolução Científica do século XVII</w:t>
            </w:r>
          </w:p>
          <w:p>
            <w:pPr>
              <w:widowControl w:val="0"/>
              <w:numPr>
                <w:ilvl w:val="0"/>
                <w:numId w:val="112"/>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Iluminismo e ciência no século XVIII</w:t>
            </w:r>
          </w:p>
          <w:p>
            <w:pPr>
              <w:widowControl w:val="0"/>
              <w:numPr>
                <w:ilvl w:val="0"/>
                <w:numId w:val="112"/>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Ciência e revoluções industriais e tecnológicas</w:t>
            </w:r>
          </w:p>
          <w:p>
            <w:pPr>
              <w:widowControl w:val="0"/>
              <w:numPr>
                <w:ilvl w:val="0"/>
                <w:numId w:val="112"/>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Relação social-histórica da ciência contemporânea</w:t>
            </w:r>
          </w:p>
          <w:p>
            <w:pPr>
              <w:widowControl w:val="0"/>
              <w:numPr>
                <w:ilvl w:val="0"/>
                <w:numId w:val="112"/>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Ciência e Desenvolvimento Econômico</w:t>
            </w:r>
          </w:p>
          <w:p>
            <w:pPr>
              <w:widowControl w:val="0"/>
              <w:numPr>
                <w:ilvl w:val="0"/>
                <w:numId w:val="112"/>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Museus de Ciência e os Gabinetes de Curiosidade</w:t>
            </w:r>
          </w:p>
          <w:p>
            <w:pPr>
              <w:widowControl w:val="0"/>
              <w:numPr>
                <w:ilvl w:val="0"/>
                <w:numId w:val="112"/>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Museus de Ciência e espaços de memória da ciência</w:t>
            </w:r>
          </w:p>
          <w:p>
            <w:pPr>
              <w:widowControl w:val="0"/>
              <w:numPr>
                <w:ilvl w:val="0"/>
                <w:numId w:val="112"/>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Museus espaços de ciência e pesquisa </w:t>
            </w:r>
          </w:p>
        </w:tc>
      </w:tr>
      <w:tr>
        <w:tblPrEx>
          <w:tblCellMar>
            <w:top w:w="0" w:type="dxa"/>
            <w:left w:w="22" w:type="dxa"/>
            <w:bottom w:w="0" w:type="dxa"/>
            <w:right w:w="22" w:type="dxa"/>
          </w:tblCellMar>
        </w:tblPrEx>
        <w:trPr>
          <w:trHeight w:val="1894"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ind w:left="0" w:hanging="2"/>
              <w:rPr>
                <w:rFonts w:ascii="Times New Roman" w:hAnsi="Times New Roman" w:cs="Times New Roman"/>
              </w:rPr>
            </w:pPr>
            <w:r>
              <w:rPr>
                <w:rFonts w:ascii="Times New Roman" w:hAnsi="Times New Roman" w:eastAsia="Times New Roman" w:cs="Times New Roman"/>
                <w:color w:val="000000"/>
              </w:rPr>
              <w:t>BITTENCOURT, José N. Dê-lhes um curso d´água e colocarão o mundo a se mover. Cultura Material e Tecnologia Tradicional: apontamentos para um possível estudo de caso. In:GRANATO, M., RANGEL, M. (Orgs.). Cultura material e patrimônio da ciência e tecnologia (Livro eletrônico). Rio de Janeiro: Museu de Astronomia e Ciências Afins, 2009.</w:t>
            </w:r>
          </w:p>
          <w:p>
            <w:pPr>
              <w:ind w:left="0" w:hanging="2"/>
              <w:rPr>
                <w:rFonts w:ascii="Times New Roman" w:hAnsi="Times New Roman" w:cs="Times New Roman"/>
              </w:rPr>
            </w:pPr>
            <w:r>
              <w:rPr>
                <w:rFonts w:ascii="Times New Roman" w:hAnsi="Times New Roman" w:eastAsia="Times New Roman" w:cs="Times New Roman"/>
                <w:color w:val="000000"/>
              </w:rPr>
              <w:t>BERGER, A. A. What objects mean. An introduction to material culture. Walnut Creek (USA): Left Coast Press, 2009.</w:t>
            </w:r>
          </w:p>
          <w:p>
            <w:pPr>
              <w:ind w:left="0" w:hanging="2"/>
              <w:rPr>
                <w:rFonts w:ascii="Times New Roman" w:hAnsi="Times New Roman" w:cs="Times New Roman"/>
              </w:rPr>
            </w:pPr>
            <w:r>
              <w:rPr>
                <w:rFonts w:ascii="Times New Roman" w:hAnsi="Times New Roman" w:eastAsia="Times New Roman" w:cs="Times New Roman"/>
                <w:color w:val="000000"/>
              </w:rPr>
              <w:t>CARVALHO, A. V., FUNARI, P. P. A. As possibilidades da Arqueologia Pública. história e-história. Campinas: Unicamp/CEANS. Atualizada em 24 de março de 2009. Disponível em: http://www.historiaehistoria.com.br/materia.cfm?tb=arqueologia&amp;id=31.</w:t>
            </w:r>
          </w:p>
          <w:p>
            <w:pPr>
              <w:ind w:left="0" w:hanging="2"/>
              <w:rPr>
                <w:rFonts w:ascii="Times New Roman" w:hAnsi="Times New Roman" w:cs="Times New Roman"/>
              </w:rPr>
            </w:pPr>
            <w:r>
              <w:rPr>
                <w:rFonts w:ascii="Times New Roman" w:hAnsi="Times New Roman" w:eastAsia="Times New Roman" w:cs="Times New Roman"/>
                <w:color w:val="000000"/>
              </w:rPr>
              <w:t>COSTA, P. F. Sinfonia de objetos. São Paulo: Iluminuras, 2007.</w:t>
            </w:r>
          </w:p>
          <w:p>
            <w:pPr>
              <w:ind w:left="0" w:hanging="2"/>
              <w:rPr>
                <w:rFonts w:ascii="Times New Roman" w:hAnsi="Times New Roman" w:cs="Times New Roman"/>
              </w:rPr>
            </w:pPr>
            <w:r>
              <w:rPr>
                <w:rFonts w:ascii="Times New Roman" w:hAnsi="Times New Roman" w:eastAsia="Times New Roman" w:cs="Times New Roman"/>
                <w:color w:val="000000"/>
              </w:rPr>
              <w:t>FUNARI, P. P. A., CARVALHO, A. V. Cultura material e patrimônio científico: discussões atuais. In: GRANATO, M., RANGEL, M. (Orgs.). Cultura material e patrimônio da ciência e tecnologia (Livro eletrônico). Rio de Janeiro: Museu de Astronomia e Ciências Afins, 2009.</w:t>
            </w:r>
          </w:p>
          <w:p>
            <w:pPr>
              <w:ind w:left="0" w:hanging="2"/>
              <w:rPr>
                <w:rFonts w:ascii="Times New Roman" w:hAnsi="Times New Roman" w:cs="Times New Roman"/>
              </w:rPr>
            </w:pPr>
            <w:r>
              <w:rPr>
                <w:rFonts w:ascii="Times New Roman" w:hAnsi="Times New Roman" w:eastAsia="Times New Roman" w:cs="Times New Roman"/>
                <w:color w:val="000000"/>
              </w:rPr>
              <w:t>GEERTZ, Clifford. A interpretação das culturas. Rio de Janeiro: Ed. Guanabara, 1989.</w:t>
            </w:r>
          </w:p>
          <w:p>
            <w:pPr>
              <w:ind w:left="0" w:hanging="2"/>
              <w:rPr>
                <w:rFonts w:ascii="Times New Roman" w:hAnsi="Times New Roman" w:cs="Times New Roman"/>
              </w:rPr>
            </w:pPr>
            <w:r>
              <w:rPr>
                <w:rFonts w:ascii="Times New Roman" w:hAnsi="Times New Roman" w:eastAsia="Times New Roman" w:cs="Times New Roman"/>
                <w:color w:val="000000"/>
              </w:rPr>
              <w:t xml:space="preserve">HERKOVITS, M. J. Antropologia cultural. São Paulo: Ed. Mestre Jou, 4ª ed., 1973 (2 tomos). </w:t>
            </w:r>
          </w:p>
          <w:p>
            <w:pPr>
              <w:ind w:left="0" w:hanging="2"/>
              <w:rPr>
                <w:rFonts w:ascii="Times New Roman" w:hAnsi="Times New Roman" w:cs="Times New Roman"/>
              </w:rPr>
            </w:pPr>
            <w:r>
              <w:rPr>
                <w:rFonts w:ascii="Times New Roman" w:hAnsi="Times New Roman" w:eastAsia="Times New Roman" w:cs="Times New Roman"/>
                <w:color w:val="000000"/>
              </w:rPr>
              <w:t>MENESES, Ulpiano T. B. de. Memória e cultura material: documentos pessoais no espaço público. Estudos Históricos, v.11, n. 21, p.89-103,1998. Disponível em http://virtualbib.fgv.br/ojs/index.php/reh/article/viewFile/2067/1206</w:t>
            </w:r>
          </w:p>
          <w:p>
            <w:pPr>
              <w:ind w:left="0" w:hanging="2"/>
              <w:rPr>
                <w:rFonts w:ascii="Times New Roman" w:hAnsi="Times New Roman" w:cs="Times New Roman"/>
              </w:rPr>
            </w:pPr>
            <w:r>
              <w:rPr>
                <w:rFonts w:ascii="Times New Roman" w:hAnsi="Times New Roman" w:eastAsia="Times New Roman" w:cs="Times New Roman"/>
                <w:color w:val="000000"/>
              </w:rPr>
              <w:t xml:space="preserve">MILLER, D. (Ed.). Materiality. Durhan (USA): Duke University Press, 2005. </w:t>
            </w:r>
          </w:p>
          <w:p>
            <w:pPr>
              <w:ind w:left="0" w:hanging="2"/>
              <w:rPr>
                <w:rFonts w:ascii="Times New Roman" w:hAnsi="Times New Roman" w:cs="Times New Roman"/>
              </w:rPr>
            </w:pPr>
            <w:r>
              <w:rPr>
                <w:rFonts w:ascii="Times New Roman" w:hAnsi="Times New Roman" w:eastAsia="Times New Roman" w:cs="Times New Roman"/>
                <w:color w:val="000000"/>
              </w:rPr>
              <w:t>MONTANARI, M. Comida como cultura. São Paulo: Ed. Senac, 2004.</w:t>
            </w:r>
          </w:p>
          <w:p>
            <w:pPr>
              <w:ind w:left="0" w:hanging="2"/>
              <w:rPr>
                <w:rFonts w:ascii="Times New Roman" w:hAnsi="Times New Roman" w:cs="Times New Roman"/>
              </w:rPr>
            </w:pPr>
            <w:r>
              <w:rPr>
                <w:rFonts w:ascii="Times New Roman" w:hAnsi="Times New Roman" w:eastAsia="Times New Roman" w:cs="Times New Roman"/>
                <w:color w:val="000000"/>
              </w:rPr>
              <w:t>POMIAN, K. Tempo/temporalidade. In: ___. Enciclopédia Einaudi (Vol. 29. Tempo/temporalidade). Lisboa: Imprensa Nacional/Casa da Moeda. 1993. P. 11-91.</w:t>
            </w:r>
          </w:p>
          <w:p>
            <w:pPr>
              <w:ind w:left="0" w:hanging="2"/>
              <w:rPr>
                <w:rFonts w:ascii="Times New Roman" w:hAnsi="Times New Roman" w:cs="Times New Roman"/>
              </w:rPr>
            </w:pPr>
            <w:r>
              <w:rPr>
                <w:rFonts w:ascii="Times New Roman" w:hAnsi="Times New Roman" w:eastAsia="Times New Roman" w:cs="Times New Roman"/>
                <w:color w:val="000000"/>
              </w:rPr>
              <w:t>ROMANO, Ruggiero (dir.) Enciclopédia Einaudi. (Vol 16. Homo/Domesticação-Cultura Material). Lisboa: Imprensa Nacional/Casa da Moeda. 1989.</w:t>
            </w:r>
          </w:p>
          <w:p>
            <w:pPr>
              <w:ind w:left="0" w:hanging="2"/>
              <w:rPr>
                <w:rFonts w:ascii="Times New Roman" w:hAnsi="Times New Roman" w:cs="Times New Roman"/>
              </w:rPr>
            </w:pPr>
            <w:r>
              <w:rPr>
                <w:rFonts w:ascii="Times New Roman" w:hAnsi="Times New Roman" w:eastAsia="Times New Roman" w:cs="Times New Roman"/>
                <w:color w:val="000000"/>
              </w:rPr>
              <w:t>SCHLERETH, T. (Ed.). Material culture: A research guide. Lawrence (USA): Univ. of Kansas Press, 10ª re-impr., 2009 (1ª ed. 1985).</w:t>
            </w:r>
          </w:p>
          <w:p>
            <w:pPr>
              <w:ind w:left="0" w:hanging="2"/>
              <w:rPr>
                <w:rFonts w:ascii="Times New Roman" w:hAnsi="Times New Roman" w:cs="Times New Roman"/>
              </w:rPr>
            </w:pPr>
            <w:r>
              <w:rPr>
                <w:rFonts w:ascii="Times New Roman" w:hAnsi="Times New Roman" w:eastAsia="Times New Roman" w:cs="Times New Roman"/>
                <w:color w:val="000000"/>
              </w:rPr>
              <w:t>WIESER, W. Organismos, estruturas, máquinas: Para uma teoria do organismo. São Paulo: Cultrix, 1972.</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41"/>
        <w:tblW w:w="8924" w:type="dxa"/>
        <w:tblInd w:w="-20" w:type="dxa"/>
        <w:tblLayout w:type="fixed"/>
        <w:tblCellMar>
          <w:top w:w="0" w:type="dxa"/>
          <w:left w:w="22" w:type="dxa"/>
          <w:bottom w:w="0" w:type="dxa"/>
          <w:right w:w="22" w:type="dxa"/>
        </w:tblCellMar>
      </w:tblPr>
      <w:tblGrid>
        <w:gridCol w:w="2886"/>
        <w:gridCol w:w="3122"/>
        <w:gridCol w:w="2916"/>
      </w:tblGrid>
      <w:tr>
        <w:tblPrEx>
          <w:tblCellMar>
            <w:top w:w="0" w:type="dxa"/>
            <w:left w:w="22" w:type="dxa"/>
            <w:bottom w:w="0" w:type="dxa"/>
            <w:right w:w="22" w:type="dxa"/>
          </w:tblCellMar>
        </w:tblPrEx>
        <w:trPr>
          <w:trHeight w:val="1877" w:hRule="atLeast"/>
        </w:trPr>
        <w:tc>
          <w:tcPr>
            <w:tcW w:w="6008"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Tópicos Especiais em Museografia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Special Topics in Museography</w:t>
            </w:r>
          </w:p>
        </w:tc>
        <w:tc>
          <w:tcPr>
            <w:tcW w:w="2916"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MUL407</w:t>
            </w:r>
          </w:p>
        </w:tc>
      </w:tr>
      <w:tr>
        <w:tblPrEx>
          <w:tblCellMar>
            <w:top w:w="0" w:type="dxa"/>
            <w:left w:w="22" w:type="dxa"/>
            <w:bottom w:w="0" w:type="dxa"/>
            <w:right w:w="22" w:type="dxa"/>
          </w:tblCellMar>
        </w:tblPrEx>
        <w:trPr>
          <w:trHeight w:val="825" w:hRule="atLeast"/>
        </w:trPr>
        <w:tc>
          <w:tcPr>
            <w:tcW w:w="6008"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Museologia - DEMUL</w:t>
            </w:r>
          </w:p>
        </w:tc>
        <w:tc>
          <w:tcPr>
            <w:tcW w:w="291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3" w:hRule="atLeast"/>
        </w:trPr>
        <w:tc>
          <w:tcPr>
            <w:tcW w:w="2886"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6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semestral </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30 horas</w:t>
            </w:r>
          </w:p>
        </w:tc>
        <w:tc>
          <w:tcPr>
            <w:tcW w:w="3122"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02 horas/aula</w:t>
            </w:r>
          </w:p>
        </w:tc>
        <w:tc>
          <w:tcPr>
            <w:tcW w:w="291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00 horas/aula</w:t>
            </w:r>
          </w:p>
        </w:tc>
      </w:tr>
      <w:tr>
        <w:tblPrEx>
          <w:tblCellMar>
            <w:top w:w="0" w:type="dxa"/>
            <w:left w:w="22" w:type="dxa"/>
            <w:bottom w:w="0" w:type="dxa"/>
            <w:right w:w="22" w:type="dxa"/>
          </w:tblCellMar>
        </w:tblPrEx>
        <w:trPr>
          <w:trHeight w:val="1085"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Ementa: A exposição é um espaço construído não apenas fisicamente, mas também simbolicamente, e pode ser entendido como espaço do imaginário. Desta forma, podemos dizer que a concepção e montagem de uma exposição são resultantes de um processo que envolve atividades técnicas e científicas e que resultam numa pauta museográfica. Assim, a exposição museológica pressupõe um Projeto Museográfico que juntamente com as pesquisas formam um conjunto de informações e definições necessárias a sua elaboração e concepção. </w:t>
            </w:r>
          </w:p>
        </w:tc>
      </w:tr>
      <w:tr>
        <w:tblPrEx>
          <w:tblCellMar>
            <w:top w:w="0" w:type="dxa"/>
            <w:left w:w="22" w:type="dxa"/>
            <w:bottom w:w="0" w:type="dxa"/>
            <w:right w:w="22" w:type="dxa"/>
          </w:tblCellMar>
        </w:tblPrEx>
        <w:trPr>
          <w:trHeight w:val="2205"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numPr>
                <w:ilvl w:val="0"/>
                <w:numId w:val="113"/>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Planejamento e desenvolvimento de exposições.</w:t>
            </w:r>
          </w:p>
          <w:p>
            <w:pPr>
              <w:widowControl w:val="0"/>
              <w:numPr>
                <w:ilvl w:val="0"/>
                <w:numId w:val="113"/>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Estratégias de trabalho</w:t>
            </w:r>
          </w:p>
          <w:p>
            <w:pPr>
              <w:widowControl w:val="0"/>
              <w:numPr>
                <w:ilvl w:val="0"/>
                <w:numId w:val="113"/>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A questão do espaço</w:t>
            </w:r>
          </w:p>
          <w:p>
            <w:pPr>
              <w:widowControl w:val="0"/>
              <w:numPr>
                <w:ilvl w:val="0"/>
                <w:numId w:val="113"/>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Cenografia</w:t>
            </w:r>
          </w:p>
          <w:p>
            <w:pPr>
              <w:widowControl w:val="0"/>
              <w:numPr>
                <w:ilvl w:val="0"/>
                <w:numId w:val="113"/>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Tipos e Forma</w:t>
            </w:r>
          </w:p>
          <w:p>
            <w:pPr>
              <w:widowControl w:val="0"/>
              <w:numPr>
                <w:ilvl w:val="0"/>
                <w:numId w:val="113"/>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Linguagens da exposição: percepção e contex</w:t>
            </w:r>
          </w:p>
        </w:tc>
      </w:tr>
      <w:tr>
        <w:tblPrEx>
          <w:tblCellMar>
            <w:top w:w="0" w:type="dxa"/>
            <w:left w:w="22" w:type="dxa"/>
            <w:bottom w:w="0" w:type="dxa"/>
            <w:right w:w="22" w:type="dxa"/>
          </w:tblCellMar>
        </w:tblPrEx>
        <w:trPr>
          <w:trHeight w:val="1894"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ind w:left="0" w:hanging="2"/>
              <w:rPr>
                <w:rFonts w:ascii="Times New Roman" w:hAnsi="Times New Roman" w:cs="Times New Roman"/>
              </w:rPr>
            </w:pPr>
            <w:r>
              <w:rPr>
                <w:rFonts w:ascii="Times New Roman" w:hAnsi="Times New Roman" w:eastAsia="Times New Roman" w:cs="Times New Roman"/>
              </w:rPr>
              <w:t>ALMEIDA, Adriana M. O contexto do visitante na experiência museal: semelhanças e diferenças. História, Ciências, Saúde-Manguinhos. Rio de Janeiro, v. 12, p. 31-53, 2005.</w:t>
            </w:r>
          </w:p>
          <w:p>
            <w:pPr>
              <w:ind w:left="0" w:hanging="2"/>
              <w:rPr>
                <w:rFonts w:ascii="Times New Roman" w:hAnsi="Times New Roman" w:cs="Times New Roman"/>
              </w:rPr>
            </w:pPr>
            <w:r>
              <w:rPr>
                <w:rFonts w:ascii="Times New Roman" w:hAnsi="Times New Roman" w:eastAsia="Times New Roman" w:cs="Times New Roman"/>
              </w:rPr>
              <w:t>BAUDRILLARD, Jean. O sistema dos objetos. São Paulo: Perspectiva, 1986.</w:t>
            </w:r>
          </w:p>
          <w:p>
            <w:pPr>
              <w:ind w:left="0" w:hanging="2"/>
              <w:rPr>
                <w:rFonts w:ascii="Times New Roman" w:hAnsi="Times New Roman" w:cs="Times New Roman"/>
              </w:rPr>
            </w:pPr>
            <w:r>
              <w:rPr>
                <w:rFonts w:ascii="Times New Roman" w:hAnsi="Times New Roman" w:eastAsia="Times New Roman" w:cs="Times New Roman"/>
              </w:rPr>
              <w:t>BORNHEIM, Gerd. As Metamorfoses do Olhar. In: NOVAES, Adauto et al. O Olhar. SP: Cia. das Letras, 1988. p: 89-93.</w:t>
            </w:r>
          </w:p>
          <w:p>
            <w:pPr>
              <w:ind w:left="0" w:hanging="2"/>
              <w:rPr>
                <w:rFonts w:ascii="Times New Roman" w:hAnsi="Times New Roman" w:cs="Times New Roman"/>
              </w:rPr>
            </w:pPr>
            <w:r>
              <w:rPr>
                <w:rFonts w:ascii="Times New Roman" w:hAnsi="Times New Roman" w:eastAsia="Times New Roman" w:cs="Times New Roman"/>
              </w:rPr>
              <w:t>DURAND, Karina. O Uso da Multimídia como linguagem voltada à valorização do patrimônio cultural. In: ARNAUD, J. K. E. e FONSECA, C. (Coord.) Museografia. RJ: IPHAN/OEA, 1997. p. 51-61</w:t>
            </w:r>
          </w:p>
          <w:p>
            <w:pPr>
              <w:ind w:left="0" w:hanging="2"/>
              <w:rPr>
                <w:rFonts w:ascii="Times New Roman" w:hAnsi="Times New Roman" w:cs="Times New Roman"/>
              </w:rPr>
            </w:pPr>
            <w:r>
              <w:rPr>
                <w:rFonts w:ascii="Times New Roman" w:hAnsi="Times New Roman" w:eastAsia="Times New Roman" w:cs="Times New Roman"/>
              </w:rPr>
              <w:t>FARINA, Modesto. Psicodinâmica das cores em comunicação. São Paulo: Blücher. 1994</w:t>
            </w:r>
          </w:p>
          <w:p>
            <w:pPr>
              <w:ind w:left="0" w:hanging="2"/>
              <w:rPr>
                <w:rFonts w:ascii="Times New Roman" w:hAnsi="Times New Roman" w:cs="Times New Roman"/>
              </w:rPr>
            </w:pPr>
            <w:r>
              <w:rPr>
                <w:rFonts w:ascii="Times New Roman" w:hAnsi="Times New Roman" w:eastAsia="Times New Roman" w:cs="Times New Roman"/>
              </w:rPr>
              <w:t>GONÇALVES, Lisbeth Rebollo. Entre Cenografias. O museu e a exposição de arte no século XX. SP, EDUSP/FAPESP, 2004. 164 p. il.</w:t>
            </w:r>
          </w:p>
          <w:p>
            <w:pPr>
              <w:ind w:left="0" w:hanging="2"/>
              <w:rPr>
                <w:rFonts w:ascii="Times New Roman" w:hAnsi="Times New Roman" w:cs="Times New Roman"/>
              </w:rPr>
            </w:pPr>
            <w:r>
              <w:rPr>
                <w:rFonts w:ascii="Times New Roman" w:hAnsi="Times New Roman" w:eastAsia="Times New Roman" w:cs="Times New Roman"/>
              </w:rPr>
              <w:t>HORTA, Maria de Lourdes Parreiras. Semiótica e Museu. Cadernos de Ensaios: estudos de museologia, 2. Rio de Janeiro: IPHAN, 1994. p.9-28..</w:t>
            </w:r>
          </w:p>
          <w:p>
            <w:pPr>
              <w:ind w:left="0" w:hanging="2"/>
              <w:rPr>
                <w:rFonts w:ascii="Times New Roman" w:hAnsi="Times New Roman" w:cs="Times New Roman"/>
              </w:rPr>
            </w:pPr>
            <w:r>
              <w:rPr>
                <w:rFonts w:ascii="Times New Roman" w:hAnsi="Times New Roman" w:eastAsia="Times New Roman" w:cs="Times New Roman"/>
              </w:rPr>
              <w:t>O'DOHERTY, Brain. No interior do cubo branco: a ideologia do espaço da arte. São Paulo: Martins Fontes, 2007.</w:t>
            </w:r>
          </w:p>
          <w:p>
            <w:pPr>
              <w:ind w:left="0" w:hanging="2"/>
              <w:rPr>
                <w:rFonts w:ascii="Times New Roman" w:hAnsi="Times New Roman" w:cs="Times New Roman"/>
              </w:rPr>
            </w:pPr>
            <w:r>
              <w:rPr>
                <w:rFonts w:ascii="Times New Roman" w:hAnsi="Times New Roman" w:eastAsia="Times New Roman" w:cs="Times New Roman"/>
              </w:rPr>
              <w:t>OSTROWER, Fayga. Criatividade e Processos de Criação. Petrópolis, RJ: Vozes, 2001.</w:t>
            </w:r>
          </w:p>
          <w:p>
            <w:pPr>
              <w:ind w:left="0" w:hanging="2"/>
              <w:rPr>
                <w:rFonts w:ascii="Times New Roman" w:hAnsi="Times New Roman" w:cs="Times New Roman"/>
              </w:rPr>
            </w:pPr>
            <w:r>
              <w:rPr>
                <w:rFonts w:ascii="Times New Roman" w:hAnsi="Times New Roman" w:eastAsia="Times New Roman" w:cs="Times New Roman"/>
              </w:rPr>
              <w:t>SCHEINER, Teresa Cristina. Comunicação - educação - exposição: novos saberes, novos sentidos. In: Semiosfera - Revista de Comunicação e Cultura, v. 4-5, 2003.</w:t>
            </w:r>
          </w:p>
        </w:tc>
      </w:tr>
    </w:tbl>
    <w:p>
      <w:pPr>
        <w:ind w:left="0" w:hanging="2"/>
        <w:rPr>
          <w:rFonts w:ascii="Times New Roman" w:hAnsi="Times New Roman" w:eastAsia="Times New Roman" w:cs="Times New Roman"/>
        </w:rPr>
      </w:pPr>
    </w:p>
    <w:p>
      <w:pPr>
        <w:ind w:left="0" w:leftChars="0" w:firstLine="0" w:firstLineChars="0"/>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42"/>
        <w:tblW w:w="8924" w:type="dxa"/>
        <w:tblInd w:w="-20" w:type="dxa"/>
        <w:tblLayout w:type="fixed"/>
        <w:tblCellMar>
          <w:top w:w="0" w:type="dxa"/>
          <w:left w:w="22" w:type="dxa"/>
          <w:bottom w:w="0" w:type="dxa"/>
          <w:right w:w="22" w:type="dxa"/>
        </w:tblCellMar>
      </w:tblPr>
      <w:tblGrid>
        <w:gridCol w:w="2886"/>
        <w:gridCol w:w="3122"/>
        <w:gridCol w:w="2916"/>
      </w:tblGrid>
      <w:tr>
        <w:tblPrEx>
          <w:tblCellMar>
            <w:top w:w="0" w:type="dxa"/>
            <w:left w:w="22" w:type="dxa"/>
            <w:bottom w:w="0" w:type="dxa"/>
            <w:right w:w="22" w:type="dxa"/>
          </w:tblCellMar>
        </w:tblPrEx>
        <w:trPr>
          <w:trHeight w:val="1877" w:hRule="atLeast"/>
        </w:trPr>
        <w:tc>
          <w:tcPr>
            <w:tcW w:w="6008"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Teoria Museologica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Museology Theory</w:t>
            </w:r>
          </w:p>
        </w:tc>
        <w:tc>
          <w:tcPr>
            <w:tcW w:w="2916"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MUL408</w:t>
            </w:r>
          </w:p>
        </w:tc>
      </w:tr>
      <w:tr>
        <w:tblPrEx>
          <w:tblCellMar>
            <w:top w:w="0" w:type="dxa"/>
            <w:left w:w="22" w:type="dxa"/>
            <w:bottom w:w="0" w:type="dxa"/>
            <w:right w:w="22" w:type="dxa"/>
          </w:tblCellMar>
        </w:tblPrEx>
        <w:trPr>
          <w:trHeight w:val="825" w:hRule="atLeast"/>
        </w:trPr>
        <w:tc>
          <w:tcPr>
            <w:tcW w:w="6008"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Museologia - DEMUL</w:t>
            </w:r>
          </w:p>
        </w:tc>
        <w:tc>
          <w:tcPr>
            <w:tcW w:w="291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3" w:hRule="atLeast"/>
        </w:trPr>
        <w:tc>
          <w:tcPr>
            <w:tcW w:w="2886"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6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semestral </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30 horas</w:t>
            </w:r>
          </w:p>
        </w:tc>
        <w:tc>
          <w:tcPr>
            <w:tcW w:w="3122"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02 horas/aula</w:t>
            </w:r>
          </w:p>
        </w:tc>
        <w:tc>
          <w:tcPr>
            <w:tcW w:w="291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00 horas/aula</w:t>
            </w:r>
          </w:p>
        </w:tc>
      </w:tr>
      <w:tr>
        <w:tblPrEx>
          <w:tblCellMar>
            <w:top w:w="0" w:type="dxa"/>
            <w:left w:w="22" w:type="dxa"/>
            <w:bottom w:w="0" w:type="dxa"/>
            <w:right w:w="22" w:type="dxa"/>
          </w:tblCellMar>
        </w:tblPrEx>
        <w:trPr>
          <w:trHeight w:val="1085"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Introdução aos referenciais teóricos da Museologia da metade do século XX à atualidade. Criação do ICOM e ICOFOM. Principais cartas, documentos e movimentos museológicos.</w:t>
            </w:r>
          </w:p>
        </w:tc>
      </w:tr>
      <w:tr>
        <w:tblPrEx>
          <w:tblCellMar>
            <w:top w:w="0" w:type="dxa"/>
            <w:left w:w="22" w:type="dxa"/>
            <w:bottom w:w="0" w:type="dxa"/>
            <w:right w:w="22" w:type="dxa"/>
          </w:tblCellMar>
        </w:tblPrEx>
        <w:trPr>
          <w:trHeight w:val="1425"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numPr>
                <w:ilvl w:val="0"/>
                <w:numId w:val="114"/>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 Museologia como prática social. </w:t>
            </w:r>
          </w:p>
          <w:p>
            <w:pPr>
              <w:widowControl w:val="0"/>
              <w:numPr>
                <w:ilvl w:val="0"/>
                <w:numId w:val="114"/>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 criação do ICOM em 1946: principais conceitos e correntes da Museologia. </w:t>
            </w:r>
          </w:p>
          <w:p>
            <w:pPr>
              <w:widowControl w:val="0"/>
              <w:numPr>
                <w:ilvl w:val="0"/>
                <w:numId w:val="114"/>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Os comitês e a especialização da prática museal. </w:t>
            </w:r>
          </w:p>
          <w:p>
            <w:pPr>
              <w:widowControl w:val="0"/>
              <w:numPr>
                <w:ilvl w:val="0"/>
                <w:numId w:val="114"/>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 ICOFOM e a teoria museológica. </w:t>
            </w:r>
          </w:p>
          <w:p>
            <w:pPr>
              <w:widowControl w:val="0"/>
              <w:numPr>
                <w:ilvl w:val="0"/>
                <w:numId w:val="114"/>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O movimento da Nova Museologia, MINOM e os novos processos de musealização.</w:t>
            </w:r>
          </w:p>
          <w:p>
            <w:pPr>
              <w:widowControl w:val="0"/>
              <w:numPr>
                <w:ilvl w:val="0"/>
                <w:numId w:val="114"/>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 Museologia como campo disciplinar. </w:t>
            </w:r>
          </w:p>
          <w:p>
            <w:pPr>
              <w:widowControl w:val="0"/>
              <w:numPr>
                <w:ilvl w:val="0"/>
                <w:numId w:val="114"/>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Os estudos de Museologia e a pesquisa museológica.</w:t>
            </w:r>
          </w:p>
          <w:p>
            <w:pPr>
              <w:widowControl w:val="0"/>
              <w:numPr>
                <w:ilvl w:val="0"/>
                <w:numId w:val="114"/>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 interdisciplinaridade e a prática museal. </w:t>
            </w:r>
          </w:p>
          <w:p>
            <w:pPr>
              <w:widowControl w:val="0"/>
              <w:numPr>
                <w:ilvl w:val="0"/>
                <w:numId w:val="114"/>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 Museologia disciplinar e a formação em nível de Graduação. </w:t>
            </w:r>
          </w:p>
          <w:p>
            <w:pPr>
              <w:widowControl w:val="0"/>
              <w:numPr>
                <w:ilvl w:val="0"/>
                <w:numId w:val="114"/>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 Museologia e os estudos pós-graduados.</w:t>
            </w:r>
          </w:p>
        </w:tc>
      </w:tr>
      <w:tr>
        <w:tblPrEx>
          <w:tblCellMar>
            <w:top w:w="0" w:type="dxa"/>
            <w:left w:w="22" w:type="dxa"/>
            <w:bottom w:w="0" w:type="dxa"/>
            <w:right w:w="22" w:type="dxa"/>
          </w:tblCellMar>
        </w:tblPrEx>
        <w:trPr>
          <w:trHeight w:val="1894"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ind w:left="0" w:hanging="2"/>
              <w:rPr>
                <w:rFonts w:ascii="Times New Roman" w:hAnsi="Times New Roman" w:cs="Times New Roman"/>
              </w:rPr>
            </w:pPr>
            <w:r>
              <w:rPr>
                <w:rFonts w:ascii="Times New Roman" w:hAnsi="Times New Roman" w:eastAsia="Times New Roman" w:cs="Times New Roman"/>
              </w:rPr>
              <w:t>CURY, Marília Xavier. O Campo de atuação da Museologia. In: Exposição: concepção e montagem. São Paulo: Annablume, 2005.</w:t>
            </w:r>
          </w:p>
          <w:p>
            <w:pPr>
              <w:ind w:left="0" w:hanging="2"/>
              <w:rPr>
                <w:rFonts w:ascii="Times New Roman" w:hAnsi="Times New Roman" w:cs="Times New Roman"/>
              </w:rPr>
            </w:pPr>
            <w:r>
              <w:rPr>
                <w:rFonts w:ascii="Times New Roman" w:hAnsi="Times New Roman" w:eastAsia="Times New Roman" w:cs="Times New Roman"/>
              </w:rPr>
              <w:t>RIVIERE, Georges H. La Museologia: Curso de Museologia/Textos y testimonios. Espanha: Akal, 1993.</w:t>
            </w:r>
          </w:p>
          <w:p>
            <w:pPr>
              <w:ind w:left="0" w:hanging="2"/>
              <w:rPr>
                <w:rFonts w:ascii="Times New Roman" w:hAnsi="Times New Roman" w:cs="Times New Roman"/>
              </w:rPr>
            </w:pPr>
            <w:r>
              <w:rPr>
                <w:rFonts w:ascii="Times New Roman" w:hAnsi="Times New Roman" w:eastAsia="Times New Roman" w:cs="Times New Roman"/>
              </w:rPr>
              <w:t>SANTOS, Memória coletiva e teoria social. São Paulo: Annablume, 2003.</w:t>
            </w:r>
          </w:p>
          <w:p>
            <w:pPr>
              <w:ind w:left="0" w:hanging="2"/>
              <w:rPr>
                <w:rFonts w:ascii="Times New Roman" w:hAnsi="Times New Roman" w:cs="Times New Roman"/>
              </w:rPr>
            </w:pPr>
            <w:r>
              <w:rPr>
                <w:rFonts w:ascii="Times New Roman" w:hAnsi="Times New Roman" w:eastAsia="Times New Roman" w:cs="Times New Roman"/>
              </w:rPr>
              <w:t>FOUCAULT, Michel. Microfísica do poder. Graal, 2008.</w:t>
            </w:r>
          </w:p>
        </w:tc>
      </w:tr>
      <w:tr>
        <w:tblPrEx>
          <w:tblCellMar>
            <w:top w:w="0" w:type="dxa"/>
            <w:left w:w="22" w:type="dxa"/>
            <w:bottom w:w="0" w:type="dxa"/>
            <w:right w:w="22" w:type="dxa"/>
          </w:tblCellMar>
        </w:tblPrEx>
        <w:trPr>
          <w:trHeight w:val="1894"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ind w:left="0" w:hanging="2"/>
              <w:rPr>
                <w:rFonts w:ascii="Times New Roman" w:hAnsi="Times New Roman" w:cs="Times New Roman"/>
              </w:rPr>
            </w:pPr>
            <w:r>
              <w:rPr>
                <w:rFonts w:ascii="Times New Roman" w:hAnsi="Times New Roman" w:eastAsia="Times New Roman" w:cs="Times New Roman"/>
              </w:rPr>
              <w:t>MALRAUX, André. O museu imaginário. Lisboa: Edições 70, 2000.</w:t>
            </w:r>
          </w:p>
          <w:p>
            <w:pPr>
              <w:ind w:left="0" w:hanging="2"/>
              <w:rPr>
                <w:rFonts w:ascii="Times New Roman" w:hAnsi="Times New Roman" w:cs="Times New Roman"/>
              </w:rPr>
            </w:pPr>
            <w:r>
              <w:rPr>
                <w:rFonts w:ascii="Times New Roman" w:hAnsi="Times New Roman" w:eastAsia="Times New Roman" w:cs="Times New Roman"/>
              </w:rPr>
              <w:t>LOURENÇO, Maria Cecília França. Museus acolhem moderno. São Paulo: EDUSP, 1999. 286p.</w:t>
            </w:r>
          </w:p>
          <w:p>
            <w:pPr>
              <w:ind w:left="0" w:hanging="2"/>
              <w:rPr>
                <w:rFonts w:ascii="Times New Roman" w:hAnsi="Times New Roman" w:cs="Times New Roman"/>
              </w:rPr>
            </w:pPr>
            <w:r>
              <w:rPr>
                <w:rFonts w:ascii="Times New Roman" w:hAnsi="Times New Roman" w:eastAsia="Times New Roman" w:cs="Times New Roman"/>
              </w:rPr>
              <w:t>BERMAM, Marshall. Tudo que é sólido desmancha no ar: a aventura da modernidade. Companhia das Letras,1986.</w:t>
            </w:r>
          </w:p>
          <w:p>
            <w:pPr>
              <w:ind w:left="0" w:hanging="2"/>
              <w:rPr>
                <w:rFonts w:ascii="Times New Roman" w:hAnsi="Times New Roman" w:cs="Times New Roman"/>
              </w:rPr>
            </w:pPr>
            <w:r>
              <w:rPr>
                <w:rFonts w:ascii="Times New Roman" w:hAnsi="Times New Roman" w:eastAsia="Times New Roman" w:cs="Times New Roman"/>
              </w:rPr>
              <w:t>CASTELLS, Manuel. A sociedade em rede. Paz e Terra, 2008.</w:t>
            </w:r>
          </w:p>
          <w:p>
            <w:pPr>
              <w:ind w:left="0" w:hanging="2"/>
              <w:rPr>
                <w:rFonts w:ascii="Times New Roman" w:hAnsi="Times New Roman" w:cs="Times New Roman"/>
              </w:rPr>
            </w:pPr>
            <w:r>
              <w:rPr>
                <w:rFonts w:ascii="Times New Roman" w:hAnsi="Times New Roman" w:eastAsia="Times New Roman" w:cs="Times New Roman"/>
              </w:rPr>
              <w:t>Suplementar</w:t>
            </w:r>
          </w:p>
          <w:p>
            <w:pPr>
              <w:ind w:left="0" w:hanging="2"/>
              <w:rPr>
                <w:rFonts w:ascii="Times New Roman" w:hAnsi="Times New Roman" w:cs="Times New Roman"/>
              </w:rPr>
            </w:pPr>
            <w:r>
              <w:rPr>
                <w:rFonts w:ascii="Times New Roman" w:hAnsi="Times New Roman" w:eastAsia="Times New Roman" w:cs="Times New Roman"/>
              </w:rPr>
              <w:t>Anais do Museu Histórico Nacional. Ministério da Cultura, Instituto do Patrimônio Histórico e Artístico Nacional. Rio de Janeiro. Vol. 33, 2001.</w:t>
            </w:r>
          </w:p>
          <w:p>
            <w:pPr>
              <w:ind w:left="0" w:hanging="2"/>
              <w:rPr>
                <w:rFonts w:ascii="Times New Roman" w:hAnsi="Times New Roman" w:cs="Times New Roman"/>
              </w:rPr>
            </w:pPr>
            <w:r>
              <w:rPr>
                <w:rFonts w:ascii="Times New Roman" w:hAnsi="Times New Roman" w:eastAsia="Times New Roman" w:cs="Times New Roman"/>
              </w:rPr>
              <w:t>BRUNO, Cristina. Museologia e museus: princípios, problemas e métodos. Cadernos de Sociomuseologia/ n 10; ULHT, 1997; Lisboa, Portugal.</w:t>
            </w:r>
          </w:p>
          <w:p>
            <w:pPr>
              <w:ind w:left="0" w:hanging="2"/>
              <w:rPr>
                <w:rFonts w:ascii="Times New Roman" w:hAnsi="Times New Roman" w:cs="Times New Roman"/>
              </w:rPr>
            </w:pPr>
            <w:r>
              <w:rPr>
                <w:rFonts w:ascii="Times New Roman" w:hAnsi="Times New Roman" w:eastAsia="Times New Roman" w:cs="Times New Roman"/>
              </w:rPr>
              <w:t>PRIMO, Judite. Museologia e Patrimônio: Documentos Fundamentais – Organização e Apresentação. Cadernos de Sociomuseologia/ nº 15, Págs.189-191; ULHT, 1999; Lisboa, Portugal.</w:t>
            </w:r>
          </w:p>
          <w:p>
            <w:pPr>
              <w:ind w:left="0" w:hanging="2"/>
              <w:rPr>
                <w:rFonts w:ascii="Times New Roman" w:hAnsi="Times New Roman" w:cs="Times New Roman"/>
              </w:rPr>
            </w:pPr>
            <w:r>
              <w:rPr>
                <w:rFonts w:ascii="Times New Roman" w:hAnsi="Times New Roman" w:eastAsia="Times New Roman" w:cs="Times New Roman"/>
              </w:rPr>
              <w:t>Resposta de Hugues de Varine às perguntas de Mário Chagas. In: Cadernos de Sociomuseologia/págs. 05-23;UHLT, 1996; Lisboa, Portugal.</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43"/>
        <w:tblW w:w="8924" w:type="dxa"/>
        <w:tblInd w:w="-20" w:type="dxa"/>
        <w:tblLayout w:type="fixed"/>
        <w:tblCellMar>
          <w:top w:w="0" w:type="dxa"/>
          <w:left w:w="22" w:type="dxa"/>
          <w:bottom w:w="0" w:type="dxa"/>
          <w:right w:w="22" w:type="dxa"/>
        </w:tblCellMar>
      </w:tblPr>
      <w:tblGrid>
        <w:gridCol w:w="2886"/>
        <w:gridCol w:w="3122"/>
        <w:gridCol w:w="2916"/>
      </w:tblGrid>
      <w:tr>
        <w:tblPrEx>
          <w:tblCellMar>
            <w:top w:w="0" w:type="dxa"/>
            <w:left w:w="22" w:type="dxa"/>
            <w:bottom w:w="0" w:type="dxa"/>
            <w:right w:w="22" w:type="dxa"/>
          </w:tblCellMar>
        </w:tblPrEx>
        <w:trPr>
          <w:trHeight w:val="1877" w:hRule="atLeast"/>
        </w:trPr>
        <w:tc>
          <w:tcPr>
            <w:tcW w:w="6008"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Nome do Componente Curricular em português: Tópicos Especiais em Conservação </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Special Topics in Conservation</w:t>
            </w:r>
          </w:p>
        </w:tc>
        <w:tc>
          <w:tcPr>
            <w:tcW w:w="2916"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MUL422</w:t>
            </w:r>
          </w:p>
        </w:tc>
      </w:tr>
      <w:tr>
        <w:tblPrEx>
          <w:tblCellMar>
            <w:top w:w="0" w:type="dxa"/>
            <w:left w:w="22" w:type="dxa"/>
            <w:bottom w:w="0" w:type="dxa"/>
            <w:right w:w="22" w:type="dxa"/>
          </w:tblCellMar>
        </w:tblPrEx>
        <w:trPr>
          <w:trHeight w:val="825" w:hRule="atLeast"/>
        </w:trPr>
        <w:tc>
          <w:tcPr>
            <w:tcW w:w="6008"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Museologia - DEMUL</w:t>
            </w:r>
          </w:p>
        </w:tc>
        <w:tc>
          <w:tcPr>
            <w:tcW w:w="291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3" w:hRule="atLeast"/>
        </w:trPr>
        <w:tc>
          <w:tcPr>
            <w:tcW w:w="2886"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6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semestral </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30 horas</w:t>
            </w:r>
          </w:p>
        </w:tc>
        <w:tc>
          <w:tcPr>
            <w:tcW w:w="3122"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00 horas/aula</w:t>
            </w:r>
          </w:p>
        </w:tc>
        <w:tc>
          <w:tcPr>
            <w:tcW w:w="291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02 horas/aula</w:t>
            </w:r>
          </w:p>
        </w:tc>
      </w:tr>
      <w:tr>
        <w:tblPrEx>
          <w:tblCellMar>
            <w:top w:w="0" w:type="dxa"/>
            <w:left w:w="22" w:type="dxa"/>
            <w:bottom w:w="0" w:type="dxa"/>
            <w:right w:w="22" w:type="dxa"/>
          </w:tblCellMar>
        </w:tblPrEx>
        <w:trPr>
          <w:trHeight w:val="1085"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Aplicar por meio da prática os métodos e técnicas de conservação de acervos museológicos, baseados em princípios preservacionistas de manuseio, organização, higienização e acondicionamento, ações primordiais no processo de salvaguarda do acervo. Conhecer os diferentes tipos de materiais fornecidos pelo mercado especializado na área da conservação; e, identificar e analisar as suas compatibilidades e suas reversibilidades juntos aos suportes originais. Estimular os alunos, por meio da uma ação didático-pedagógica no Laboratório de Conservação e Restauração do Departamento de Museologia e visitas técnicas à instituições afins o conhecimento de medidas preventivas dos bens culturais móveis.</w:t>
            </w:r>
          </w:p>
        </w:tc>
      </w:tr>
      <w:tr>
        <w:tblPrEx>
          <w:tblCellMar>
            <w:top w:w="0" w:type="dxa"/>
            <w:left w:w="22" w:type="dxa"/>
            <w:bottom w:w="0" w:type="dxa"/>
            <w:right w:w="22" w:type="dxa"/>
          </w:tblCellMar>
        </w:tblPrEx>
        <w:trPr>
          <w:trHeight w:val="1425"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numPr>
                <w:ilvl w:val="0"/>
                <w:numId w:val="115"/>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Princípios teóricos e filosóficos: Preservação, Conservação e Restauração - Conceituação e ética.</w:t>
            </w:r>
          </w:p>
          <w:p>
            <w:pPr>
              <w:widowControl w:val="0"/>
              <w:numPr>
                <w:ilvl w:val="0"/>
                <w:numId w:val="115"/>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Conservação Preventiva: materiais e técnicas construtivas de bens culturais e os processos e agentes de degradação: físico, químico, biológico e humano.</w:t>
            </w:r>
          </w:p>
          <w:p>
            <w:pPr>
              <w:widowControl w:val="0"/>
              <w:numPr>
                <w:ilvl w:val="0"/>
                <w:numId w:val="115"/>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Princípios práticos: preservação dos acervos em exposições permanentes, temporárias e Reservas Técnicas. </w:t>
            </w:r>
          </w:p>
          <w:p>
            <w:pPr>
              <w:widowControl w:val="0"/>
              <w:numPr>
                <w:ilvl w:val="0"/>
                <w:numId w:val="115"/>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Conservação interventiva: princípios teóricos sobre técnicas, equipamentos e materiais adequados à conservação.</w:t>
            </w:r>
          </w:p>
          <w:p>
            <w:pPr>
              <w:widowControl w:val="0"/>
              <w:numPr>
                <w:ilvl w:val="0"/>
                <w:numId w:val="115"/>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Gestão de espaços: Planejamento, organização, armazenamento e acondicionamento dos acervos em exposições permanentes, temporárias, itinerantes e Reservas Técnicas.   </w:t>
            </w:r>
          </w:p>
          <w:p>
            <w:pPr>
              <w:widowControl w:val="0"/>
              <w:numPr>
                <w:ilvl w:val="0"/>
                <w:numId w:val="115"/>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rPr>
            </w:pPr>
            <w:r>
              <w:rPr>
                <w:rFonts w:ascii="Times New Roman" w:hAnsi="Times New Roman" w:eastAsia="Times New Roman" w:cs="Times New Roman"/>
                <w:color w:val="000000"/>
              </w:rPr>
              <w:t xml:space="preserve">Documentação, registro fotográfico e informatização de dados como ferramenta </w:t>
            </w:r>
            <w:r>
              <w:rPr>
                <w:rFonts w:ascii="Times New Roman" w:hAnsi="Times New Roman" w:eastAsia="Times New Roman" w:cs="Times New Roman"/>
              </w:rPr>
              <w:t>de preservação.</w:t>
            </w:r>
          </w:p>
          <w:p>
            <w:pPr>
              <w:widowControl w:val="0"/>
              <w:numPr>
                <w:ilvl w:val="0"/>
                <w:numId w:val="115"/>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Visitas técnicas aos Laboratórios de Conservação e Restauração da Fundação de Arte de Ouro Preto (FAOP) e ao Centro de Conservação e Restauração da Universidade Federal de Minas Gerais (CECOR/ UFMG);</w:t>
            </w:r>
          </w:p>
          <w:p>
            <w:pPr>
              <w:widowControl w:val="0"/>
              <w:numPr>
                <w:ilvl w:val="0"/>
                <w:numId w:val="115"/>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Visitas Técnicas aos Museus para Observação e reconhecimento das técnicas utilizadas na conservação e restauro dos bens.</w:t>
            </w:r>
          </w:p>
        </w:tc>
      </w:tr>
      <w:tr>
        <w:tblPrEx>
          <w:tblCellMar>
            <w:top w:w="0" w:type="dxa"/>
            <w:left w:w="22" w:type="dxa"/>
            <w:bottom w:w="0" w:type="dxa"/>
            <w:right w:w="22" w:type="dxa"/>
          </w:tblCellMar>
        </w:tblPrEx>
        <w:trPr>
          <w:trHeight w:val="1894"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ind w:left="0" w:hanging="2"/>
              <w:rPr>
                <w:rFonts w:ascii="Times New Roman" w:hAnsi="Times New Roman" w:cs="Times New Roman"/>
              </w:rPr>
            </w:pPr>
            <w:r>
              <w:rPr>
                <w:rFonts w:ascii="Times New Roman" w:hAnsi="Times New Roman" w:eastAsia="Times New Roman" w:cs="Times New Roman"/>
              </w:rPr>
              <w:t xml:space="preserve">ALAMBERT, C.C.D., MONTEIRO, M.G. e FERREIRA S.R. Conservação: postura e procedimentos. São Paulo: Imprensa Oficial, 1998. </w:t>
            </w:r>
          </w:p>
          <w:p>
            <w:pPr>
              <w:ind w:left="0" w:hanging="2"/>
              <w:rPr>
                <w:rFonts w:ascii="Times New Roman" w:hAnsi="Times New Roman" w:cs="Times New Roman"/>
              </w:rPr>
            </w:pPr>
            <w:r>
              <w:rPr>
                <w:rFonts w:ascii="Times New Roman" w:hAnsi="Times New Roman" w:eastAsia="Times New Roman" w:cs="Times New Roman"/>
              </w:rPr>
              <w:t>ABRUNHOSA, J. J; GRIEBLER, Ana Cristina de Freitas. Coletânea sobre preservação &amp; conservação de acervos em bibliotecas brasileiras. Nova Friburgo: Êxito, 2008. 67 p.</w:t>
            </w:r>
          </w:p>
          <w:p>
            <w:pPr>
              <w:ind w:left="0" w:hanging="2"/>
              <w:rPr>
                <w:rFonts w:ascii="Times New Roman" w:hAnsi="Times New Roman" w:cs="Times New Roman"/>
              </w:rPr>
            </w:pPr>
            <w:r>
              <w:rPr>
                <w:rFonts w:ascii="Times New Roman" w:hAnsi="Times New Roman" w:eastAsia="Times New Roman" w:cs="Times New Roman"/>
              </w:rPr>
              <w:t>ASSOCIAÇÃO BRASILEIRA DOS CONSERVADORES-RESTAURADORES DE BENS CULTURAIS. CONGRESSO: 8.: 1996. Ouro Preto. Políticas de preservação, pesquisas e técnicas em conservação/restauração, formação profissional: Anais do VIII Congresso [ABRACOR]. Ouro Preto: ABRACOR, [1996?]. 347p.</w:t>
            </w:r>
          </w:p>
          <w:p>
            <w:pPr>
              <w:ind w:left="0" w:hanging="2"/>
              <w:rPr>
                <w:rFonts w:ascii="Times New Roman" w:hAnsi="Times New Roman" w:cs="Times New Roman"/>
              </w:rPr>
            </w:pPr>
            <w:r>
              <w:rPr>
                <w:rFonts w:ascii="Times New Roman" w:hAnsi="Times New Roman" w:eastAsia="Times New Roman" w:cs="Times New Roman"/>
              </w:rPr>
              <w:t>BACHMANN, K. e RUSHFIELD, R. A. Princípios de armazenamento. In: MENDES, Marylka; SILVEIRA, Luciana da; BEVILAQUA, Fátima; BAPTISTA, Antônio Carlos Nunes (Orgs.). Conservação: conceitos e práticas. Rio de Janeiro: Editora UFRJ, 2001. Cap. 5. P. 83-93.</w:t>
            </w:r>
          </w:p>
          <w:p>
            <w:pPr>
              <w:ind w:left="0" w:hanging="2"/>
              <w:rPr>
                <w:rFonts w:ascii="Times New Roman" w:hAnsi="Times New Roman" w:cs="Times New Roman"/>
              </w:rPr>
            </w:pPr>
            <w:r>
              <w:rPr>
                <w:rFonts w:ascii="Times New Roman" w:hAnsi="Times New Roman" w:eastAsia="Times New Roman" w:cs="Times New Roman"/>
              </w:rPr>
              <w:t xml:space="preserve">BARUKI, Sandra; COURY, Nazareth; HORTA, João Carlos; KENNEDY, Nora; MUSTARDO, Peter; COSTA, Francisco da; CARTIER-BRESSON, Anne; PAVÃO, Luis; HENDRIKS, Klaus B; JÜRGENS, Martin. Cadernos técnicos de conservação fotográfica. 3ª ed. rev. Rio de Janeiro: FUNARTE, 2004 5v. </w:t>
            </w:r>
          </w:p>
          <w:p>
            <w:pPr>
              <w:ind w:left="0" w:hanging="2"/>
              <w:rPr>
                <w:rFonts w:ascii="Times New Roman" w:hAnsi="Times New Roman" w:cs="Times New Roman"/>
              </w:rPr>
            </w:pPr>
            <w:r>
              <w:rPr>
                <w:rFonts w:ascii="Times New Roman" w:hAnsi="Times New Roman" w:eastAsia="Times New Roman" w:cs="Times New Roman"/>
              </w:rPr>
              <w:t>BOUCHENAK, Mounir. International conservation organizations. GCI Newsletter, Los Angeles, V.4, n.1,p.25 – 27, Spring 1999. Traduzido em português.</w:t>
            </w:r>
          </w:p>
          <w:p>
            <w:pPr>
              <w:ind w:left="0" w:hanging="2"/>
              <w:rPr>
                <w:rFonts w:ascii="Times New Roman" w:hAnsi="Times New Roman" w:cs="Times New Roman"/>
              </w:rPr>
            </w:pPr>
            <w:r>
              <w:rPr>
                <w:rFonts w:ascii="Times New Roman" w:hAnsi="Times New Roman" w:eastAsia="Times New Roman" w:cs="Times New Roman"/>
              </w:rPr>
              <w:t>BRADLEY, Susan M. Os objetos têm vida finita? In: MENDES, Marylka; SILVEIRA, Luciana da; BEVILAQUA, Fátima; BAPTISTA, Antônio Carlos Nunes (Orgs.). Conservação: conceitos e práticas. Rio de Janeiro: Editora UFRJ, 2001. Cap. 1. p. 15-34.</w:t>
            </w:r>
          </w:p>
          <w:p>
            <w:pPr>
              <w:ind w:left="0" w:hanging="2"/>
              <w:rPr>
                <w:rFonts w:ascii="Times New Roman" w:hAnsi="Times New Roman" w:cs="Times New Roman"/>
              </w:rPr>
            </w:pPr>
            <w:r>
              <w:rPr>
                <w:rFonts w:ascii="Times New Roman" w:hAnsi="Times New Roman" w:eastAsia="Times New Roman" w:cs="Times New Roman"/>
              </w:rPr>
              <w:t>BRANDI, Cesare. Teoria da Restauração. São Paulo: Editora Ateliê, 2004.</w:t>
            </w:r>
          </w:p>
          <w:p>
            <w:pPr>
              <w:ind w:left="0" w:hanging="2"/>
              <w:rPr>
                <w:rFonts w:ascii="Times New Roman" w:hAnsi="Times New Roman" w:cs="Times New Roman"/>
              </w:rPr>
            </w:pPr>
            <w:r>
              <w:rPr>
                <w:rFonts w:ascii="Times New Roman" w:hAnsi="Times New Roman" w:eastAsia="Times New Roman" w:cs="Times New Roman"/>
              </w:rPr>
              <w:t>BURGI, Sergio; MENDES, Marylka. Materiais empregados em conservação-restauração de bens culturais. Rio de Janeiro: ABRACOR, 1990. 257p.</w:t>
            </w:r>
          </w:p>
          <w:p>
            <w:pPr>
              <w:ind w:left="0" w:hanging="2"/>
              <w:rPr>
                <w:rFonts w:ascii="Times New Roman" w:hAnsi="Times New Roman" w:cs="Times New Roman"/>
              </w:rPr>
            </w:pPr>
            <w:r>
              <w:rPr>
                <w:rFonts w:ascii="Times New Roman" w:hAnsi="Times New Roman" w:eastAsia="Times New Roman" w:cs="Times New Roman"/>
              </w:rPr>
              <w:t>CASANOVAS, Luís Elias. A conservação preventiva: evolução do conceito e algumas questões práticas. in Revista do Instituto de História da Arte da Faculdade de Letras da Universidade de Lisboa, nº 3, Dezembro de 2004, pp. 381-384</w:t>
            </w:r>
          </w:p>
          <w:p>
            <w:pPr>
              <w:ind w:left="0" w:hanging="2"/>
              <w:rPr>
                <w:rFonts w:ascii="Times New Roman" w:hAnsi="Times New Roman" w:cs="Times New Roman"/>
              </w:rPr>
            </w:pPr>
            <w:r>
              <w:rPr>
                <w:rFonts w:ascii="Times New Roman" w:hAnsi="Times New Roman" w:eastAsia="Times New Roman" w:cs="Times New Roman"/>
              </w:rPr>
              <w:t xml:space="preserve">CORREIA, Maria Rosa; Instituto do Patrimônio Histórico e Artístico Nacional. Oficina de estudos da preservação, coletânea I. Rio de Janeiro: IPHAN, 2008. 286p. </w:t>
            </w:r>
          </w:p>
          <w:p>
            <w:pPr>
              <w:ind w:left="0" w:hanging="2"/>
              <w:rPr>
                <w:rFonts w:ascii="Times New Roman" w:hAnsi="Times New Roman" w:cs="Times New Roman"/>
              </w:rPr>
            </w:pPr>
            <w:r>
              <w:rPr>
                <w:rFonts w:ascii="Times New Roman" w:hAnsi="Times New Roman" w:eastAsia="Times New Roman" w:cs="Times New Roman"/>
              </w:rPr>
              <w:t>DRUMOND, Maria Cecília de Paula. Prevenção e Conservação em Museus. In: Caderno de Diretrizes Museológicas 1. Belo Horizonte: Secretaria de Estado da Cultura/Superintendência de Museus, 2002. p. 103- 129.</w:t>
            </w:r>
          </w:p>
          <w:p>
            <w:pPr>
              <w:ind w:left="0" w:hanging="2"/>
              <w:rPr>
                <w:rFonts w:ascii="Times New Roman" w:hAnsi="Times New Roman" w:cs="Times New Roman"/>
              </w:rPr>
            </w:pPr>
            <w:r>
              <w:rPr>
                <w:rFonts w:ascii="Times New Roman" w:hAnsi="Times New Roman" w:eastAsia="Times New Roman" w:cs="Times New Roman"/>
              </w:rPr>
              <w:t>EASTOP, Dinah e TIMÁR-BALÁSAZY. Materiais de armazenamento e exposição. In: MENDES, Marylka; SILVEIRA, Luciana da; BEVILAQUA, Fátima; BAPTISTA, Antônio Carlos Nunes (Orgs.). Conservação: conceitos e práticas. Rio de Janeiro: Editora UFRJ, 2001. Cap. 8 p. 141-184</w:t>
            </w:r>
          </w:p>
          <w:p>
            <w:pPr>
              <w:ind w:left="0" w:hanging="2"/>
              <w:rPr>
                <w:rFonts w:ascii="Times New Roman" w:hAnsi="Times New Roman" w:cs="Times New Roman"/>
              </w:rPr>
            </w:pPr>
            <w:r>
              <w:rPr>
                <w:rFonts w:ascii="Times New Roman" w:hAnsi="Times New Roman" w:eastAsia="Times New Roman" w:cs="Times New Roman"/>
              </w:rPr>
              <w:t>FRONER GONÇALVES, Yacy Ara. Os domínios da Memória: um estudo sobre a construção do pensamento preservacionista nos campi da Museologia, Arqueologia e Ciência da Conservação. Tese (Doutorado em História) – Universidade de São Paulo, São Paulo, 2001. 466 p</w:t>
            </w:r>
          </w:p>
          <w:p>
            <w:pPr>
              <w:ind w:left="0" w:hanging="2"/>
              <w:rPr>
                <w:rFonts w:ascii="Times New Roman" w:hAnsi="Times New Roman" w:cs="Times New Roman"/>
              </w:rPr>
            </w:pPr>
            <w:r>
              <w:rPr>
                <w:rFonts w:ascii="Times New Roman" w:hAnsi="Times New Roman" w:eastAsia="Times New Roman" w:cs="Times New Roman"/>
              </w:rPr>
              <w:t>GOMEZ GONZALEZ, Maria Luisa. Examen científico aplicado a la conservacion de obras de arte. Madrid: Ministerio de Cultura, Instituto de Conservacion y Restauracion de Bienes Culturales, 1994. 189p.</w:t>
            </w:r>
          </w:p>
          <w:p>
            <w:pPr>
              <w:ind w:left="0" w:hanging="2"/>
              <w:rPr>
                <w:rFonts w:ascii="Times New Roman" w:hAnsi="Times New Roman" w:cs="Times New Roman"/>
              </w:rPr>
            </w:pPr>
            <w:r>
              <w:rPr>
                <w:rFonts w:ascii="Times New Roman" w:hAnsi="Times New Roman" w:eastAsia="Times New Roman" w:cs="Times New Roman"/>
              </w:rPr>
              <w:t>GOMES, Sônia de Conti; MOTTA, Rosemary Tofani. Técnicas alternativas de conservação: recuperação de livros, revistas, folhetos e mapas. 2. Ed. rev. Belo Horizonte: Editora UFMG, 1997 108p.</w:t>
            </w:r>
          </w:p>
          <w:p>
            <w:pPr>
              <w:ind w:left="0" w:hanging="2"/>
              <w:rPr>
                <w:rFonts w:ascii="Times New Roman" w:hAnsi="Times New Roman" w:cs="Times New Roman"/>
              </w:rPr>
            </w:pPr>
            <w:r>
              <w:rPr>
                <w:rFonts w:ascii="Times New Roman" w:hAnsi="Times New Roman" w:eastAsia="Times New Roman" w:cs="Times New Roman"/>
              </w:rPr>
              <w:t>KING, Steve; PEARSON, Colin. Controle ambiental para instituições culturais. In: MENDES, Marylka; SILVEIRA, Luciana da; BEVILAQUA, Fátima; BAPTISTA, Antônio Carlos Nunes (Orgs.). Conservação: Conceitos e práticas. Rio de Janeiro: Editora UFRJ, 2001.</w:t>
            </w:r>
          </w:p>
          <w:p>
            <w:pPr>
              <w:ind w:left="0" w:hanging="2"/>
              <w:rPr>
                <w:rFonts w:ascii="Times New Roman" w:hAnsi="Times New Roman" w:cs="Times New Roman"/>
              </w:rPr>
            </w:pPr>
            <w:r>
              <w:rPr>
                <w:rFonts w:ascii="Times New Roman" w:hAnsi="Times New Roman" w:eastAsia="Times New Roman" w:cs="Times New Roman"/>
              </w:rPr>
              <w:t>LEVIN, Jeffrey. The future of conservation. GCI newsletter, Los Angeles, v.15, n.1, p: 5-9. Traduzido em português.</w:t>
            </w:r>
          </w:p>
          <w:p>
            <w:pPr>
              <w:ind w:left="0" w:hanging="2"/>
              <w:rPr>
                <w:rFonts w:ascii="Times New Roman" w:hAnsi="Times New Roman" w:cs="Times New Roman"/>
              </w:rPr>
            </w:pPr>
            <w:r>
              <w:rPr>
                <w:rFonts w:ascii="Times New Roman" w:hAnsi="Times New Roman" w:eastAsia="Times New Roman" w:cs="Times New Roman"/>
              </w:rPr>
              <w:t>LUCCAS, Lucy; SERIPIERRE, Dione. Conservar para não restaurar: uma proposta para preservação de documentos em bibliotecas. Brasília: 1995. 125p.</w:t>
            </w:r>
          </w:p>
          <w:p>
            <w:pPr>
              <w:ind w:left="0" w:hanging="2"/>
              <w:rPr>
                <w:rFonts w:ascii="Times New Roman" w:hAnsi="Times New Roman" w:cs="Times New Roman"/>
              </w:rPr>
            </w:pPr>
            <w:r>
              <w:rPr>
                <w:rFonts w:ascii="Times New Roman" w:hAnsi="Times New Roman" w:eastAsia="Times New Roman" w:cs="Times New Roman"/>
              </w:rPr>
              <w:t xml:space="preserve">MATTEINI, Mauro; MOLES, Arcangelo. Ciencia y restauración: método de investigación. Hondarribia: Nerea, c2001. 304 p. : (Arte y restauración ;v.6) </w:t>
            </w:r>
          </w:p>
          <w:p>
            <w:pPr>
              <w:ind w:left="0" w:hanging="2"/>
              <w:rPr>
                <w:rFonts w:ascii="Times New Roman" w:hAnsi="Times New Roman" w:cs="Times New Roman"/>
              </w:rPr>
            </w:pPr>
            <w:r>
              <w:rPr>
                <w:rFonts w:ascii="Times New Roman" w:hAnsi="Times New Roman" w:eastAsia="Times New Roman" w:cs="Times New Roman"/>
              </w:rPr>
              <w:t>MELLO, MARCIA; PESSOA, MARISTELA; Instituto Brasileiro de Arte e Cultura. Manual de acondicionamento de material fotográfico. Rio de Janeiro: IBAC, 1994. 31p.</w:t>
            </w:r>
          </w:p>
          <w:p>
            <w:pPr>
              <w:ind w:left="0" w:hanging="2"/>
              <w:rPr>
                <w:rFonts w:ascii="Times New Roman" w:hAnsi="Times New Roman" w:cs="Times New Roman"/>
              </w:rPr>
            </w:pPr>
            <w:r>
              <w:rPr>
                <w:rFonts w:ascii="Times New Roman" w:hAnsi="Times New Roman" w:eastAsia="Times New Roman" w:cs="Times New Roman"/>
              </w:rPr>
              <w:t>MENDES, Marylka; BAPTISTA, Antonio Carlos Nunes. Restauração: ciência e arte. 3. ed. Rio de Janeiro: Ed. UFRJ: IPHAN, 2005. 408p.</w:t>
            </w:r>
          </w:p>
          <w:p>
            <w:pPr>
              <w:ind w:left="0" w:hanging="2"/>
              <w:rPr>
                <w:rFonts w:ascii="Times New Roman" w:hAnsi="Times New Roman" w:cs="Times New Roman"/>
              </w:rPr>
            </w:pPr>
            <w:r>
              <w:rPr>
                <w:rFonts w:ascii="Times New Roman" w:hAnsi="Times New Roman" w:eastAsia="Times New Roman" w:cs="Times New Roman"/>
              </w:rPr>
              <w:t>Museums, Libraries and Archives Coucil. Conservação de Coleções; [ Tradução Maurício O. Santos e Patrícia Souza].-São Paulo: Editora da Universidade de São Paulo: [Fudação] Vitae, 2005.</w:t>
            </w:r>
          </w:p>
          <w:p>
            <w:pPr>
              <w:ind w:left="0" w:hanging="2"/>
              <w:rPr>
                <w:rFonts w:ascii="Times New Roman" w:hAnsi="Times New Roman" w:cs="Times New Roman"/>
              </w:rPr>
            </w:pPr>
            <w:r>
              <w:rPr>
                <w:rFonts w:ascii="Times New Roman" w:hAnsi="Times New Roman" w:eastAsia="Times New Roman" w:cs="Times New Roman"/>
              </w:rPr>
              <w:t>OLIVEIRA, Mario Mendonça de; SANTIAGO, Cybele Celestino; LEAL, João Legal. Rudimentos para oficiais de conservação e restauração. Rio de Janeiro: ABRACOR, 1996. 116 p</w:t>
            </w:r>
          </w:p>
          <w:p>
            <w:pPr>
              <w:ind w:left="0" w:hanging="2"/>
              <w:rPr>
                <w:rFonts w:ascii="Times New Roman" w:hAnsi="Times New Roman" w:cs="Times New Roman"/>
              </w:rPr>
            </w:pPr>
            <w:r>
              <w:rPr>
                <w:rFonts w:ascii="Times New Roman" w:hAnsi="Times New Roman" w:eastAsia="Times New Roman" w:cs="Times New Roman"/>
              </w:rPr>
              <w:t xml:space="preserve">OURIQUES, E.V., LIENNMANN, A. e LANARI, R. Manuseio e embalagem de obras de arte: manual. Rio de Janeiro: Ministério da Cultura/ FUNARTE, 1989. </w:t>
            </w:r>
          </w:p>
          <w:p>
            <w:pPr>
              <w:ind w:left="0" w:hanging="2"/>
              <w:rPr>
                <w:rFonts w:ascii="Times New Roman" w:hAnsi="Times New Roman" w:cs="Times New Roman"/>
              </w:rPr>
            </w:pPr>
            <w:r>
              <w:rPr>
                <w:rFonts w:ascii="Times New Roman" w:hAnsi="Times New Roman" w:eastAsia="Times New Roman" w:cs="Times New Roman"/>
              </w:rPr>
              <w:t>PEARSON, Colin. Preservação de acervos em países tropicais. In: MENDES, Marylka; SILVEIRA,Luciana da; BEVILAQUA, Fátima; BAPTISTA, Antônio Carlos Nunes (Orgs.). Conservação: conceitos e práticas. Rio de Janeiro: Editora UFRJ, 2001. Cap. 2. p. 35-40</w:t>
            </w:r>
          </w:p>
          <w:p>
            <w:pPr>
              <w:ind w:left="0" w:hanging="2"/>
              <w:rPr>
                <w:rFonts w:ascii="Times New Roman" w:hAnsi="Times New Roman" w:cs="Times New Roman"/>
              </w:rPr>
            </w:pPr>
            <w:r>
              <w:rPr>
                <w:rFonts w:ascii="Times New Roman" w:hAnsi="Times New Roman" w:eastAsia="Times New Roman" w:cs="Times New Roman"/>
              </w:rPr>
              <w:t>___________ e KING, Steve. Controle Ambiental para instituições culturais: planejamento adequado e uso de tecnologias alternativas. In: MENDES, Marylka; SILVEIRA, Luciana da; BEVILAQUA, Fátima; BAPTISTA, Antônio Carlos Nunes (Orgs.). Conservação: conceitos e práticas. Rio de Janeiro: Editora UFRJ, 2001. Cap. 3. p. 41-64</w:t>
            </w:r>
          </w:p>
          <w:p>
            <w:pPr>
              <w:ind w:left="0" w:hanging="2"/>
              <w:rPr>
                <w:rFonts w:ascii="Times New Roman" w:hAnsi="Times New Roman" w:cs="Times New Roman"/>
              </w:rPr>
            </w:pPr>
            <w:r>
              <w:rPr>
                <w:rFonts w:ascii="Times New Roman" w:hAnsi="Times New Roman" w:eastAsia="Times New Roman" w:cs="Times New Roman"/>
              </w:rPr>
              <w:t>Programa de Cooperação Técnica: Instituto do Patrimônio Histórico e Artístico Nacional/ IPHAN e Universidade Federal de Minas Gerais. Projeto Conservação Preventiva: avaliação e diagnóstico de coleções. Tópicos em Conservação Preventiva. Cadernos 1 - 10. Belo Horizonte: LACICOR – EBA – UFMG, 2008. Disponível em http://www.patrimoniocultural.org/demu.php.  Acessado em 27/01/2010.</w:t>
            </w:r>
          </w:p>
          <w:p>
            <w:pPr>
              <w:ind w:left="0" w:hanging="2"/>
              <w:rPr>
                <w:rFonts w:ascii="Times New Roman" w:hAnsi="Times New Roman" w:cs="Times New Roman"/>
              </w:rPr>
            </w:pPr>
            <w:r>
              <w:rPr>
                <w:rFonts w:ascii="Times New Roman" w:hAnsi="Times New Roman" w:eastAsia="Times New Roman" w:cs="Times New Roman"/>
              </w:rPr>
              <w:t>Projeto Conservação Preventiva em Bibliotecas e Arquivos: Arquivo Nacional. Rio de Janeiro: Arquivo Nacional, 2001. Cadernos Técnicos em 53 títulos. Disponível em http://143.106.151.46/cpba. Acessado em 27/01/2010.</w:t>
            </w:r>
          </w:p>
          <w:p>
            <w:pPr>
              <w:ind w:left="0" w:hanging="2"/>
              <w:rPr>
                <w:rFonts w:ascii="Times New Roman" w:hAnsi="Times New Roman" w:cs="Times New Roman"/>
              </w:rPr>
            </w:pPr>
            <w:r>
              <w:rPr>
                <w:rFonts w:ascii="Times New Roman" w:hAnsi="Times New Roman" w:eastAsia="Times New Roman" w:cs="Times New Roman"/>
              </w:rPr>
              <w:t>Resource: the Conciul for Museums, Archives and Libraries. Parâmetros para a conservação de acervos; [ Tradução Maurício O. Santos e Patrícia Souza].-São Paulo: Editora da Universidade de São Paulo: [Fudação] Vitae, 2004</w:t>
            </w:r>
          </w:p>
          <w:p>
            <w:pPr>
              <w:ind w:left="0" w:hanging="2"/>
              <w:rPr>
                <w:rFonts w:ascii="Times New Roman" w:hAnsi="Times New Roman" w:cs="Times New Roman"/>
              </w:rPr>
            </w:pPr>
            <w:r>
              <w:rPr>
                <w:rFonts w:ascii="Times New Roman" w:hAnsi="Times New Roman" w:eastAsia="Times New Roman" w:cs="Times New Roman"/>
              </w:rPr>
              <w:t xml:space="preserve">ROSENFIELD, Leonra Lerrer. Glossário técnico de conservação e restauração em pintura. Porto Alegre: Editora Universidade/ UFRGS, 1997.  </w:t>
            </w:r>
          </w:p>
          <w:p>
            <w:pPr>
              <w:ind w:left="0" w:hanging="2"/>
              <w:rPr>
                <w:rFonts w:ascii="Times New Roman" w:hAnsi="Times New Roman" w:cs="Times New Roman"/>
              </w:rPr>
            </w:pPr>
            <w:r>
              <w:rPr>
                <w:rFonts w:ascii="Times New Roman" w:hAnsi="Times New Roman" w:eastAsia="Times New Roman" w:cs="Times New Roman"/>
              </w:rPr>
              <w:t>SOUZA, Luiz Antônio Cruz. Salvaguarda Patrimonial no Contexto da Conservação Preventiva de Bens Culturais: a necessidade da abordagem interdisciplinar. In: Seminário de Capacitação Museológica. Belo Horizonte: Instituto Cultural Flávio Gutierrez, 2004. p. 224 – 227.</w:t>
            </w:r>
          </w:p>
          <w:p>
            <w:pPr>
              <w:ind w:left="0" w:hanging="2"/>
              <w:rPr>
                <w:rFonts w:ascii="Times New Roman" w:hAnsi="Times New Roman" w:cs="Times New Roman"/>
              </w:rPr>
            </w:pPr>
            <w:r>
              <w:rPr>
                <w:rFonts w:ascii="Times New Roman" w:hAnsi="Times New Roman" w:eastAsia="Times New Roman" w:cs="Times New Roman"/>
              </w:rPr>
              <w:t xml:space="preserve">__________. A importância da conservação preventiva. Revista da Biblioteca Mário de Andrade, São Paulo, V. 52, p. 87 – 93, jan. 1994. </w:t>
            </w:r>
          </w:p>
          <w:p>
            <w:pPr>
              <w:ind w:left="0" w:hanging="2"/>
              <w:rPr>
                <w:rFonts w:ascii="Times New Roman" w:hAnsi="Times New Roman" w:cs="Times New Roman"/>
              </w:rPr>
            </w:pPr>
            <w:r>
              <w:rPr>
                <w:rFonts w:ascii="Times New Roman" w:hAnsi="Times New Roman" w:eastAsia="Times New Roman" w:cs="Times New Roman"/>
              </w:rPr>
              <w:t>SPINELLI JUNIOR, Jayme. Introdução à conservação de acervos bibliográficos: experiência da biblioteca nacional. Rio de Janeiro: Fundação Biblioteca Nacional, Departamento Nacional do Livro, 1995.</w:t>
            </w:r>
          </w:p>
          <w:p>
            <w:pPr>
              <w:ind w:left="0" w:hanging="2"/>
              <w:rPr>
                <w:rFonts w:ascii="Times New Roman" w:hAnsi="Times New Roman" w:cs="Times New Roman"/>
              </w:rPr>
            </w:pPr>
            <w:r>
              <w:rPr>
                <w:rFonts w:ascii="Times New Roman" w:hAnsi="Times New Roman" w:eastAsia="Times New Roman" w:cs="Times New Roman"/>
              </w:rPr>
              <w:t>TECIDOS e sua conservação no Brasil: museus e coleções = Textile conservation in Brazil : museums and collections : seminário Internacional, 08 a 13 de maio de 2006, Museu Paulista, Universidade de São Paulo, Brasil. 379 p.</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44"/>
        <w:tblW w:w="8924" w:type="dxa"/>
        <w:tblInd w:w="-20" w:type="dxa"/>
        <w:tblLayout w:type="fixed"/>
        <w:tblCellMar>
          <w:top w:w="0" w:type="dxa"/>
          <w:left w:w="22" w:type="dxa"/>
          <w:bottom w:w="0" w:type="dxa"/>
          <w:right w:w="22" w:type="dxa"/>
        </w:tblCellMar>
      </w:tblPr>
      <w:tblGrid>
        <w:gridCol w:w="2886"/>
        <w:gridCol w:w="3122"/>
        <w:gridCol w:w="2916"/>
      </w:tblGrid>
      <w:tr>
        <w:tblPrEx>
          <w:tblCellMar>
            <w:top w:w="0" w:type="dxa"/>
            <w:left w:w="22" w:type="dxa"/>
            <w:bottom w:w="0" w:type="dxa"/>
            <w:right w:w="22" w:type="dxa"/>
          </w:tblCellMar>
        </w:tblPrEx>
        <w:trPr>
          <w:trHeight w:val="1877" w:hRule="atLeast"/>
        </w:trPr>
        <w:tc>
          <w:tcPr>
            <w:tcW w:w="6008"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Museus de Ciências</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Nome do Componente Curricular em inglês: Sciences Museums </w:t>
            </w:r>
          </w:p>
        </w:tc>
        <w:tc>
          <w:tcPr>
            <w:tcW w:w="2916"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MUL430</w:t>
            </w:r>
          </w:p>
        </w:tc>
      </w:tr>
      <w:tr>
        <w:tblPrEx>
          <w:tblCellMar>
            <w:top w:w="0" w:type="dxa"/>
            <w:left w:w="22" w:type="dxa"/>
            <w:bottom w:w="0" w:type="dxa"/>
            <w:right w:w="22" w:type="dxa"/>
          </w:tblCellMar>
        </w:tblPrEx>
        <w:trPr>
          <w:trHeight w:val="825" w:hRule="atLeast"/>
        </w:trPr>
        <w:tc>
          <w:tcPr>
            <w:tcW w:w="6008"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Museologia - DEMUL</w:t>
            </w:r>
          </w:p>
        </w:tc>
        <w:tc>
          <w:tcPr>
            <w:tcW w:w="291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3" w:hRule="atLeast"/>
        </w:trPr>
        <w:tc>
          <w:tcPr>
            <w:tcW w:w="2886"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6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semestral </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30 horas</w:t>
            </w:r>
          </w:p>
        </w:tc>
        <w:tc>
          <w:tcPr>
            <w:tcW w:w="3122"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02 horas/aula</w:t>
            </w:r>
          </w:p>
        </w:tc>
        <w:tc>
          <w:tcPr>
            <w:tcW w:w="291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00 horas/aula</w:t>
            </w:r>
          </w:p>
        </w:tc>
      </w:tr>
      <w:tr>
        <w:tblPrEx>
          <w:tblCellMar>
            <w:top w:w="0" w:type="dxa"/>
            <w:left w:w="22" w:type="dxa"/>
            <w:bottom w:w="0" w:type="dxa"/>
            <w:right w:w="22" w:type="dxa"/>
          </w:tblCellMar>
        </w:tblPrEx>
        <w:trPr>
          <w:trHeight w:val="1085"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Introdução ao método científico, Divulgação Científica conceitos, planejamento e ações, Os Museus de Ciência, a Mediação nos Museus e Centros de Ciência, Acervos científicos, Equipamentos interativos, Gestão e manutenção de Museus de Ciências.</w:t>
            </w:r>
          </w:p>
        </w:tc>
      </w:tr>
      <w:tr>
        <w:tblPrEx>
          <w:tblCellMar>
            <w:top w:w="0" w:type="dxa"/>
            <w:left w:w="22" w:type="dxa"/>
            <w:bottom w:w="0" w:type="dxa"/>
            <w:right w:w="22" w:type="dxa"/>
          </w:tblCellMar>
        </w:tblPrEx>
        <w:trPr>
          <w:trHeight w:val="1425"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numPr>
                <w:ilvl w:val="0"/>
                <w:numId w:val="116"/>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Introdução ao método científico </w:t>
            </w:r>
          </w:p>
          <w:p>
            <w:pPr>
              <w:widowControl w:val="0"/>
              <w:numPr>
                <w:ilvl w:val="0"/>
                <w:numId w:val="116"/>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Divulgação Científica conceitos e planejamento</w:t>
            </w:r>
          </w:p>
          <w:p>
            <w:pPr>
              <w:widowControl w:val="0"/>
              <w:numPr>
                <w:ilvl w:val="0"/>
                <w:numId w:val="116"/>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Museus de Ciência</w:t>
            </w:r>
          </w:p>
          <w:p>
            <w:pPr>
              <w:widowControl w:val="0"/>
              <w:numPr>
                <w:ilvl w:val="0"/>
                <w:numId w:val="116"/>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 Divulgação Científica nos Museus e Centros de Ciências</w:t>
            </w:r>
          </w:p>
          <w:p>
            <w:pPr>
              <w:widowControl w:val="0"/>
              <w:numPr>
                <w:ilvl w:val="0"/>
                <w:numId w:val="116"/>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 Mediação nos Museus e Centros de Ciência</w:t>
            </w:r>
          </w:p>
          <w:p>
            <w:pPr>
              <w:widowControl w:val="0"/>
              <w:numPr>
                <w:ilvl w:val="0"/>
                <w:numId w:val="116"/>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Acervos científicos</w:t>
            </w:r>
          </w:p>
          <w:p>
            <w:pPr>
              <w:widowControl w:val="0"/>
              <w:numPr>
                <w:ilvl w:val="0"/>
                <w:numId w:val="116"/>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Equipamentos interativos</w:t>
            </w:r>
          </w:p>
          <w:p>
            <w:pPr>
              <w:widowControl w:val="0"/>
              <w:numPr>
                <w:ilvl w:val="0"/>
                <w:numId w:val="116"/>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Gestão e manutenção de Museus de Ciências </w:t>
            </w:r>
          </w:p>
          <w:p>
            <w:pPr>
              <w:widowControl w:val="0"/>
              <w:numPr>
                <w:ilvl w:val="0"/>
                <w:numId w:val="116"/>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Exposições Interativas e ações do Ciência móvel </w:t>
            </w:r>
          </w:p>
        </w:tc>
      </w:tr>
      <w:tr>
        <w:tblPrEx>
          <w:tblCellMar>
            <w:top w:w="0" w:type="dxa"/>
            <w:left w:w="22" w:type="dxa"/>
            <w:bottom w:w="0" w:type="dxa"/>
            <w:right w:w="22" w:type="dxa"/>
          </w:tblCellMar>
        </w:tblPrEx>
        <w:trPr>
          <w:trHeight w:val="1134"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ind w:left="0" w:hanging="2"/>
              <w:rPr>
                <w:rFonts w:ascii="Times New Roman" w:hAnsi="Times New Roman" w:cs="Times New Roman"/>
              </w:rPr>
            </w:pPr>
            <w:r>
              <w:rPr>
                <w:rFonts w:ascii="Times New Roman" w:hAnsi="Times New Roman" w:eastAsia="Times New Roman" w:cs="Times New Roman"/>
              </w:rPr>
              <w:t>VALENTE, Maria Esther Alvarez, Museus de Ciência e Tecnologia: interpretações e ações dirigidas ao público, Museu de Astronomia e Ciências Afins e pela Unesco, Rio de janeiro, 2008.</w:t>
            </w:r>
          </w:p>
          <w:p>
            <w:pPr>
              <w:ind w:left="0" w:hanging="2"/>
              <w:rPr>
                <w:rFonts w:ascii="Times New Roman" w:hAnsi="Times New Roman" w:cs="Times New Roman"/>
              </w:rPr>
            </w:pPr>
            <w:r>
              <w:rPr>
                <w:rFonts w:ascii="Times New Roman" w:hAnsi="Times New Roman" w:eastAsia="Times New Roman" w:cs="Times New Roman"/>
              </w:rPr>
              <w:t>GRANATO, Marcus, Coleções científicas luso-brasileiras: patrimônio a ser descoberto, Museu de Astronomia e Ciências Afins e pela Unesco, Rio de janeiro, 2010.</w:t>
            </w:r>
          </w:p>
          <w:p>
            <w:pPr>
              <w:ind w:left="0" w:hanging="2"/>
              <w:rPr>
                <w:rFonts w:ascii="Times New Roman" w:hAnsi="Times New Roman" w:cs="Times New Roman"/>
              </w:rPr>
            </w:pPr>
            <w:r>
              <w:rPr>
                <w:rFonts w:ascii="Times New Roman" w:hAnsi="Times New Roman" w:eastAsia="Times New Roman" w:cs="Times New Roman"/>
              </w:rPr>
              <w:t>MALAVOY, Shophie, Guia Prático de Divulgação Científica, Fundação Oswaldo Cruz, Rio de Janeiro, 2005.</w:t>
            </w:r>
          </w:p>
          <w:p>
            <w:pPr>
              <w:ind w:left="0" w:hanging="2"/>
              <w:rPr>
                <w:rFonts w:ascii="Times New Roman" w:hAnsi="Times New Roman" w:cs="Times New Roman"/>
              </w:rPr>
            </w:pPr>
            <w:r>
              <w:rPr>
                <w:rFonts w:ascii="Times New Roman" w:hAnsi="Times New Roman" w:eastAsia="Times New Roman" w:cs="Times New Roman"/>
              </w:rPr>
              <w:t>Museu da Vida, Workshop Sul-Americano e Escola de Mediação em Museus e Centros de Ciência, Museu da Vida, Rio de janeiro, 2010.</w:t>
            </w:r>
          </w:p>
          <w:p>
            <w:pPr>
              <w:ind w:left="0" w:hanging="2"/>
              <w:rPr>
                <w:rFonts w:ascii="Times New Roman" w:hAnsi="Times New Roman" w:cs="Times New Roman"/>
              </w:rPr>
            </w:pPr>
            <w:r>
              <w:rPr>
                <w:rFonts w:ascii="Times New Roman" w:hAnsi="Times New Roman" w:eastAsia="Times New Roman" w:cs="Times New Roman"/>
              </w:rPr>
              <w:t>KREINZ, G., Ética, Comunicação e Divulgação. São Paulo: NJR -ECA/USP, 1999.</w:t>
            </w:r>
          </w:p>
          <w:p>
            <w:pPr>
              <w:ind w:left="0" w:hanging="2"/>
              <w:rPr>
                <w:rFonts w:ascii="Times New Roman" w:hAnsi="Times New Roman" w:cs="Times New Roman"/>
              </w:rPr>
            </w:pPr>
            <w:r>
              <w:rPr>
                <w:rFonts w:ascii="Times New Roman" w:hAnsi="Times New Roman" w:eastAsia="Times New Roman" w:cs="Times New Roman"/>
              </w:rPr>
              <w:t>KREINZ, G. e PAVAN, C. (Org.), Ética e Divulgação Científica: os Desafios do Novo Século. São Paulo: NJR/ECA/USP, 2002.</w:t>
            </w:r>
          </w:p>
          <w:p>
            <w:pPr>
              <w:ind w:left="0" w:hanging="2"/>
              <w:rPr>
                <w:rFonts w:ascii="Times New Roman" w:hAnsi="Times New Roman" w:cs="Times New Roman"/>
              </w:rPr>
            </w:pPr>
            <w:r>
              <w:rPr>
                <w:rFonts w:ascii="Times New Roman" w:hAnsi="Times New Roman" w:eastAsia="Times New Roman" w:cs="Times New Roman"/>
              </w:rPr>
              <w:t>KREINZ, G. e PAVAN, C. Divulgação Científica: reflexões. São Paulo: NJR/ECA/USP, 2003.</w:t>
            </w:r>
          </w:p>
          <w:p>
            <w:pPr>
              <w:ind w:left="0" w:hanging="2"/>
              <w:rPr>
                <w:rFonts w:ascii="Times New Roman" w:hAnsi="Times New Roman" w:cs="Times New Roman"/>
              </w:rPr>
            </w:pPr>
            <w:r>
              <w:rPr>
                <w:rFonts w:ascii="Times New Roman" w:hAnsi="Times New Roman" w:eastAsia="Times New Roman" w:cs="Times New Roman"/>
              </w:rPr>
              <w:t>VIEIRA, C. L., Pequeno Manual de Divulgação Científica: Dicas para</w:t>
            </w:r>
          </w:p>
          <w:p>
            <w:pPr>
              <w:ind w:left="0" w:hanging="2"/>
              <w:rPr>
                <w:rFonts w:ascii="Times New Roman" w:hAnsi="Times New Roman" w:cs="Times New Roman"/>
              </w:rPr>
            </w:pPr>
            <w:r>
              <w:rPr>
                <w:rFonts w:ascii="Times New Roman" w:hAnsi="Times New Roman" w:eastAsia="Times New Roman" w:cs="Times New Roman"/>
              </w:rPr>
              <w:t>Cientistas e Divulgadores de Ciência. São Paulo: CCS/USP, 1998.</w:t>
            </w:r>
          </w:p>
          <w:p>
            <w:pPr>
              <w:ind w:left="0" w:hanging="2"/>
              <w:rPr>
                <w:rFonts w:ascii="Times New Roman" w:hAnsi="Times New Roman" w:cs="Times New Roman"/>
              </w:rPr>
            </w:pPr>
            <w:r>
              <w:rPr>
                <w:rFonts w:ascii="Times New Roman" w:hAnsi="Times New Roman" w:eastAsia="Times New Roman" w:cs="Times New Roman"/>
              </w:rPr>
              <w:t>ABCMC, Associação Brasileira de Museus, Guia de centros e museus de ciência brasileiros, ABCMC e pela Casa da Ciência da UFRJ, Rio de janeiro, 2005.</w:t>
            </w:r>
          </w:p>
          <w:p>
            <w:pPr>
              <w:ind w:left="0" w:hanging="2"/>
              <w:rPr>
                <w:rFonts w:ascii="Times New Roman" w:hAnsi="Times New Roman" w:cs="Times New Roman"/>
              </w:rPr>
            </w:pPr>
            <w:r>
              <w:rPr>
                <w:rFonts w:ascii="Times New Roman" w:hAnsi="Times New Roman" w:eastAsia="Times New Roman" w:cs="Times New Roman"/>
              </w:rPr>
              <w:t>MASARANI, Luisa, Jornalismo e ciência: uma perspectiva iberoamericana, Museu da Vida, Rio de janeiro, 2010.</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45"/>
        <w:tblW w:w="8924" w:type="dxa"/>
        <w:tblInd w:w="-20" w:type="dxa"/>
        <w:tblLayout w:type="fixed"/>
        <w:tblCellMar>
          <w:top w:w="0" w:type="dxa"/>
          <w:left w:w="22" w:type="dxa"/>
          <w:bottom w:w="0" w:type="dxa"/>
          <w:right w:w="22" w:type="dxa"/>
        </w:tblCellMar>
      </w:tblPr>
      <w:tblGrid>
        <w:gridCol w:w="2886"/>
        <w:gridCol w:w="3122"/>
        <w:gridCol w:w="2916"/>
      </w:tblGrid>
      <w:tr>
        <w:tblPrEx>
          <w:tblCellMar>
            <w:top w:w="0" w:type="dxa"/>
            <w:left w:w="22" w:type="dxa"/>
            <w:bottom w:w="0" w:type="dxa"/>
            <w:right w:w="22" w:type="dxa"/>
          </w:tblCellMar>
        </w:tblPrEx>
        <w:trPr>
          <w:trHeight w:val="1877" w:hRule="atLeast"/>
        </w:trPr>
        <w:tc>
          <w:tcPr>
            <w:tcW w:w="6008"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Tópicos Especiais em Arqueologia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Special Topics In Archaeology</w:t>
            </w:r>
          </w:p>
        </w:tc>
        <w:tc>
          <w:tcPr>
            <w:tcW w:w="2916"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MUL440</w:t>
            </w:r>
          </w:p>
        </w:tc>
      </w:tr>
      <w:tr>
        <w:tblPrEx>
          <w:tblCellMar>
            <w:top w:w="0" w:type="dxa"/>
            <w:left w:w="22" w:type="dxa"/>
            <w:bottom w:w="0" w:type="dxa"/>
            <w:right w:w="22" w:type="dxa"/>
          </w:tblCellMar>
        </w:tblPrEx>
        <w:trPr>
          <w:trHeight w:val="825" w:hRule="atLeast"/>
        </w:trPr>
        <w:tc>
          <w:tcPr>
            <w:tcW w:w="6008"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Museologia - DEMUL</w:t>
            </w:r>
          </w:p>
        </w:tc>
        <w:tc>
          <w:tcPr>
            <w:tcW w:w="291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3" w:hRule="atLeast"/>
        </w:trPr>
        <w:tc>
          <w:tcPr>
            <w:tcW w:w="2886"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6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semestral </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30 horas</w:t>
            </w:r>
          </w:p>
        </w:tc>
        <w:tc>
          <w:tcPr>
            <w:tcW w:w="3122"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02 horas/aula</w:t>
            </w:r>
          </w:p>
        </w:tc>
        <w:tc>
          <w:tcPr>
            <w:tcW w:w="291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00 horas/aula</w:t>
            </w:r>
          </w:p>
        </w:tc>
      </w:tr>
      <w:tr>
        <w:tblPrEx>
          <w:tblCellMar>
            <w:top w:w="0" w:type="dxa"/>
            <w:left w:w="22" w:type="dxa"/>
            <w:bottom w:w="0" w:type="dxa"/>
            <w:right w:w="22" w:type="dxa"/>
          </w:tblCellMar>
        </w:tblPrEx>
        <w:trPr>
          <w:trHeight w:val="1085"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A disciplina tem como objetivo aprofundar discussões referentes aos fundamentos teóricos da Arqueologia. Nesse movimento, evidenciaremos o quadro de consolidação da Arqueologia científica no século XIX e sua relação com a incipiente Antropologia; as revoluções epistemológicas operadas na disciplina nas décadas de 1960 a 1980, onde examinaremos os diálogos interdisciplinares estabelecidos com áreas de conhecimento como Ciências Biológicas e as Ciências Exatas, e por fim as tendências teóricas emergentes do pensamento pós-moderno, dos anos 1980 à primeira década de 2000, que são caracterizadas por promover uma completa relativização dos conceitos de objetividade e ciência. Estas diferentes perspectivas serão contrastadas e confrontadas a partir da apresentação de estudos de caso, onde então avaliaremos as potencialidades, os limites e as críticas suscitadas por cada abordagem.</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Pré-requisito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Arqueologia e Museus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Metodologia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Aulas expositivas, seminários e visita técnica ao complexo arqueológico de Lagoa Santa e possíveis sítios arqueológicos da região.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Avaliação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Apresentação de seminários, resumos dos textos indicados, redação de textos reflexivos, que deverão ser apresentados ao final de cada unidade.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A participação nos seminários e discussões, bem como a assiduidade também farão parte da composição da nota final. </w:t>
            </w:r>
          </w:p>
        </w:tc>
      </w:tr>
      <w:tr>
        <w:tblPrEx>
          <w:tblCellMar>
            <w:top w:w="0" w:type="dxa"/>
            <w:left w:w="22" w:type="dxa"/>
            <w:bottom w:w="0" w:type="dxa"/>
            <w:right w:w="22" w:type="dxa"/>
          </w:tblCellMar>
        </w:tblPrEx>
        <w:trPr>
          <w:trHeight w:val="589"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1- O desenvolvimento da Arqueologia Científica (Século XVIII-1950)</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Apresentar o desenvolvimento do pensamento arqueológico no âmbito das práticas colecionistas e de antiquários; a consolidação da arqueologia nos museus; o paradigma evolucionista; o diálogo com a Antropologia na América do Norte e com a História na Europa; a Arqueologia Histórico-Cultural e a elaboração dos conceitos de tradição, tipo e fase.</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2- O pensamento arqueológico e o ideal de ciência (1960-1980)</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Apresentar a crítica aos preceitos do histórico-culturalismo; a Arqueologia Processual; a busca da arqueologia por um lugar na alta mesa da Antropologia e pelo título de ciência; o diálogo com as Ciências Exatas e utilização da Teoria de Sistemas; A crítica a Arqueologia Processual e o desenvolvimento da Arqueologia Comportamental e Cognitiva; a relação com as Ciências Biológicas e a emergência da Arqueologia Darwiniana ou Evolutiva.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3- Arqueologia e pós-modernidade (1980-1990)</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Apresentar a Arqueologia Pós Processual; a Arqueologia Contextual de Ian Hodder, a crítica a ideia de objetividade; o diálogo com a Teoria Crítica e a História; o conceito de agência; o papel político da arqueologia; o contexto do arqueólogo na elaboração de interpretações sobre o passado; a arqueologia de inspiração marxista; a Arqueologia de Gênero; Arqueologia da Etnicidade.</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4- A crítica a Arqueologia Pós Processual (1900-2010)</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Apresentar a crítica feita à Arqueologia Pós Processual; as tendências teóricas emergente na última década; a fragmentação do campo teórico; a Arqueologia enquanto discurso e narrativa; a Arqueologia Simétrica, a Arqueologia Reflexiva e Interpretativa de Ian Hodder; a Arqueologia Pública; a Arqueologia Colaborativa e Comunitária; a revisão da Arqueologia Darwiniana ou Evolutiva.</w:t>
            </w:r>
          </w:p>
        </w:tc>
      </w:tr>
      <w:tr>
        <w:tblPrEx>
          <w:tblCellMar>
            <w:top w:w="0" w:type="dxa"/>
            <w:left w:w="22" w:type="dxa"/>
            <w:bottom w:w="0" w:type="dxa"/>
            <w:right w:w="22" w:type="dxa"/>
          </w:tblCellMar>
        </w:tblPrEx>
        <w:trPr>
          <w:trHeight w:val="1133"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ind w:left="0" w:hanging="2"/>
              <w:rPr>
                <w:rFonts w:ascii="Times New Roman" w:hAnsi="Times New Roman" w:cs="Times New Roman"/>
              </w:rPr>
            </w:pPr>
            <w:r>
              <w:rPr>
                <w:rFonts w:ascii="Times New Roman" w:hAnsi="Times New Roman" w:eastAsia="Times New Roman" w:cs="Times New Roman"/>
              </w:rPr>
              <w:t>CURY, Marília Xavier. O Campo de atuação da Museologia. In: Exposição: concepção e montagem. São Paulo: Annablume, 2005.</w:t>
            </w:r>
          </w:p>
          <w:p>
            <w:pPr>
              <w:ind w:left="0" w:hanging="2"/>
              <w:rPr>
                <w:rFonts w:ascii="Times New Roman" w:hAnsi="Times New Roman" w:cs="Times New Roman"/>
              </w:rPr>
            </w:pPr>
            <w:r>
              <w:rPr>
                <w:rFonts w:ascii="Times New Roman" w:hAnsi="Times New Roman" w:eastAsia="Times New Roman" w:cs="Times New Roman"/>
              </w:rPr>
              <w:t>RIVIERE, Georges H. La Museologia: Curso de Museologia/Textos y testimonios. Espanha: Akal, 1993.</w:t>
            </w:r>
          </w:p>
          <w:p>
            <w:pPr>
              <w:ind w:left="0" w:hanging="2"/>
              <w:rPr>
                <w:rFonts w:ascii="Times New Roman" w:hAnsi="Times New Roman" w:cs="Times New Roman"/>
              </w:rPr>
            </w:pPr>
            <w:r>
              <w:rPr>
                <w:rFonts w:ascii="Times New Roman" w:hAnsi="Times New Roman" w:eastAsia="Times New Roman" w:cs="Times New Roman"/>
              </w:rPr>
              <w:t>SANTOS, Memória coletiva e teoria social. São Paulo: Annablume, 2003.</w:t>
            </w:r>
          </w:p>
          <w:p>
            <w:pPr>
              <w:ind w:left="0" w:hanging="2"/>
              <w:rPr>
                <w:rFonts w:ascii="Times New Roman" w:hAnsi="Times New Roman" w:cs="Times New Roman"/>
              </w:rPr>
            </w:pPr>
            <w:r>
              <w:rPr>
                <w:rFonts w:ascii="Times New Roman" w:hAnsi="Times New Roman" w:eastAsia="Times New Roman" w:cs="Times New Roman"/>
              </w:rPr>
              <w:t>FOUCAULT, Michel. Microfísica do poder. Graal, 2008.</w:t>
            </w:r>
          </w:p>
          <w:p>
            <w:pPr>
              <w:ind w:left="0" w:hanging="2"/>
              <w:rPr>
                <w:rFonts w:ascii="Times New Roman" w:hAnsi="Times New Roman" w:eastAsia="Times New Roman" w:cs="Times New Roman"/>
              </w:rPr>
            </w:pPr>
          </w:p>
        </w:tc>
      </w:tr>
      <w:tr>
        <w:tblPrEx>
          <w:tblCellMar>
            <w:top w:w="0" w:type="dxa"/>
            <w:left w:w="22" w:type="dxa"/>
            <w:bottom w:w="0" w:type="dxa"/>
            <w:right w:w="22" w:type="dxa"/>
          </w:tblCellMar>
        </w:tblPrEx>
        <w:trPr>
          <w:trHeight w:val="1894"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ind w:left="0" w:hanging="2"/>
              <w:rPr>
                <w:rFonts w:ascii="Times New Roman" w:hAnsi="Times New Roman" w:cs="Times New Roman"/>
              </w:rPr>
            </w:pPr>
            <w:r>
              <w:rPr>
                <w:rFonts w:ascii="Times New Roman" w:hAnsi="Times New Roman" w:eastAsia="Times New Roman" w:cs="Times New Roman"/>
              </w:rPr>
              <w:t>FERREIRA, L. M. Sob o fogo cruzado: Arqueologia Comunitária e Patrimônio Cultural. Revista Arqueologia Pública, n° 3, 2008.</w:t>
            </w:r>
          </w:p>
          <w:p>
            <w:pPr>
              <w:ind w:left="0" w:hanging="2"/>
              <w:rPr>
                <w:rFonts w:ascii="Times New Roman" w:hAnsi="Times New Roman" w:cs="Times New Roman"/>
              </w:rPr>
            </w:pPr>
            <w:r>
              <w:rPr>
                <w:rFonts w:ascii="Times New Roman" w:hAnsi="Times New Roman" w:eastAsia="Times New Roman" w:cs="Times New Roman"/>
              </w:rPr>
              <w:t>HERNANDO, A. Arqueologia y modernidad. In: Arqueologia de la identidad. Madrid. Ed. Arkal, 2002.</w:t>
            </w:r>
          </w:p>
          <w:p>
            <w:pPr>
              <w:ind w:left="0" w:hanging="2"/>
              <w:rPr>
                <w:rFonts w:ascii="Times New Roman" w:hAnsi="Times New Roman" w:cs="Times New Roman"/>
              </w:rPr>
            </w:pPr>
            <w:r>
              <w:rPr>
                <w:rFonts w:ascii="Times New Roman" w:hAnsi="Times New Roman" w:eastAsia="Times New Roman" w:cs="Times New Roman"/>
              </w:rPr>
              <w:t>HERNANDO, A. Comentario a Arqueología Simétrica. Disponível em: http://humanitieslab.stanford.edu/23/admin/download.html?attachid=506667</w:t>
            </w:r>
          </w:p>
          <w:p>
            <w:pPr>
              <w:ind w:left="0" w:hanging="2"/>
              <w:rPr>
                <w:rFonts w:ascii="Times New Roman" w:hAnsi="Times New Roman" w:cs="Times New Roman"/>
              </w:rPr>
            </w:pPr>
            <w:r>
              <w:rPr>
                <w:rFonts w:ascii="Times New Roman" w:hAnsi="Times New Roman" w:eastAsia="Times New Roman" w:cs="Times New Roman"/>
              </w:rPr>
              <w:t xml:space="preserve">HODDER, I. Interpretación en Arqueologia. Barcelona: Crítica, 1994. </w:t>
            </w:r>
          </w:p>
          <w:p>
            <w:pPr>
              <w:ind w:left="0" w:hanging="2"/>
              <w:rPr>
                <w:rFonts w:ascii="Times New Roman" w:hAnsi="Times New Roman" w:cs="Times New Roman"/>
              </w:rPr>
            </w:pPr>
            <w:r>
              <w:rPr>
                <w:rFonts w:ascii="Times New Roman" w:hAnsi="Times New Roman" w:eastAsia="Times New Roman" w:cs="Times New Roman"/>
              </w:rPr>
              <w:t>JOHSON, M. Teoría arqueológica: uma introductión. Barcelona: Ariel Editora.</w:t>
            </w:r>
          </w:p>
          <w:p>
            <w:pPr>
              <w:ind w:left="0" w:hanging="2"/>
              <w:rPr>
                <w:rFonts w:ascii="Times New Roman" w:hAnsi="Times New Roman" w:cs="Times New Roman"/>
              </w:rPr>
            </w:pPr>
            <w:r>
              <w:rPr>
                <w:rFonts w:ascii="Times New Roman" w:hAnsi="Times New Roman" w:eastAsia="Times New Roman" w:cs="Times New Roman"/>
              </w:rPr>
              <w:t>LIMA, T. A. Teoria Arqueológica em descompasso no Brasil: o caso da Arqueologia Darwinian. In: Revista de Arqueologia, n° 19, 2006.</w:t>
            </w:r>
          </w:p>
          <w:p>
            <w:pPr>
              <w:ind w:left="0" w:hanging="2"/>
              <w:rPr>
                <w:rFonts w:ascii="Times New Roman" w:hAnsi="Times New Roman" w:cs="Times New Roman"/>
              </w:rPr>
            </w:pPr>
            <w:r>
              <w:rPr>
                <w:rFonts w:ascii="Times New Roman" w:hAnsi="Times New Roman" w:eastAsia="Times New Roman" w:cs="Times New Roman"/>
              </w:rPr>
              <w:t>LOURES OLIVEIRA, A. P. P.; MAGESTE, L. E. C.; GASPAR NETTO, V. V. Arqueologia Evolutiva na Zona da Mata mineira. LOURES OLIVEIRA; MONTEIRO OLIVEIRA (Org.) Arqueologia e Patrimônio de Minas Gerais: Ouro Preto. Juiz de Fora: Editora UFJF, 2010.</w:t>
            </w:r>
          </w:p>
          <w:p>
            <w:pPr>
              <w:ind w:left="0" w:hanging="2"/>
              <w:rPr>
                <w:rFonts w:ascii="Times New Roman" w:hAnsi="Times New Roman" w:cs="Times New Roman"/>
              </w:rPr>
            </w:pPr>
            <w:r>
              <w:rPr>
                <w:rFonts w:ascii="Times New Roman" w:hAnsi="Times New Roman" w:eastAsia="Times New Roman" w:cs="Times New Roman"/>
              </w:rPr>
              <w:t xml:space="preserve">LYMNAN, R. L Archaeology quest for a seat at the high table of anthropology. Journal of Anthropologic al Archaeology 26, 2007. </w:t>
            </w:r>
          </w:p>
          <w:p>
            <w:pPr>
              <w:ind w:left="0" w:hanging="2"/>
              <w:rPr>
                <w:rFonts w:ascii="Times New Roman" w:hAnsi="Times New Roman" w:cs="Times New Roman"/>
              </w:rPr>
            </w:pPr>
            <w:r>
              <w:rPr>
                <w:rFonts w:ascii="Times New Roman" w:hAnsi="Times New Roman" w:eastAsia="Times New Roman" w:cs="Times New Roman"/>
              </w:rPr>
              <w:t>REIS, J. A. Não pensa muito que dói: um palimpseto sobre teoria arqueológica no Brasil. Tese de doutorado. Campinas: UNICAMP, 2003.</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46"/>
        <w:tblW w:w="8924" w:type="dxa"/>
        <w:tblInd w:w="-20" w:type="dxa"/>
        <w:tblLayout w:type="fixed"/>
        <w:tblCellMar>
          <w:top w:w="0" w:type="dxa"/>
          <w:left w:w="22" w:type="dxa"/>
          <w:bottom w:w="0" w:type="dxa"/>
          <w:right w:w="22" w:type="dxa"/>
        </w:tblCellMar>
      </w:tblPr>
      <w:tblGrid>
        <w:gridCol w:w="2886"/>
        <w:gridCol w:w="3122"/>
        <w:gridCol w:w="2916"/>
      </w:tblGrid>
      <w:tr>
        <w:tblPrEx>
          <w:tblCellMar>
            <w:top w:w="0" w:type="dxa"/>
            <w:left w:w="22" w:type="dxa"/>
            <w:bottom w:w="0" w:type="dxa"/>
            <w:right w:w="22" w:type="dxa"/>
          </w:tblCellMar>
        </w:tblPrEx>
        <w:trPr>
          <w:trHeight w:val="1877" w:hRule="atLeast"/>
        </w:trPr>
        <w:tc>
          <w:tcPr>
            <w:tcW w:w="6008"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História da Filosofia I: Filosofia Grega I</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History of Philosophy: Greek Philosophy</w:t>
            </w:r>
          </w:p>
        </w:tc>
        <w:tc>
          <w:tcPr>
            <w:tcW w:w="2916"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FIL611</w:t>
            </w:r>
          </w:p>
        </w:tc>
      </w:tr>
      <w:tr>
        <w:tblPrEx>
          <w:tblCellMar>
            <w:top w:w="0" w:type="dxa"/>
            <w:left w:w="22" w:type="dxa"/>
            <w:bottom w:w="0" w:type="dxa"/>
            <w:right w:w="22" w:type="dxa"/>
          </w:tblCellMar>
        </w:tblPrEx>
        <w:trPr>
          <w:trHeight w:val="825" w:hRule="atLeast"/>
        </w:trPr>
        <w:tc>
          <w:tcPr>
            <w:tcW w:w="6008"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Filosofia - DEFIL</w:t>
            </w:r>
          </w:p>
        </w:tc>
        <w:tc>
          <w:tcPr>
            <w:tcW w:w="291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3" w:hRule="atLeast"/>
        </w:trPr>
        <w:tc>
          <w:tcPr>
            <w:tcW w:w="2886"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6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semestral </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60 horas</w:t>
            </w:r>
          </w:p>
        </w:tc>
        <w:tc>
          <w:tcPr>
            <w:tcW w:w="3122"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03 horas/aula</w:t>
            </w:r>
          </w:p>
        </w:tc>
        <w:tc>
          <w:tcPr>
            <w:tcW w:w="291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01 horas/aula</w:t>
            </w:r>
          </w:p>
        </w:tc>
      </w:tr>
      <w:tr>
        <w:tblPrEx>
          <w:tblCellMar>
            <w:top w:w="0" w:type="dxa"/>
            <w:left w:w="22" w:type="dxa"/>
            <w:bottom w:w="0" w:type="dxa"/>
            <w:right w:w="22" w:type="dxa"/>
          </w:tblCellMar>
        </w:tblPrEx>
        <w:trPr>
          <w:trHeight w:val="1085"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Ementa: Introdução ao estudo da história da filosofia. Fragmentos de Anaximandro, Heráclito e Parmênides. Debate entre Sócrates e os Sofistas. As três fases do pensamento platônico O método élenchos, a ironia e ao daimónion socrático. A teoria metafísica da ideia. A imortalidade da alma. O demiurgo e o Fedro em Platão. </w:t>
            </w:r>
          </w:p>
        </w:tc>
      </w:tr>
      <w:tr>
        <w:tblPrEx>
          <w:tblCellMar>
            <w:top w:w="0" w:type="dxa"/>
            <w:left w:w="22" w:type="dxa"/>
            <w:bottom w:w="0" w:type="dxa"/>
            <w:right w:w="22" w:type="dxa"/>
          </w:tblCellMar>
        </w:tblPrEx>
        <w:trPr>
          <w:trHeight w:val="1425"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numPr>
                <w:ilvl w:val="0"/>
                <w:numId w:val="117"/>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Os naturalistas ou filósofos da phýsis.</w:t>
            </w:r>
          </w:p>
          <w:p>
            <w:pPr>
              <w:widowControl w:val="0"/>
              <w:numPr>
                <w:ilvl w:val="0"/>
                <w:numId w:val="117"/>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 descoberta do homem: Sócrates e os Sofistas.</w:t>
            </w:r>
          </w:p>
          <w:p>
            <w:pPr>
              <w:widowControl w:val="0"/>
              <w:numPr>
                <w:ilvl w:val="0"/>
                <w:numId w:val="117"/>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Sócrates e a fundação da filosofia moral ocidental.</w:t>
            </w:r>
          </w:p>
          <w:p>
            <w:pPr>
              <w:widowControl w:val="0"/>
              <w:numPr>
                <w:ilvl w:val="0"/>
                <w:numId w:val="117"/>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Sócrates e os socráticos menores.</w:t>
            </w:r>
          </w:p>
          <w:p>
            <w:pPr>
              <w:widowControl w:val="0"/>
              <w:numPr>
                <w:ilvl w:val="0"/>
                <w:numId w:val="117"/>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Platão e a fundação da metafísica.</w:t>
            </w:r>
          </w:p>
          <w:p>
            <w:pPr>
              <w:widowControl w:val="0"/>
              <w:numPr>
                <w:ilvl w:val="0"/>
                <w:numId w:val="117"/>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 concepção antropológica em Platão.</w:t>
            </w:r>
          </w:p>
          <w:p>
            <w:pPr>
              <w:widowControl w:val="0"/>
              <w:numPr>
                <w:ilvl w:val="0"/>
                <w:numId w:val="117"/>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 arte em Platão.</w:t>
            </w:r>
          </w:p>
        </w:tc>
      </w:tr>
      <w:tr>
        <w:tblPrEx>
          <w:tblCellMar>
            <w:top w:w="0" w:type="dxa"/>
            <w:left w:w="22" w:type="dxa"/>
            <w:bottom w:w="0" w:type="dxa"/>
            <w:right w:w="22" w:type="dxa"/>
          </w:tblCellMar>
        </w:tblPrEx>
        <w:trPr>
          <w:trHeight w:val="1894"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ind w:left="0" w:hanging="2"/>
              <w:rPr>
                <w:rFonts w:ascii="Times New Roman" w:hAnsi="Times New Roman" w:cs="Times New Roman"/>
              </w:rPr>
            </w:pPr>
            <w:r>
              <w:rPr>
                <w:rFonts w:ascii="Times New Roman" w:hAnsi="Times New Roman" w:eastAsia="Times New Roman" w:cs="Times New Roman"/>
                <w:color w:val="000000"/>
              </w:rPr>
              <w:t>Platão </w:t>
            </w:r>
            <w:r>
              <w:rPr>
                <w:rFonts w:ascii="Times New Roman" w:hAnsi="Times New Roman" w:eastAsia="Times New Roman" w:cs="Times New Roman"/>
                <w:b/>
                <w:color w:val="000000"/>
              </w:rPr>
              <w:t>Apologia de Sócrates</w:t>
            </w:r>
            <w:r>
              <w:rPr>
                <w:rFonts w:ascii="Times New Roman" w:hAnsi="Times New Roman" w:eastAsia="Times New Roman" w:cs="Times New Roman"/>
                <w:color w:val="000000"/>
              </w:rPr>
              <w:t>. Porto Alegre (RS): L&amp;PM, 2008. </w:t>
            </w:r>
          </w:p>
          <w:p>
            <w:pPr>
              <w:ind w:left="0" w:hanging="2"/>
              <w:rPr>
                <w:rFonts w:ascii="Times New Roman" w:hAnsi="Times New Roman" w:cs="Times New Roman"/>
              </w:rPr>
            </w:pPr>
            <w:r>
              <w:rPr>
                <w:rFonts w:ascii="Times New Roman" w:hAnsi="Times New Roman" w:eastAsia="Times New Roman" w:cs="Times New Roman"/>
                <w:color w:val="000000"/>
              </w:rPr>
              <w:t>Platão </w:t>
            </w:r>
            <w:r>
              <w:rPr>
                <w:rFonts w:ascii="Times New Roman" w:hAnsi="Times New Roman" w:eastAsia="Times New Roman" w:cs="Times New Roman"/>
                <w:b/>
                <w:color w:val="000000"/>
              </w:rPr>
              <w:t>"Fedro"</w:t>
            </w:r>
            <w:r>
              <w:rPr>
                <w:rFonts w:ascii="Times New Roman" w:hAnsi="Times New Roman" w:eastAsia="Times New Roman" w:cs="Times New Roman"/>
                <w:color w:val="000000"/>
              </w:rPr>
              <w:t>: </w:t>
            </w:r>
            <w:r>
              <w:rPr>
                <w:rFonts w:ascii="Times New Roman" w:hAnsi="Times New Roman" w:eastAsia="Times New Roman" w:cs="Times New Roman"/>
                <w:i/>
                <w:color w:val="000000"/>
              </w:rPr>
              <w:t>In: Diálogos. Vol. V</w:t>
            </w:r>
            <w:r>
              <w:rPr>
                <w:rFonts w:ascii="Times New Roman" w:hAnsi="Times New Roman" w:eastAsia="Times New Roman" w:cs="Times New Roman"/>
                <w:color w:val="000000"/>
              </w:rPr>
              <w:t>. Pará: Universidade Federal do Pará, 1975. </w:t>
            </w:r>
          </w:p>
          <w:p>
            <w:pPr>
              <w:ind w:left="0" w:hanging="2"/>
              <w:rPr>
                <w:rFonts w:ascii="Times New Roman" w:hAnsi="Times New Roman" w:cs="Times New Roman"/>
              </w:rPr>
            </w:pPr>
            <w:r>
              <w:rPr>
                <w:rFonts w:ascii="Times New Roman" w:hAnsi="Times New Roman" w:eastAsia="Times New Roman" w:cs="Times New Roman"/>
                <w:color w:val="000000"/>
              </w:rPr>
              <w:t>Platão. </w:t>
            </w:r>
            <w:r>
              <w:rPr>
                <w:rFonts w:ascii="Times New Roman" w:hAnsi="Times New Roman" w:eastAsia="Times New Roman" w:cs="Times New Roman"/>
                <w:b/>
                <w:color w:val="000000"/>
              </w:rPr>
              <w:t>A república </w:t>
            </w:r>
            <w:r>
              <w:rPr>
                <w:rFonts w:ascii="Times New Roman" w:hAnsi="Times New Roman" w:eastAsia="Times New Roman" w:cs="Times New Roman"/>
                <w:color w:val="000000"/>
              </w:rPr>
              <w:t>. 9. ed.Lisboa : Fundação Calouste Gulbenkian, 2001. </w:t>
            </w:r>
          </w:p>
          <w:p>
            <w:pPr>
              <w:ind w:left="0" w:hanging="2"/>
              <w:rPr>
                <w:rFonts w:ascii="Times New Roman" w:hAnsi="Times New Roman" w:cs="Times New Roman"/>
              </w:rPr>
            </w:pPr>
            <w:r>
              <w:rPr>
                <w:rFonts w:ascii="Times New Roman" w:hAnsi="Times New Roman" w:eastAsia="Times New Roman" w:cs="Times New Roman"/>
                <w:color w:val="000000"/>
              </w:rPr>
              <w:t>G .S. Kirk, J. E. Raven, M. Schofield ; tradução de Carlos Alberto Louro Fonseca </w:t>
            </w:r>
            <w:r>
              <w:rPr>
                <w:rFonts w:ascii="Times New Roman" w:hAnsi="Times New Roman" w:eastAsia="Times New Roman" w:cs="Times New Roman"/>
                <w:b/>
                <w:color w:val="000000"/>
              </w:rPr>
              <w:t>Os filósofos pré-socráticos</w:t>
            </w:r>
            <w:r>
              <w:rPr>
                <w:rFonts w:ascii="Times New Roman" w:hAnsi="Times New Roman" w:eastAsia="Times New Roman" w:cs="Times New Roman"/>
                <w:color w:val="000000"/>
              </w:rPr>
              <w:t>: </w:t>
            </w:r>
            <w:r>
              <w:rPr>
                <w:rFonts w:ascii="Times New Roman" w:hAnsi="Times New Roman" w:eastAsia="Times New Roman" w:cs="Times New Roman"/>
                <w:i/>
                <w:color w:val="000000"/>
              </w:rPr>
              <w:t>história crítica com selecção de textos</w:t>
            </w:r>
            <w:r>
              <w:rPr>
                <w:rFonts w:ascii="Times New Roman" w:hAnsi="Times New Roman" w:eastAsia="Times New Roman" w:cs="Times New Roman"/>
                <w:color w:val="000000"/>
              </w:rPr>
              <w:t>.4. ed.Lisboa : Fundação Calouste Gulbenkian, 1994. </w:t>
            </w:r>
          </w:p>
          <w:p>
            <w:pPr>
              <w:ind w:left="0" w:hanging="2"/>
              <w:rPr>
                <w:rFonts w:ascii="Times New Roman" w:hAnsi="Times New Roman" w:cs="Times New Roman"/>
              </w:rPr>
            </w:pPr>
            <w:r>
              <w:rPr>
                <w:rFonts w:ascii="Times New Roman" w:hAnsi="Times New Roman" w:eastAsia="Times New Roman" w:cs="Times New Roman"/>
                <w:color w:val="000000"/>
              </w:rPr>
              <w:t>Platão. </w:t>
            </w:r>
            <w:r>
              <w:rPr>
                <w:rFonts w:ascii="Times New Roman" w:hAnsi="Times New Roman" w:eastAsia="Times New Roman" w:cs="Times New Roman"/>
                <w:b/>
                <w:color w:val="000000"/>
              </w:rPr>
              <w:t>Mênon </w:t>
            </w:r>
            <w:r>
              <w:rPr>
                <w:rFonts w:ascii="Times New Roman" w:hAnsi="Times New Roman" w:eastAsia="Times New Roman" w:cs="Times New Roman"/>
                <w:color w:val="000000"/>
              </w:rPr>
              <w:t>. 2. ed. Rio de Janeiro : Ed. PUC.</w:t>
            </w:r>
          </w:p>
          <w:p>
            <w:pPr>
              <w:ind w:left="0" w:hanging="2"/>
              <w:rPr>
                <w:rFonts w:ascii="Times New Roman" w:hAnsi="Times New Roman" w:eastAsia="Times New Roman" w:cs="Times New Roman"/>
              </w:rPr>
            </w:pPr>
          </w:p>
        </w:tc>
      </w:tr>
      <w:tr>
        <w:tblPrEx>
          <w:tblCellMar>
            <w:top w:w="0" w:type="dxa"/>
            <w:left w:w="22" w:type="dxa"/>
            <w:bottom w:w="0" w:type="dxa"/>
            <w:right w:w="22" w:type="dxa"/>
          </w:tblCellMar>
        </w:tblPrEx>
        <w:trPr>
          <w:trHeight w:val="1894"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ind w:left="0" w:hanging="2"/>
              <w:rPr>
                <w:rFonts w:ascii="Times New Roman" w:hAnsi="Times New Roman" w:cs="Times New Roman"/>
              </w:rPr>
            </w:pPr>
            <w:r>
              <w:rPr>
                <w:rFonts w:ascii="Times New Roman" w:hAnsi="Times New Roman" w:eastAsia="Times New Roman" w:cs="Times New Roman"/>
                <w:color w:val="000000"/>
              </w:rPr>
              <w:t>FRANCO, Irley </w:t>
            </w:r>
            <w:r>
              <w:rPr>
                <w:rFonts w:ascii="Times New Roman" w:hAnsi="Times New Roman" w:eastAsia="Times New Roman" w:cs="Times New Roman"/>
                <w:b/>
                <w:color w:val="000000"/>
              </w:rPr>
              <w:t>O sopro do amor</w:t>
            </w:r>
            <w:r>
              <w:rPr>
                <w:rFonts w:ascii="Times New Roman" w:hAnsi="Times New Roman" w:eastAsia="Times New Roman" w:cs="Times New Roman"/>
                <w:color w:val="000000"/>
              </w:rPr>
              <w:t>. Rio de Janeiro: Palimpsesto Editora, 2006.</w:t>
            </w:r>
          </w:p>
          <w:p>
            <w:pPr>
              <w:ind w:left="0" w:hanging="2"/>
              <w:rPr>
                <w:rFonts w:ascii="Times New Roman" w:hAnsi="Times New Roman" w:cs="Times New Roman"/>
              </w:rPr>
            </w:pPr>
            <w:r>
              <w:rPr>
                <w:rFonts w:ascii="Times New Roman" w:hAnsi="Times New Roman" w:eastAsia="Times New Roman" w:cs="Times New Roman"/>
                <w:color w:val="000000"/>
              </w:rPr>
              <w:t>Hadot, Pierre. </w:t>
            </w:r>
            <w:r>
              <w:rPr>
                <w:rFonts w:ascii="Times New Roman" w:hAnsi="Times New Roman" w:eastAsia="Times New Roman" w:cs="Times New Roman"/>
                <w:b/>
                <w:color w:val="000000"/>
              </w:rPr>
              <w:t>O que é a filosofia antiga? </w:t>
            </w:r>
            <w:r>
              <w:rPr>
                <w:rFonts w:ascii="Times New Roman" w:hAnsi="Times New Roman" w:eastAsia="Times New Roman" w:cs="Times New Roman"/>
                <w:color w:val="000000"/>
              </w:rPr>
              <w:t>. 2. ed.São Paulo : Edições Loyola, 2004. </w:t>
            </w:r>
          </w:p>
          <w:p>
            <w:pPr>
              <w:ind w:left="0" w:hanging="2"/>
              <w:rPr>
                <w:rFonts w:ascii="Times New Roman" w:hAnsi="Times New Roman" w:cs="Times New Roman"/>
              </w:rPr>
            </w:pPr>
            <w:r>
              <w:rPr>
                <w:rFonts w:ascii="Times New Roman" w:hAnsi="Times New Roman" w:eastAsia="Times New Roman" w:cs="Times New Roman"/>
                <w:color w:val="000000"/>
              </w:rPr>
              <w:t>Marcelo Perine (org.) </w:t>
            </w:r>
            <w:r>
              <w:rPr>
                <w:rFonts w:ascii="Times New Roman" w:hAnsi="Times New Roman" w:eastAsia="Times New Roman" w:cs="Times New Roman"/>
                <w:b/>
                <w:color w:val="000000"/>
              </w:rPr>
              <w:t>Estudos platônicos </w:t>
            </w:r>
            <w:r>
              <w:rPr>
                <w:rFonts w:ascii="Times New Roman" w:hAnsi="Times New Roman" w:eastAsia="Times New Roman" w:cs="Times New Roman"/>
                <w:color w:val="000000"/>
              </w:rPr>
              <w:t>: </w:t>
            </w:r>
            <w:r>
              <w:rPr>
                <w:rFonts w:ascii="Times New Roman" w:hAnsi="Times New Roman" w:eastAsia="Times New Roman" w:cs="Times New Roman"/>
                <w:i/>
                <w:color w:val="000000"/>
              </w:rPr>
              <w:t>sobre o ser e o aparecer, o belo e o bem </w:t>
            </w:r>
            <w:r>
              <w:rPr>
                <w:rFonts w:ascii="Times New Roman" w:hAnsi="Times New Roman" w:eastAsia="Times New Roman" w:cs="Times New Roman"/>
                <w:color w:val="000000"/>
              </w:rPr>
              <w:t>. São Paulo: Ed. Loyola, 2009. </w:t>
            </w:r>
          </w:p>
          <w:p>
            <w:pPr>
              <w:ind w:left="0" w:hanging="2"/>
              <w:rPr>
                <w:rFonts w:ascii="Times New Roman" w:hAnsi="Times New Roman" w:cs="Times New Roman"/>
              </w:rPr>
            </w:pPr>
            <w:r>
              <w:rPr>
                <w:rFonts w:ascii="Times New Roman" w:hAnsi="Times New Roman" w:eastAsia="Times New Roman" w:cs="Times New Roman"/>
                <w:color w:val="000000"/>
              </w:rPr>
              <w:t>Reale, Giovanni. </w:t>
            </w:r>
            <w:r>
              <w:rPr>
                <w:rFonts w:ascii="Times New Roman" w:hAnsi="Times New Roman" w:eastAsia="Times New Roman" w:cs="Times New Roman"/>
                <w:b/>
                <w:color w:val="000000"/>
              </w:rPr>
              <w:t>História da filosofia antiga</w:t>
            </w:r>
            <w:r>
              <w:rPr>
                <w:rFonts w:ascii="Times New Roman" w:hAnsi="Times New Roman" w:eastAsia="Times New Roman" w:cs="Times New Roman"/>
                <w:color w:val="000000"/>
              </w:rPr>
              <w:t>. - V.2. São Paulo: Edições Loyola, 1994. </w:t>
            </w:r>
          </w:p>
          <w:p>
            <w:pPr>
              <w:ind w:left="0" w:hanging="2"/>
              <w:rPr>
                <w:rFonts w:ascii="Times New Roman" w:hAnsi="Times New Roman" w:cs="Times New Roman"/>
              </w:rPr>
            </w:pPr>
            <w:r>
              <w:rPr>
                <w:rFonts w:ascii="Times New Roman" w:hAnsi="Times New Roman" w:eastAsia="Times New Roman" w:cs="Times New Roman"/>
                <w:color w:val="000000"/>
              </w:rPr>
              <w:t>Reale, Giovanni. </w:t>
            </w:r>
            <w:r>
              <w:rPr>
                <w:rFonts w:ascii="Times New Roman" w:hAnsi="Times New Roman" w:eastAsia="Times New Roman" w:cs="Times New Roman"/>
                <w:b/>
                <w:color w:val="000000"/>
              </w:rPr>
              <w:t>História da filosofia antiga</w:t>
            </w:r>
            <w:r>
              <w:rPr>
                <w:rFonts w:ascii="Times New Roman" w:hAnsi="Times New Roman" w:eastAsia="Times New Roman" w:cs="Times New Roman"/>
                <w:color w:val="000000"/>
              </w:rPr>
              <w:t>. - V.1. São Paulo: Edições Loyola, 1994. </w:t>
            </w:r>
          </w:p>
          <w:p>
            <w:pPr>
              <w:ind w:left="0" w:hanging="2"/>
              <w:rPr>
                <w:rFonts w:ascii="Times New Roman" w:hAnsi="Times New Roman" w:cs="Times New Roman"/>
              </w:rPr>
            </w:pPr>
            <w:r>
              <w:rPr>
                <w:rFonts w:ascii="Times New Roman" w:hAnsi="Times New Roman" w:eastAsia="Times New Roman" w:cs="Times New Roman"/>
                <w:color w:val="000000"/>
              </w:rPr>
              <w:t>F. E. Peters ; prefácio de Miguel Baptista Pereira ; tradução de Beatriz RodriguesBarbosa. </w:t>
            </w:r>
            <w:r>
              <w:rPr>
                <w:rFonts w:ascii="Times New Roman" w:hAnsi="Times New Roman" w:eastAsia="Times New Roman" w:cs="Times New Roman"/>
                <w:b/>
                <w:color w:val="000000"/>
              </w:rPr>
              <w:t>Termos filosóficos gregos</w:t>
            </w:r>
            <w:r>
              <w:rPr>
                <w:rFonts w:ascii="Times New Roman" w:hAnsi="Times New Roman" w:eastAsia="Times New Roman" w:cs="Times New Roman"/>
                <w:color w:val="000000"/>
              </w:rPr>
              <w:t>: </w:t>
            </w:r>
            <w:r>
              <w:rPr>
                <w:rFonts w:ascii="Times New Roman" w:hAnsi="Times New Roman" w:eastAsia="Times New Roman" w:cs="Times New Roman"/>
                <w:i/>
                <w:color w:val="000000"/>
              </w:rPr>
              <w:t>um léxico histórico</w:t>
            </w:r>
            <w:r>
              <w:rPr>
                <w:rFonts w:ascii="Times New Roman" w:hAnsi="Times New Roman" w:eastAsia="Times New Roman" w:cs="Times New Roman"/>
                <w:color w:val="000000"/>
              </w:rPr>
              <w:t>. 2ª. ed. Lisboa : Fundação Calouste Gulbenkian, 1974. </w:t>
            </w:r>
          </w:p>
          <w:p>
            <w:pPr>
              <w:ind w:left="0" w:hanging="2"/>
              <w:rPr>
                <w:rFonts w:ascii="Times New Roman" w:hAnsi="Times New Roman" w:cs="Times New Roman"/>
              </w:rPr>
            </w:pPr>
            <w:r>
              <w:rPr>
                <w:rFonts w:ascii="Times New Roman" w:hAnsi="Times New Roman" w:eastAsia="Times New Roman" w:cs="Times New Roman"/>
                <w:color w:val="000000"/>
              </w:rPr>
              <w:t>Giovanni Reale ; tradução de Henrique Claudio de Lima Vaz, Marcelo Perine </w:t>
            </w:r>
            <w:r>
              <w:rPr>
                <w:rFonts w:ascii="Times New Roman" w:hAnsi="Times New Roman" w:eastAsia="Times New Roman" w:cs="Times New Roman"/>
                <w:b/>
                <w:color w:val="000000"/>
              </w:rPr>
              <w:t>História da filosofia antiga</w:t>
            </w:r>
            <w:r>
              <w:rPr>
                <w:rFonts w:ascii="Times New Roman" w:hAnsi="Times New Roman" w:eastAsia="Times New Roman" w:cs="Times New Roman"/>
                <w:color w:val="000000"/>
              </w:rPr>
              <w:t>: </w:t>
            </w:r>
            <w:r>
              <w:rPr>
                <w:rFonts w:ascii="Times New Roman" w:hAnsi="Times New Roman" w:eastAsia="Times New Roman" w:cs="Times New Roman"/>
                <w:i/>
                <w:color w:val="000000"/>
              </w:rPr>
              <w:t>I. Das origens a Sócrates</w:t>
            </w:r>
            <w:r>
              <w:rPr>
                <w:rFonts w:ascii="Times New Roman" w:hAnsi="Times New Roman" w:eastAsia="Times New Roman" w:cs="Times New Roman"/>
                <w:color w:val="000000"/>
              </w:rPr>
              <w:t>. - V.1. São Paulo:</w:t>
            </w:r>
            <w:r>
              <w:rPr>
                <w:rFonts w:ascii="Times New Roman" w:hAnsi="Times New Roman" w:eastAsia="Times New Roman" w:cs="Times New Roman"/>
                <w:color w:val="000000"/>
              </w:rPr>
              <w:br w:type="textWrapping"/>
            </w:r>
            <w:r>
              <w:rPr>
                <w:rFonts w:ascii="Times New Roman" w:hAnsi="Times New Roman" w:eastAsia="Times New Roman" w:cs="Times New Roman"/>
                <w:color w:val="000000"/>
              </w:rPr>
              <w:t>Edições Loyola, 1993. </w:t>
            </w:r>
          </w:p>
          <w:p>
            <w:pPr>
              <w:ind w:left="0" w:hanging="2"/>
              <w:rPr>
                <w:rFonts w:ascii="Times New Roman" w:hAnsi="Times New Roman" w:cs="Times New Roman"/>
              </w:rPr>
            </w:pPr>
            <w:r>
              <w:rPr>
                <w:rFonts w:ascii="Times New Roman" w:hAnsi="Times New Roman" w:eastAsia="Times New Roman" w:cs="Times New Roman"/>
                <w:color w:val="000000"/>
              </w:rPr>
              <w:t>Laêrtios, Diôgenes. </w:t>
            </w:r>
            <w:r>
              <w:rPr>
                <w:rFonts w:ascii="Times New Roman" w:hAnsi="Times New Roman" w:eastAsia="Times New Roman" w:cs="Times New Roman"/>
                <w:b/>
                <w:color w:val="000000"/>
              </w:rPr>
              <w:t>Vidas e doutrinas dos filósofos ilustres</w:t>
            </w:r>
            <w:r>
              <w:rPr>
                <w:rFonts w:ascii="Times New Roman" w:hAnsi="Times New Roman" w:eastAsia="Times New Roman" w:cs="Times New Roman"/>
                <w:color w:val="000000"/>
              </w:rPr>
              <w:t>. Brasilia : Ed. UnB, 1988. </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47"/>
        <w:tblW w:w="8924" w:type="dxa"/>
        <w:tblInd w:w="-20" w:type="dxa"/>
        <w:tblLayout w:type="fixed"/>
        <w:tblCellMar>
          <w:top w:w="0" w:type="dxa"/>
          <w:left w:w="22" w:type="dxa"/>
          <w:bottom w:w="0" w:type="dxa"/>
          <w:right w:w="22" w:type="dxa"/>
        </w:tblCellMar>
      </w:tblPr>
      <w:tblGrid>
        <w:gridCol w:w="2886"/>
        <w:gridCol w:w="3122"/>
        <w:gridCol w:w="2916"/>
      </w:tblGrid>
      <w:tr>
        <w:tblPrEx>
          <w:tblCellMar>
            <w:top w:w="0" w:type="dxa"/>
            <w:left w:w="22" w:type="dxa"/>
            <w:bottom w:w="0" w:type="dxa"/>
            <w:right w:w="22" w:type="dxa"/>
          </w:tblCellMar>
        </w:tblPrEx>
        <w:trPr>
          <w:trHeight w:val="1877" w:hRule="atLeast"/>
        </w:trPr>
        <w:tc>
          <w:tcPr>
            <w:tcW w:w="6008"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Introdução a História da Filosofia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Introduction to the History of Philosophy</w:t>
            </w:r>
          </w:p>
        </w:tc>
        <w:tc>
          <w:tcPr>
            <w:tcW w:w="291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FIL612</w:t>
            </w:r>
          </w:p>
        </w:tc>
      </w:tr>
      <w:tr>
        <w:tblPrEx>
          <w:tblCellMar>
            <w:top w:w="0" w:type="dxa"/>
            <w:left w:w="22" w:type="dxa"/>
            <w:bottom w:w="0" w:type="dxa"/>
            <w:right w:w="22" w:type="dxa"/>
          </w:tblCellMar>
        </w:tblPrEx>
        <w:trPr>
          <w:trHeight w:val="825" w:hRule="atLeast"/>
        </w:trPr>
        <w:tc>
          <w:tcPr>
            <w:tcW w:w="6008"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Filosofia - DEFIL</w:t>
            </w:r>
          </w:p>
        </w:tc>
        <w:tc>
          <w:tcPr>
            <w:tcW w:w="291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3" w:hRule="atLeast"/>
        </w:trPr>
        <w:tc>
          <w:tcPr>
            <w:tcW w:w="2886"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6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semestral </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60 horas</w:t>
            </w:r>
          </w:p>
        </w:tc>
        <w:tc>
          <w:tcPr>
            <w:tcW w:w="3122"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03 horas/aula</w:t>
            </w:r>
          </w:p>
        </w:tc>
        <w:tc>
          <w:tcPr>
            <w:tcW w:w="291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01 horas/aula</w:t>
            </w:r>
          </w:p>
        </w:tc>
      </w:tr>
      <w:tr>
        <w:tblPrEx>
          <w:tblCellMar>
            <w:top w:w="0" w:type="dxa"/>
            <w:left w:w="22" w:type="dxa"/>
            <w:bottom w:w="0" w:type="dxa"/>
            <w:right w:w="22" w:type="dxa"/>
          </w:tblCellMar>
        </w:tblPrEx>
        <w:trPr>
          <w:trHeight w:val="1085"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Ementa: Trata-se da apresentação de um panorama do pensamento filosófico ocidental através da discussão de questões e textos clássicos. O curso visa a oferecer condições para a formação de um entendimento básico do que é a filosofia, criando com isso a possibilidade de sua incorporação pelo estudante por meio de experiências próprias. </w:t>
            </w:r>
          </w:p>
        </w:tc>
      </w:tr>
      <w:tr>
        <w:tblPrEx>
          <w:tblCellMar>
            <w:top w:w="0" w:type="dxa"/>
            <w:left w:w="22" w:type="dxa"/>
            <w:bottom w:w="0" w:type="dxa"/>
            <w:right w:w="22" w:type="dxa"/>
          </w:tblCellMar>
        </w:tblPrEx>
        <w:trPr>
          <w:trHeight w:val="1425"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I. Introdução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1.Disposições conceituais preliminares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2.O nascimento da Filosofia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II. Sobre Platão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1.Influxos formativos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2.O idealismo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3.A articulação sistemática da obra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III. O pensamento moderno em duas versões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1.Descartes e o grande racionalismo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2.Kant e o programa do esclarecimento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IV. A filosofia em crise</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1.Sobre Nietzsche: um novo significado para o filosofar</w:t>
            </w:r>
          </w:p>
        </w:tc>
      </w:tr>
      <w:tr>
        <w:tblPrEx>
          <w:tblCellMar>
            <w:top w:w="0" w:type="dxa"/>
            <w:left w:w="22" w:type="dxa"/>
            <w:bottom w:w="0" w:type="dxa"/>
            <w:right w:w="22" w:type="dxa"/>
          </w:tblCellMar>
        </w:tblPrEx>
        <w:trPr>
          <w:trHeight w:val="1894"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ind w:left="0" w:hanging="2"/>
              <w:rPr>
                <w:rFonts w:ascii="Times New Roman" w:hAnsi="Times New Roman" w:cs="Times New Roman"/>
              </w:rPr>
            </w:pPr>
            <w:r>
              <w:rPr>
                <w:rFonts w:ascii="Times New Roman" w:hAnsi="Times New Roman" w:eastAsia="Times New Roman" w:cs="Times New Roman"/>
                <w:color w:val="000000"/>
              </w:rPr>
              <w:t>Descartes, René </w:t>
            </w:r>
            <w:r>
              <w:rPr>
                <w:rFonts w:ascii="Times New Roman" w:hAnsi="Times New Roman" w:eastAsia="Times New Roman" w:cs="Times New Roman"/>
                <w:b/>
                <w:color w:val="000000"/>
              </w:rPr>
              <w:t>Discurso do método</w:t>
            </w:r>
            <w:r>
              <w:rPr>
                <w:rFonts w:ascii="Times New Roman" w:hAnsi="Times New Roman" w:eastAsia="Times New Roman" w:cs="Times New Roman"/>
                <w:color w:val="000000"/>
              </w:rPr>
              <w:t>. São Paulo (SP): Martins Fontes,2006. </w:t>
            </w:r>
          </w:p>
          <w:p>
            <w:pPr>
              <w:ind w:left="0" w:hanging="2"/>
              <w:rPr>
                <w:rFonts w:ascii="Times New Roman" w:hAnsi="Times New Roman" w:cs="Times New Roman"/>
              </w:rPr>
            </w:pPr>
            <w:r>
              <w:rPr>
                <w:rFonts w:ascii="Times New Roman" w:hAnsi="Times New Roman" w:eastAsia="Times New Roman" w:cs="Times New Roman"/>
                <w:color w:val="000000"/>
              </w:rPr>
              <w:t>Nietzsche, Friedrich Wilhelm </w:t>
            </w:r>
            <w:r>
              <w:rPr>
                <w:rFonts w:ascii="Times New Roman" w:hAnsi="Times New Roman" w:eastAsia="Times New Roman" w:cs="Times New Roman"/>
                <w:b/>
                <w:color w:val="000000"/>
              </w:rPr>
              <w:t>Crepúsculo dos ídolos</w:t>
            </w:r>
            <w:r>
              <w:rPr>
                <w:rFonts w:ascii="Times New Roman" w:hAnsi="Times New Roman" w:eastAsia="Times New Roman" w:cs="Times New Roman"/>
                <w:color w:val="000000"/>
              </w:rPr>
              <w:t>. Rio de Janeiro (RJ): RelumeDumará, 2000.</w:t>
            </w:r>
          </w:p>
          <w:p>
            <w:pPr>
              <w:ind w:left="0" w:hanging="2"/>
              <w:rPr>
                <w:rFonts w:ascii="Times New Roman" w:hAnsi="Times New Roman" w:cs="Times New Roman"/>
              </w:rPr>
            </w:pPr>
            <w:r>
              <w:rPr>
                <w:rFonts w:ascii="Times New Roman" w:hAnsi="Times New Roman" w:eastAsia="Times New Roman" w:cs="Times New Roman"/>
                <w:color w:val="000000"/>
              </w:rPr>
              <w:t>Kant, Immanuel. </w:t>
            </w:r>
            <w:r>
              <w:rPr>
                <w:rFonts w:ascii="Times New Roman" w:hAnsi="Times New Roman" w:eastAsia="Times New Roman" w:cs="Times New Roman"/>
                <w:b/>
                <w:color w:val="000000"/>
              </w:rPr>
              <w:t>Textos seletos</w:t>
            </w:r>
            <w:r>
              <w:rPr>
                <w:rFonts w:ascii="Times New Roman" w:hAnsi="Times New Roman" w:eastAsia="Times New Roman" w:cs="Times New Roman"/>
                <w:color w:val="000000"/>
              </w:rPr>
              <w:t>. 5.ed.Petrópolis : Vozes, 2009. </w:t>
            </w:r>
          </w:p>
          <w:p>
            <w:pPr>
              <w:ind w:left="0" w:hanging="2"/>
              <w:rPr>
                <w:rFonts w:ascii="Times New Roman" w:hAnsi="Times New Roman" w:cs="Times New Roman"/>
              </w:rPr>
            </w:pPr>
            <w:r>
              <w:rPr>
                <w:rFonts w:ascii="Times New Roman" w:hAnsi="Times New Roman" w:eastAsia="Times New Roman" w:cs="Times New Roman"/>
                <w:color w:val="000000"/>
              </w:rPr>
              <w:t>Vernant, Jean Pierre. </w:t>
            </w:r>
            <w:r>
              <w:rPr>
                <w:rFonts w:ascii="Times New Roman" w:hAnsi="Times New Roman" w:eastAsia="Times New Roman" w:cs="Times New Roman"/>
                <w:b/>
                <w:color w:val="000000"/>
              </w:rPr>
              <w:t>As origens do pensamento grego </w:t>
            </w:r>
            <w:r>
              <w:rPr>
                <w:rFonts w:ascii="Times New Roman" w:hAnsi="Times New Roman" w:eastAsia="Times New Roman" w:cs="Times New Roman"/>
                <w:color w:val="000000"/>
              </w:rPr>
              <w:t>. 10. ed. São Paulo : DIFEL, 1998. </w:t>
            </w:r>
          </w:p>
          <w:p>
            <w:pPr>
              <w:ind w:left="0" w:hanging="2"/>
              <w:rPr>
                <w:rFonts w:ascii="Times New Roman" w:hAnsi="Times New Roman" w:cs="Times New Roman"/>
              </w:rPr>
            </w:pPr>
            <w:r>
              <w:rPr>
                <w:rFonts w:ascii="Times New Roman" w:hAnsi="Times New Roman" w:eastAsia="Times New Roman" w:cs="Times New Roman"/>
                <w:color w:val="000000"/>
              </w:rPr>
              <w:t>Vernant, Jean Pierre. </w:t>
            </w:r>
            <w:r>
              <w:rPr>
                <w:rFonts w:ascii="Times New Roman" w:hAnsi="Times New Roman" w:eastAsia="Times New Roman" w:cs="Times New Roman"/>
                <w:b/>
                <w:color w:val="000000"/>
              </w:rPr>
              <w:t>As origens do pensamento grego </w:t>
            </w:r>
            <w:r>
              <w:rPr>
                <w:rFonts w:ascii="Times New Roman" w:hAnsi="Times New Roman" w:eastAsia="Times New Roman" w:cs="Times New Roman"/>
                <w:color w:val="000000"/>
              </w:rPr>
              <w:t>. 5.ed. São Paulo : DIFEL, 1986. </w:t>
            </w:r>
          </w:p>
          <w:p>
            <w:pPr>
              <w:ind w:left="0" w:hanging="2"/>
              <w:rPr>
                <w:rFonts w:ascii="Times New Roman" w:hAnsi="Times New Roman" w:cs="Times New Roman"/>
              </w:rPr>
            </w:pPr>
            <w:r>
              <w:rPr>
                <w:rFonts w:ascii="Times New Roman" w:hAnsi="Times New Roman" w:eastAsia="Times New Roman" w:cs="Times New Roman"/>
                <w:color w:val="000000"/>
              </w:rPr>
              <w:t>Platão. </w:t>
            </w:r>
            <w:r>
              <w:rPr>
                <w:rFonts w:ascii="Times New Roman" w:hAnsi="Times New Roman" w:eastAsia="Times New Roman" w:cs="Times New Roman"/>
                <w:b/>
                <w:color w:val="000000"/>
              </w:rPr>
              <w:t>A república </w:t>
            </w:r>
            <w:r>
              <w:rPr>
                <w:rFonts w:ascii="Times New Roman" w:hAnsi="Times New Roman" w:eastAsia="Times New Roman" w:cs="Times New Roman"/>
                <w:color w:val="000000"/>
              </w:rPr>
              <w:t>. 9. ed.Lisboa : Fundação Calouste Gulbenkian, 2001. </w:t>
            </w:r>
          </w:p>
          <w:p>
            <w:pPr>
              <w:ind w:left="0" w:hanging="2"/>
              <w:rPr>
                <w:rFonts w:ascii="Times New Roman" w:hAnsi="Times New Roman" w:eastAsia="Times New Roman" w:cs="Times New Roman"/>
              </w:rPr>
            </w:pPr>
          </w:p>
        </w:tc>
      </w:tr>
      <w:tr>
        <w:tblPrEx>
          <w:tblCellMar>
            <w:top w:w="0" w:type="dxa"/>
            <w:left w:w="22" w:type="dxa"/>
            <w:bottom w:w="0" w:type="dxa"/>
            <w:right w:w="22" w:type="dxa"/>
          </w:tblCellMar>
        </w:tblPrEx>
        <w:trPr>
          <w:trHeight w:val="1894"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ind w:left="0" w:hanging="2"/>
              <w:rPr>
                <w:rFonts w:ascii="Times New Roman" w:hAnsi="Times New Roman" w:cs="Times New Roman"/>
              </w:rPr>
            </w:pPr>
            <w:r>
              <w:rPr>
                <w:rFonts w:ascii="Times New Roman" w:hAnsi="Times New Roman" w:eastAsia="Times New Roman" w:cs="Times New Roman"/>
                <w:color w:val="000000"/>
              </w:rPr>
              <w:t>Williams, B. </w:t>
            </w:r>
            <w:r>
              <w:rPr>
                <w:rFonts w:ascii="Times New Roman" w:hAnsi="Times New Roman" w:eastAsia="Times New Roman" w:cs="Times New Roman"/>
                <w:b/>
                <w:color w:val="000000"/>
              </w:rPr>
              <w:t>Platão</w:t>
            </w:r>
            <w:r>
              <w:rPr>
                <w:rFonts w:ascii="Times New Roman" w:hAnsi="Times New Roman" w:eastAsia="Times New Roman" w:cs="Times New Roman"/>
                <w:color w:val="000000"/>
              </w:rPr>
              <w:t>. São Paulo (SP): UNESP, 2000. </w:t>
            </w:r>
          </w:p>
          <w:p>
            <w:pPr>
              <w:ind w:left="0" w:hanging="2"/>
              <w:rPr>
                <w:rFonts w:ascii="Times New Roman" w:hAnsi="Times New Roman" w:cs="Times New Roman"/>
              </w:rPr>
            </w:pPr>
            <w:r>
              <w:rPr>
                <w:rFonts w:ascii="Times New Roman" w:hAnsi="Times New Roman" w:eastAsia="Times New Roman" w:cs="Times New Roman"/>
                <w:color w:val="000000"/>
              </w:rPr>
              <w:t>Reale, Giovanni; Antiseri, D. </w:t>
            </w:r>
            <w:r>
              <w:rPr>
                <w:rFonts w:ascii="Times New Roman" w:hAnsi="Times New Roman" w:eastAsia="Times New Roman" w:cs="Times New Roman"/>
                <w:b/>
                <w:color w:val="000000"/>
              </w:rPr>
              <w:t>História da filosofia</w:t>
            </w:r>
            <w:r>
              <w:rPr>
                <w:rFonts w:ascii="Times New Roman" w:hAnsi="Times New Roman" w:eastAsia="Times New Roman" w:cs="Times New Roman"/>
                <w:color w:val="000000"/>
              </w:rPr>
              <w:t>: </w:t>
            </w:r>
            <w:r>
              <w:rPr>
                <w:rFonts w:ascii="Times New Roman" w:hAnsi="Times New Roman" w:eastAsia="Times New Roman" w:cs="Times New Roman"/>
                <w:i/>
                <w:color w:val="000000"/>
              </w:rPr>
              <w:t>vol. 1; vol. 2; vol. 3</w:t>
            </w:r>
            <w:r>
              <w:rPr>
                <w:rFonts w:ascii="Times New Roman" w:hAnsi="Times New Roman" w:eastAsia="Times New Roman" w:cs="Times New Roman"/>
                <w:color w:val="000000"/>
              </w:rPr>
              <w:t>. São Paulo (SP) Paulus, 2003. </w:t>
            </w:r>
          </w:p>
          <w:p>
            <w:pPr>
              <w:ind w:left="0" w:hanging="2"/>
              <w:rPr>
                <w:rFonts w:ascii="Times New Roman" w:hAnsi="Times New Roman" w:cs="Times New Roman"/>
              </w:rPr>
            </w:pPr>
            <w:r>
              <w:rPr>
                <w:rFonts w:ascii="Times New Roman" w:hAnsi="Times New Roman" w:eastAsia="Times New Roman" w:cs="Times New Roman"/>
                <w:color w:val="000000"/>
              </w:rPr>
              <w:t>Piettre, Bernard </w:t>
            </w:r>
            <w:r>
              <w:rPr>
                <w:rFonts w:ascii="Times New Roman" w:hAnsi="Times New Roman" w:eastAsia="Times New Roman" w:cs="Times New Roman"/>
                <w:b/>
                <w:color w:val="000000"/>
              </w:rPr>
              <w:t>Platão</w:t>
            </w:r>
            <w:r>
              <w:rPr>
                <w:rFonts w:ascii="Times New Roman" w:hAnsi="Times New Roman" w:eastAsia="Times New Roman" w:cs="Times New Roman"/>
                <w:color w:val="000000"/>
              </w:rPr>
              <w:t>: </w:t>
            </w:r>
            <w:r>
              <w:rPr>
                <w:rFonts w:ascii="Times New Roman" w:hAnsi="Times New Roman" w:eastAsia="Times New Roman" w:cs="Times New Roman"/>
                <w:i/>
                <w:color w:val="000000"/>
              </w:rPr>
              <w:t>república</w:t>
            </w:r>
            <w:r>
              <w:rPr>
                <w:rFonts w:ascii="Times New Roman" w:hAnsi="Times New Roman" w:eastAsia="Times New Roman" w:cs="Times New Roman"/>
                <w:color w:val="000000"/>
              </w:rPr>
              <w:t>. São Paulo (SP): Atica, 1989. </w:t>
            </w:r>
          </w:p>
          <w:p>
            <w:pPr>
              <w:ind w:left="0" w:hanging="2"/>
              <w:rPr>
                <w:rFonts w:ascii="Times New Roman" w:hAnsi="Times New Roman" w:cs="Times New Roman"/>
              </w:rPr>
            </w:pPr>
            <w:r>
              <w:rPr>
                <w:rFonts w:ascii="Times New Roman" w:hAnsi="Times New Roman" w:eastAsia="Times New Roman" w:cs="Times New Roman"/>
                <w:color w:val="000000"/>
              </w:rPr>
              <w:t>Machado, Roberto. </w:t>
            </w:r>
            <w:r>
              <w:rPr>
                <w:rFonts w:ascii="Times New Roman" w:hAnsi="Times New Roman" w:eastAsia="Times New Roman" w:cs="Times New Roman"/>
                <w:b/>
                <w:color w:val="000000"/>
              </w:rPr>
              <w:t>Nietzsche e a verdade</w:t>
            </w:r>
            <w:r>
              <w:rPr>
                <w:rFonts w:ascii="Times New Roman" w:hAnsi="Times New Roman" w:eastAsia="Times New Roman" w:cs="Times New Roman"/>
                <w:color w:val="000000"/>
              </w:rPr>
              <w:t>. 2. ed.Rio de Janeiro : Rocco, 1985. </w:t>
            </w:r>
          </w:p>
          <w:p>
            <w:pPr>
              <w:ind w:left="0" w:hanging="2"/>
              <w:rPr>
                <w:rFonts w:ascii="Times New Roman" w:hAnsi="Times New Roman" w:cs="Times New Roman"/>
              </w:rPr>
            </w:pPr>
            <w:r>
              <w:rPr>
                <w:rFonts w:ascii="Times New Roman" w:hAnsi="Times New Roman" w:eastAsia="Times New Roman" w:cs="Times New Roman"/>
                <w:color w:val="000000"/>
              </w:rPr>
              <w:t>Koyre, Alexandre. </w:t>
            </w:r>
            <w:r>
              <w:rPr>
                <w:rFonts w:ascii="Times New Roman" w:hAnsi="Times New Roman" w:eastAsia="Times New Roman" w:cs="Times New Roman"/>
                <w:b/>
                <w:color w:val="000000"/>
              </w:rPr>
              <w:t>Consideracoes sobre Descartes</w:t>
            </w:r>
            <w:r>
              <w:rPr>
                <w:rFonts w:ascii="Times New Roman" w:hAnsi="Times New Roman" w:eastAsia="Times New Roman" w:cs="Times New Roman"/>
                <w:color w:val="000000"/>
              </w:rPr>
              <w:t>. 4.ed.Lisboa : Editorial Presença, 1992. </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48"/>
        <w:tblW w:w="8924" w:type="dxa"/>
        <w:tblInd w:w="-20" w:type="dxa"/>
        <w:tblLayout w:type="fixed"/>
        <w:tblCellMar>
          <w:top w:w="0" w:type="dxa"/>
          <w:left w:w="22" w:type="dxa"/>
          <w:bottom w:w="0" w:type="dxa"/>
          <w:right w:w="22" w:type="dxa"/>
        </w:tblCellMar>
      </w:tblPr>
      <w:tblGrid>
        <w:gridCol w:w="2886"/>
        <w:gridCol w:w="3122"/>
        <w:gridCol w:w="2916"/>
      </w:tblGrid>
      <w:tr>
        <w:tblPrEx>
          <w:tblCellMar>
            <w:top w:w="0" w:type="dxa"/>
            <w:left w:w="22" w:type="dxa"/>
            <w:bottom w:w="0" w:type="dxa"/>
            <w:right w:w="22" w:type="dxa"/>
          </w:tblCellMar>
        </w:tblPrEx>
        <w:trPr>
          <w:trHeight w:val="1877" w:hRule="atLeast"/>
        </w:trPr>
        <w:tc>
          <w:tcPr>
            <w:tcW w:w="6008"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História e Cultura Grega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Greek History and Culture</w:t>
            </w:r>
          </w:p>
        </w:tc>
        <w:tc>
          <w:tcPr>
            <w:tcW w:w="2916"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FIL614</w:t>
            </w:r>
          </w:p>
        </w:tc>
      </w:tr>
      <w:tr>
        <w:tblPrEx>
          <w:tblCellMar>
            <w:top w:w="0" w:type="dxa"/>
            <w:left w:w="22" w:type="dxa"/>
            <w:bottom w:w="0" w:type="dxa"/>
            <w:right w:w="22" w:type="dxa"/>
          </w:tblCellMar>
        </w:tblPrEx>
        <w:trPr>
          <w:trHeight w:val="825" w:hRule="atLeast"/>
        </w:trPr>
        <w:tc>
          <w:tcPr>
            <w:tcW w:w="6008"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Filosofia - DEFIL</w:t>
            </w:r>
          </w:p>
        </w:tc>
        <w:tc>
          <w:tcPr>
            <w:tcW w:w="291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3" w:hRule="atLeast"/>
        </w:trPr>
        <w:tc>
          <w:tcPr>
            <w:tcW w:w="2886"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6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semestral </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60 horas</w:t>
            </w:r>
          </w:p>
        </w:tc>
        <w:tc>
          <w:tcPr>
            <w:tcW w:w="3122"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03 horas/aula</w:t>
            </w:r>
          </w:p>
        </w:tc>
        <w:tc>
          <w:tcPr>
            <w:tcW w:w="291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01 horas/aula</w:t>
            </w:r>
          </w:p>
        </w:tc>
      </w:tr>
      <w:tr>
        <w:tblPrEx>
          <w:tblCellMar>
            <w:top w:w="0" w:type="dxa"/>
            <w:left w:w="22" w:type="dxa"/>
            <w:bottom w:w="0" w:type="dxa"/>
            <w:right w:w="22" w:type="dxa"/>
          </w:tblCellMar>
        </w:tblPrEx>
        <w:trPr>
          <w:trHeight w:val="1085"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O curso procura traçar um panorama geral da História da formação cultural da Grécia antiga, desde as primeiras invasões indo-européias do Peloponeso até o período helenístico. São especialmente destacados o período micênico e arcaico, através dos poemas de Homero e Hesíodo, bem como da filosofia dos pré-socráticos. O período clássico é abordado, sobretudo, do ponto de vista da formação das instituições gregas que deram origem à polis e à manifestações culturais como o teatro, a literatura, a filosofia e as artes.</w:t>
            </w:r>
          </w:p>
        </w:tc>
      </w:tr>
      <w:tr>
        <w:tblPrEx>
          <w:tblCellMar>
            <w:top w:w="0" w:type="dxa"/>
            <w:left w:w="22" w:type="dxa"/>
            <w:bottom w:w="0" w:type="dxa"/>
            <w:right w:w="22" w:type="dxa"/>
          </w:tblCellMar>
        </w:tblPrEx>
        <w:trPr>
          <w:trHeight w:val="430"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1.Contexto Histórico: A passagem do mito para a filosofia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1.1.  Visão panorâmica da Grécia Arcaica:  Hesíodo e a emergência da filosofia.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1.2.  Grécia Clássica:  a Pólis, a tragédia e a filosofia.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2. Hesíodo:  a gênese, o trabalho e a justiça.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2.1.  A Teogonia:  caos e diferenciação, a relação entre o divino e a natureza, os níveis de realidade       (ctônico, telúrico, celestial). Do teratomorfismo aos deuses olímpicos:  as três gerações divinas.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2.2.  Os Trabalhos e Os Dias:  o trabalho e a justiça, a diké, e a hybris.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2.3. O Bem e o Mal:  Prometeu e Pandora e a condição humana.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3.  O Nascimento da Filosofia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3.1.   A escola de Mileto:  a cosmogonia e a arché dos primeiros filósofos.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3.2.  Heráclito X Parmênides:  o Ser e o Devir.</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4.  Arte e Mímesis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4.1. O simulacro do simulacro na República de Platão.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4.2. Poiésis, Aisthésis e Catharsis: a Poética de Aristóteles.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5. A Tragédia :  a tensão entre o homem e a Moîra.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5.1. Ésquilo:  Prometeu e a dignidade humana.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5.2. Sófocles:  o conflito entre o homem e a Moira em Édipo.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5.3. Eurípides:  Medéia e as Bacantes e a instauração de uma nova ordem.</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p>
        </w:tc>
      </w:tr>
      <w:tr>
        <w:tblPrEx>
          <w:tblCellMar>
            <w:top w:w="0" w:type="dxa"/>
            <w:left w:w="22" w:type="dxa"/>
            <w:bottom w:w="0" w:type="dxa"/>
            <w:right w:w="22" w:type="dxa"/>
          </w:tblCellMar>
        </w:tblPrEx>
        <w:trPr>
          <w:trHeight w:val="1894"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    Bibliografia básica:</w:t>
            </w:r>
          </w:p>
          <w:p>
            <w:pPr>
              <w:ind w:left="0" w:hanging="2"/>
              <w:rPr>
                <w:rFonts w:ascii="Times New Roman" w:hAnsi="Times New Roman" w:cs="Times New Roman"/>
              </w:rPr>
            </w:pPr>
            <w:r>
              <w:rPr>
                <w:rFonts w:ascii="Times New Roman" w:hAnsi="Times New Roman" w:eastAsia="Times New Roman" w:cs="Times New Roman"/>
                <w:color w:val="000000"/>
              </w:rPr>
              <w:t>Cardoso, C.F. </w:t>
            </w:r>
            <w:r>
              <w:rPr>
                <w:rFonts w:ascii="Times New Roman" w:hAnsi="Times New Roman" w:eastAsia="Times New Roman" w:cs="Times New Roman"/>
                <w:b/>
                <w:color w:val="000000"/>
              </w:rPr>
              <w:t>A cidade-estado antiga</w:t>
            </w:r>
            <w:r>
              <w:rPr>
                <w:rFonts w:ascii="Times New Roman" w:hAnsi="Times New Roman" w:eastAsia="Times New Roman" w:cs="Times New Roman"/>
                <w:color w:val="000000"/>
              </w:rPr>
              <w:t>. São Paulo (SP): Atica </w:t>
            </w:r>
          </w:p>
          <w:p>
            <w:pPr>
              <w:ind w:left="0" w:hanging="2"/>
              <w:rPr>
                <w:rFonts w:ascii="Times New Roman" w:hAnsi="Times New Roman" w:cs="Times New Roman"/>
              </w:rPr>
            </w:pPr>
            <w:r>
              <w:rPr>
                <w:rFonts w:ascii="Times New Roman" w:hAnsi="Times New Roman" w:eastAsia="Times New Roman" w:cs="Times New Roman"/>
                <w:color w:val="000000"/>
              </w:rPr>
              <w:t>Finley, M. I </w:t>
            </w:r>
            <w:r>
              <w:rPr>
                <w:rFonts w:ascii="Times New Roman" w:hAnsi="Times New Roman" w:eastAsia="Times New Roman" w:cs="Times New Roman"/>
                <w:b/>
                <w:color w:val="000000"/>
              </w:rPr>
              <w:t>Os gregos antigos</w:t>
            </w:r>
            <w:r>
              <w:rPr>
                <w:rFonts w:ascii="Times New Roman" w:hAnsi="Times New Roman" w:eastAsia="Times New Roman" w:cs="Times New Roman"/>
                <w:color w:val="000000"/>
              </w:rPr>
              <w:t>. Lisboa (Portugal): Edições 70, 1988. </w:t>
            </w:r>
          </w:p>
          <w:p>
            <w:pPr>
              <w:ind w:left="0" w:hanging="2"/>
              <w:rPr>
                <w:rFonts w:ascii="Times New Roman" w:hAnsi="Times New Roman" w:cs="Times New Roman"/>
              </w:rPr>
            </w:pPr>
            <w:r>
              <w:rPr>
                <w:rFonts w:ascii="Times New Roman" w:hAnsi="Times New Roman" w:eastAsia="Times New Roman" w:cs="Times New Roman"/>
                <w:color w:val="000000"/>
              </w:rPr>
              <w:t>Brandão, Junito de Souza. </w:t>
            </w:r>
            <w:r>
              <w:rPr>
                <w:rFonts w:ascii="Times New Roman" w:hAnsi="Times New Roman" w:eastAsia="Times New Roman" w:cs="Times New Roman"/>
                <w:b/>
                <w:color w:val="000000"/>
              </w:rPr>
              <w:t>Mitologia grega </w:t>
            </w:r>
            <w:r>
              <w:rPr>
                <w:rFonts w:ascii="Times New Roman" w:hAnsi="Times New Roman" w:eastAsia="Times New Roman" w:cs="Times New Roman"/>
                <w:color w:val="000000"/>
              </w:rPr>
              <w:t>. 8. ed. Petropolis : Vozes, 1993. </w:t>
            </w:r>
          </w:p>
          <w:p>
            <w:pPr>
              <w:ind w:left="0" w:hanging="2"/>
              <w:rPr>
                <w:rFonts w:ascii="Times New Roman" w:hAnsi="Times New Roman" w:cs="Times New Roman"/>
              </w:rPr>
            </w:pPr>
            <w:r>
              <w:rPr>
                <w:rFonts w:ascii="Times New Roman" w:hAnsi="Times New Roman" w:eastAsia="Times New Roman" w:cs="Times New Roman"/>
                <w:color w:val="000000"/>
              </w:rPr>
              <w:t>Brandão, Junito de Souza. </w:t>
            </w:r>
            <w:r>
              <w:rPr>
                <w:rFonts w:ascii="Times New Roman" w:hAnsi="Times New Roman" w:eastAsia="Times New Roman" w:cs="Times New Roman"/>
                <w:b/>
                <w:color w:val="000000"/>
              </w:rPr>
              <w:t>Mitologia grega </w:t>
            </w:r>
            <w:r>
              <w:rPr>
                <w:rFonts w:ascii="Times New Roman" w:hAnsi="Times New Roman" w:eastAsia="Times New Roman" w:cs="Times New Roman"/>
                <w:color w:val="000000"/>
              </w:rPr>
              <w:t>. 6. ed. Petropolis : Vozes, 1995. </w:t>
            </w:r>
          </w:p>
          <w:p>
            <w:pPr>
              <w:ind w:left="0" w:hanging="2"/>
              <w:rPr>
                <w:rFonts w:ascii="Times New Roman" w:hAnsi="Times New Roman" w:cs="Times New Roman"/>
              </w:rPr>
            </w:pPr>
            <w:r>
              <w:rPr>
                <w:rFonts w:ascii="Times New Roman" w:hAnsi="Times New Roman" w:eastAsia="Times New Roman" w:cs="Times New Roman"/>
                <w:color w:val="000000"/>
              </w:rPr>
              <w:t>Brandão, Junito de Souza. </w:t>
            </w:r>
            <w:r>
              <w:rPr>
                <w:rFonts w:ascii="Times New Roman" w:hAnsi="Times New Roman" w:eastAsia="Times New Roman" w:cs="Times New Roman"/>
                <w:b/>
                <w:color w:val="000000"/>
              </w:rPr>
              <w:t>Mitologia grega </w:t>
            </w:r>
            <w:r>
              <w:rPr>
                <w:rFonts w:ascii="Times New Roman" w:hAnsi="Times New Roman" w:eastAsia="Times New Roman" w:cs="Times New Roman"/>
                <w:color w:val="000000"/>
              </w:rPr>
              <w:t>. 10.ed. Petrópolis: Vozes, 1999. </w:t>
            </w:r>
          </w:p>
          <w:p>
            <w:pPr>
              <w:ind w:left="0" w:hanging="2"/>
              <w:rPr>
                <w:rFonts w:ascii="Times New Roman" w:hAnsi="Times New Roman" w:cs="Times New Roman"/>
              </w:rPr>
            </w:pPr>
            <w:r>
              <w:rPr>
                <w:rFonts w:ascii="Times New Roman" w:hAnsi="Times New Roman" w:eastAsia="Times New Roman" w:cs="Times New Roman"/>
                <w:color w:val="000000"/>
              </w:rPr>
              <w:t>Aristóteles </w:t>
            </w:r>
            <w:r>
              <w:rPr>
                <w:rFonts w:ascii="Times New Roman" w:hAnsi="Times New Roman" w:eastAsia="Times New Roman" w:cs="Times New Roman"/>
                <w:b/>
                <w:color w:val="000000"/>
              </w:rPr>
              <w:t>Aristóteles </w:t>
            </w:r>
            <w:r>
              <w:rPr>
                <w:rFonts w:ascii="Times New Roman" w:hAnsi="Times New Roman" w:eastAsia="Times New Roman" w:cs="Times New Roman"/>
                <w:color w:val="000000"/>
              </w:rPr>
              <w:t>: </w:t>
            </w:r>
            <w:r>
              <w:rPr>
                <w:rFonts w:ascii="Times New Roman" w:hAnsi="Times New Roman" w:eastAsia="Times New Roman" w:cs="Times New Roman"/>
                <w:i/>
                <w:color w:val="000000"/>
              </w:rPr>
              <w:t>Poética, Organon, Política, Constituição de Atenas</w:t>
            </w:r>
            <w:r>
              <w:rPr>
                <w:rFonts w:ascii="Times New Roman" w:hAnsi="Times New Roman" w:eastAsia="Times New Roman" w:cs="Times New Roman"/>
                <w:color w:val="000000"/>
              </w:rPr>
              <w:t>. São Paulo : Nova Cultural, c1996.</w:t>
            </w:r>
          </w:p>
          <w:p>
            <w:pPr>
              <w:ind w:left="0" w:hanging="2"/>
              <w:rPr>
                <w:rFonts w:ascii="Times New Roman" w:hAnsi="Times New Roman" w:cs="Times New Roman"/>
              </w:rPr>
            </w:pPr>
            <w:r>
              <w:rPr>
                <w:rFonts w:ascii="Times New Roman" w:hAnsi="Times New Roman" w:eastAsia="Times New Roman" w:cs="Times New Roman"/>
                <w:color w:val="000000"/>
              </w:rPr>
              <w:t>Brandão, Junito de Souza. </w:t>
            </w:r>
            <w:r>
              <w:rPr>
                <w:rFonts w:ascii="Times New Roman" w:hAnsi="Times New Roman" w:eastAsia="Times New Roman" w:cs="Times New Roman"/>
                <w:b/>
                <w:color w:val="000000"/>
              </w:rPr>
              <w:t>Mitologia grega </w:t>
            </w:r>
            <w:r>
              <w:rPr>
                <w:rFonts w:ascii="Times New Roman" w:hAnsi="Times New Roman" w:eastAsia="Times New Roman" w:cs="Times New Roman"/>
                <w:color w:val="000000"/>
              </w:rPr>
              <w:t>. 9.ed. Petrópolis: Vozes, 1994. </w:t>
            </w:r>
          </w:p>
        </w:tc>
      </w:tr>
      <w:tr>
        <w:tblPrEx>
          <w:tblCellMar>
            <w:top w:w="0" w:type="dxa"/>
            <w:left w:w="22" w:type="dxa"/>
            <w:bottom w:w="0" w:type="dxa"/>
            <w:right w:w="22" w:type="dxa"/>
          </w:tblCellMar>
        </w:tblPrEx>
        <w:trPr>
          <w:trHeight w:val="1894" w:hRule="atLeast"/>
        </w:trPr>
        <w:tc>
          <w:tcPr>
            <w:tcW w:w="8924"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   Bibliografia complementar:</w:t>
            </w:r>
          </w:p>
          <w:p>
            <w:pPr>
              <w:ind w:left="0" w:hanging="2"/>
              <w:rPr>
                <w:rFonts w:ascii="Times New Roman" w:hAnsi="Times New Roman" w:cs="Times New Roman"/>
              </w:rPr>
            </w:pPr>
            <w:r>
              <w:rPr>
                <w:rFonts w:ascii="Times New Roman" w:hAnsi="Times New Roman" w:eastAsia="Times New Roman" w:cs="Times New Roman"/>
                <w:color w:val="000000"/>
              </w:rPr>
              <w:t>Hesiodo </w:t>
            </w:r>
            <w:r>
              <w:rPr>
                <w:rFonts w:ascii="Times New Roman" w:hAnsi="Times New Roman" w:eastAsia="Times New Roman" w:cs="Times New Roman"/>
                <w:b/>
                <w:color w:val="000000"/>
              </w:rPr>
              <w:t>Teogonia.</w:t>
            </w:r>
            <w:r>
              <w:rPr>
                <w:rFonts w:ascii="Times New Roman" w:hAnsi="Times New Roman" w:eastAsia="Times New Roman" w:cs="Times New Roman"/>
                <w:color w:val="000000"/>
              </w:rPr>
              <w:t>: </w:t>
            </w:r>
            <w:r>
              <w:rPr>
                <w:rFonts w:ascii="Times New Roman" w:hAnsi="Times New Roman" w:eastAsia="Times New Roman" w:cs="Times New Roman"/>
                <w:i/>
                <w:color w:val="000000"/>
              </w:rPr>
              <w:t>Estudo e tradução de Jaa Torrano</w:t>
            </w:r>
            <w:r>
              <w:rPr>
                <w:rFonts w:ascii="Times New Roman" w:hAnsi="Times New Roman" w:eastAsia="Times New Roman" w:cs="Times New Roman"/>
                <w:color w:val="000000"/>
              </w:rPr>
              <w:t>. São Paulo (SP): Iluminuras, 2007. </w:t>
            </w:r>
          </w:p>
          <w:p>
            <w:pPr>
              <w:ind w:left="0" w:hanging="2"/>
              <w:rPr>
                <w:rFonts w:ascii="Times New Roman" w:hAnsi="Times New Roman" w:cs="Times New Roman"/>
              </w:rPr>
            </w:pPr>
            <w:r>
              <w:rPr>
                <w:rFonts w:ascii="Times New Roman" w:hAnsi="Times New Roman" w:eastAsia="Times New Roman" w:cs="Times New Roman"/>
                <w:color w:val="000000"/>
              </w:rPr>
              <w:t>Detienne, Marcel. </w:t>
            </w:r>
            <w:r>
              <w:rPr>
                <w:rFonts w:ascii="Times New Roman" w:hAnsi="Times New Roman" w:eastAsia="Times New Roman" w:cs="Times New Roman"/>
                <w:b/>
                <w:color w:val="000000"/>
              </w:rPr>
              <w:t>Dionísio a céu aberto </w:t>
            </w:r>
            <w:r>
              <w:rPr>
                <w:rFonts w:ascii="Times New Roman" w:hAnsi="Times New Roman" w:eastAsia="Times New Roman" w:cs="Times New Roman"/>
                <w:color w:val="000000"/>
              </w:rPr>
              <w:t>. Rio de Janeiro : Jorge Zahar, c1988. </w:t>
            </w:r>
          </w:p>
          <w:p>
            <w:pPr>
              <w:ind w:left="0" w:hanging="2"/>
              <w:rPr>
                <w:rFonts w:ascii="Times New Roman" w:hAnsi="Times New Roman" w:cs="Times New Roman"/>
              </w:rPr>
            </w:pPr>
            <w:r>
              <w:rPr>
                <w:rFonts w:ascii="Times New Roman" w:hAnsi="Times New Roman" w:eastAsia="Times New Roman" w:cs="Times New Roman"/>
                <w:color w:val="000000"/>
              </w:rPr>
              <w:t>Vernant, Jean Pierre. </w:t>
            </w:r>
            <w:r>
              <w:rPr>
                <w:rFonts w:ascii="Times New Roman" w:hAnsi="Times New Roman" w:eastAsia="Times New Roman" w:cs="Times New Roman"/>
                <w:b/>
                <w:color w:val="000000"/>
              </w:rPr>
              <w:t>As origens do pensamento grego </w:t>
            </w:r>
            <w:r>
              <w:rPr>
                <w:rFonts w:ascii="Times New Roman" w:hAnsi="Times New Roman" w:eastAsia="Times New Roman" w:cs="Times New Roman"/>
                <w:color w:val="000000"/>
              </w:rPr>
              <w:t>. 10. ed. São Paulo : DIFEL, 1998.</w:t>
            </w:r>
          </w:p>
          <w:p>
            <w:pPr>
              <w:ind w:left="0" w:hanging="2"/>
              <w:rPr>
                <w:rFonts w:ascii="Times New Roman" w:hAnsi="Times New Roman" w:cs="Times New Roman"/>
              </w:rPr>
            </w:pPr>
            <w:r>
              <w:rPr>
                <w:rFonts w:ascii="Times New Roman" w:hAnsi="Times New Roman" w:eastAsia="Times New Roman" w:cs="Times New Roman"/>
                <w:color w:val="000000"/>
              </w:rPr>
              <w:t>Hesiodo; introdução, tradução e comentários Mary de Camargo Neves Lafer. </w:t>
            </w:r>
            <w:r>
              <w:rPr>
                <w:rFonts w:ascii="Times New Roman" w:hAnsi="Times New Roman" w:eastAsia="Times New Roman" w:cs="Times New Roman"/>
                <w:b/>
                <w:color w:val="000000"/>
              </w:rPr>
              <w:t>Os trabalhos e os dias</w:t>
            </w:r>
            <w:r>
              <w:rPr>
                <w:rFonts w:ascii="Times New Roman" w:hAnsi="Times New Roman" w:eastAsia="Times New Roman" w:cs="Times New Roman"/>
                <w:color w:val="000000"/>
              </w:rPr>
              <w:t>: </w:t>
            </w:r>
            <w:r>
              <w:rPr>
                <w:rFonts w:ascii="Times New Roman" w:hAnsi="Times New Roman" w:eastAsia="Times New Roman" w:cs="Times New Roman"/>
                <w:i/>
                <w:color w:val="000000"/>
              </w:rPr>
              <w:t>primeira parte. </w:t>
            </w:r>
            <w:r>
              <w:rPr>
                <w:rFonts w:ascii="Times New Roman" w:hAnsi="Times New Roman" w:eastAsia="Times New Roman" w:cs="Times New Roman"/>
                <w:color w:val="000000"/>
              </w:rPr>
              <w:t>. 4.edSão Paulo: Iluminuras,2002.</w:t>
            </w:r>
          </w:p>
          <w:p>
            <w:pPr>
              <w:ind w:left="0" w:hanging="2"/>
              <w:rPr>
                <w:rFonts w:ascii="Times New Roman" w:hAnsi="Times New Roman" w:eastAsia="Times New Roman" w:cs="Times New Roman"/>
              </w:rPr>
            </w:pP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49"/>
        <w:tblW w:w="8880" w:type="dxa"/>
        <w:tblInd w:w="22" w:type="dxa"/>
        <w:tblLayout w:type="fixed"/>
        <w:tblCellMar>
          <w:top w:w="0" w:type="dxa"/>
          <w:left w:w="22" w:type="dxa"/>
          <w:bottom w:w="0" w:type="dxa"/>
          <w:right w:w="22" w:type="dxa"/>
        </w:tblCellMar>
      </w:tblPr>
      <w:tblGrid>
        <w:gridCol w:w="3112"/>
        <w:gridCol w:w="3122"/>
        <w:gridCol w:w="2646"/>
      </w:tblGrid>
      <w:tr>
        <w:tblPrEx>
          <w:tblCellMar>
            <w:top w:w="0" w:type="dxa"/>
            <w:left w:w="22" w:type="dxa"/>
            <w:bottom w:w="0" w:type="dxa"/>
            <w:right w:w="22" w:type="dxa"/>
          </w:tblCellMar>
        </w:tblPrEx>
        <w:trPr>
          <w:trHeight w:val="1877" w:hRule="atLeast"/>
        </w:trPr>
        <w:tc>
          <w:tcPr>
            <w:tcW w:w="6234"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História da Filosofia II: Filosofia Grega II</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History of Philosophy II: Greek Philosophy</w:t>
            </w:r>
          </w:p>
        </w:tc>
        <w:tc>
          <w:tcPr>
            <w:tcW w:w="2646"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FIL621</w:t>
            </w:r>
          </w:p>
        </w:tc>
      </w:tr>
      <w:tr>
        <w:tblPrEx>
          <w:tblCellMar>
            <w:top w:w="0" w:type="dxa"/>
            <w:left w:w="22" w:type="dxa"/>
            <w:bottom w:w="0" w:type="dxa"/>
            <w:right w:w="22" w:type="dxa"/>
          </w:tblCellMar>
        </w:tblPrEx>
        <w:trPr>
          <w:trHeight w:val="825" w:hRule="atLeast"/>
        </w:trPr>
        <w:tc>
          <w:tcPr>
            <w:tcW w:w="6234"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Filosofia - DEFIL</w:t>
            </w:r>
          </w:p>
        </w:tc>
        <w:tc>
          <w:tcPr>
            <w:tcW w:w="264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3" w:hRule="atLeast"/>
        </w:trPr>
        <w:tc>
          <w:tcPr>
            <w:tcW w:w="3112"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6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semestral </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60 horas</w:t>
            </w:r>
          </w:p>
        </w:tc>
        <w:tc>
          <w:tcPr>
            <w:tcW w:w="3122"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03 horas/aula</w:t>
            </w:r>
          </w:p>
        </w:tc>
        <w:tc>
          <w:tcPr>
            <w:tcW w:w="264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01 horas/aula</w:t>
            </w:r>
          </w:p>
        </w:tc>
      </w:tr>
      <w:tr>
        <w:tblPrEx>
          <w:tblCellMar>
            <w:top w:w="0" w:type="dxa"/>
            <w:left w:w="22" w:type="dxa"/>
            <w:bottom w:w="0" w:type="dxa"/>
            <w:right w:w="22" w:type="dxa"/>
          </w:tblCellMar>
        </w:tblPrEx>
        <w:trPr>
          <w:trHeight w:val="835" w:hRule="atLeast"/>
        </w:trPr>
        <w:tc>
          <w:tcPr>
            <w:tcW w:w="8880"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Aristóteles. Escolas helenísticas. Antiguidade tardia entre século II a.C. até VI d.C.</w:t>
            </w:r>
          </w:p>
        </w:tc>
      </w:tr>
      <w:tr>
        <w:tblPrEx>
          <w:tblCellMar>
            <w:top w:w="0" w:type="dxa"/>
            <w:left w:w="22" w:type="dxa"/>
            <w:bottom w:w="0" w:type="dxa"/>
            <w:right w:w="22" w:type="dxa"/>
          </w:tblCellMar>
        </w:tblPrEx>
        <w:trPr>
          <w:trHeight w:val="4734" w:hRule="atLeast"/>
        </w:trPr>
        <w:tc>
          <w:tcPr>
            <w:tcW w:w="8880"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numPr>
                <w:ilvl w:val="0"/>
                <w:numId w:val="118"/>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 metafísica aristotélica.</w:t>
            </w:r>
          </w:p>
          <w:p>
            <w:pPr>
              <w:widowControl w:val="0"/>
              <w:numPr>
                <w:ilvl w:val="0"/>
                <w:numId w:val="118"/>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 Ética aristotélica.</w:t>
            </w:r>
          </w:p>
          <w:p>
            <w:pPr>
              <w:widowControl w:val="0"/>
              <w:numPr>
                <w:ilvl w:val="0"/>
                <w:numId w:val="118"/>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 Psicologia aristotélica.</w:t>
            </w:r>
          </w:p>
          <w:p>
            <w:pPr>
              <w:widowControl w:val="0"/>
              <w:numPr>
                <w:ilvl w:val="0"/>
                <w:numId w:val="118"/>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Estoicismo</w:t>
            </w:r>
          </w:p>
          <w:p>
            <w:pPr>
              <w:widowControl w:val="0"/>
              <w:numPr>
                <w:ilvl w:val="0"/>
                <w:numId w:val="118"/>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Epicurismo</w:t>
            </w:r>
          </w:p>
          <w:p>
            <w:pPr>
              <w:widowControl w:val="0"/>
              <w:numPr>
                <w:ilvl w:val="0"/>
                <w:numId w:val="118"/>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Cinismo</w:t>
            </w:r>
          </w:p>
          <w:p>
            <w:pPr>
              <w:widowControl w:val="0"/>
              <w:numPr>
                <w:ilvl w:val="0"/>
                <w:numId w:val="118"/>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Ceticismo</w:t>
            </w:r>
          </w:p>
          <w:p>
            <w:pPr>
              <w:widowControl w:val="0"/>
              <w:numPr>
                <w:ilvl w:val="0"/>
                <w:numId w:val="118"/>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Filo de Alexandria</w:t>
            </w:r>
          </w:p>
          <w:p>
            <w:pPr>
              <w:widowControl w:val="0"/>
              <w:numPr>
                <w:ilvl w:val="0"/>
                <w:numId w:val="118"/>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Médio Platonismo e Neoplatonismo</w:t>
            </w:r>
          </w:p>
          <w:p>
            <w:pPr>
              <w:widowControl w:val="0"/>
              <w:numPr>
                <w:ilvl w:val="0"/>
                <w:numId w:val="118"/>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Plotino</w:t>
            </w:r>
          </w:p>
        </w:tc>
      </w:tr>
      <w:tr>
        <w:tblPrEx>
          <w:tblCellMar>
            <w:top w:w="0" w:type="dxa"/>
            <w:left w:w="22" w:type="dxa"/>
            <w:bottom w:w="0" w:type="dxa"/>
            <w:right w:w="22" w:type="dxa"/>
          </w:tblCellMar>
        </w:tblPrEx>
        <w:trPr>
          <w:trHeight w:val="1894" w:hRule="atLeast"/>
        </w:trPr>
        <w:tc>
          <w:tcPr>
            <w:tcW w:w="8880"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    Bibliografia básica:</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Abbagnano, Nicola </w:t>
            </w:r>
            <w:r>
              <w:rPr>
                <w:rFonts w:ascii="Times New Roman" w:hAnsi="Times New Roman" w:eastAsia="Times New Roman" w:cs="Times New Roman"/>
                <w:b/>
                <w:color w:val="000000"/>
              </w:rPr>
              <w:t>História da filosofia II</w:t>
            </w:r>
            <w:r>
              <w:rPr>
                <w:rFonts w:ascii="Times New Roman" w:hAnsi="Times New Roman" w:eastAsia="Times New Roman" w:cs="Times New Roman"/>
                <w:color w:val="000000"/>
              </w:rPr>
              <w:t>: </w:t>
            </w:r>
            <w:r>
              <w:rPr>
                <w:rFonts w:ascii="Times New Roman" w:hAnsi="Times New Roman" w:eastAsia="Times New Roman" w:cs="Times New Roman"/>
                <w:i/>
                <w:color w:val="000000"/>
              </w:rPr>
              <w:t>tradução de A. B. Coelho e outros</w:t>
            </w:r>
            <w:r>
              <w:rPr>
                <w:rFonts w:ascii="Times New Roman" w:hAnsi="Times New Roman" w:eastAsia="Times New Roman" w:cs="Times New Roman"/>
                <w:color w:val="000000"/>
              </w:rPr>
              <w:t>. 5. ed.Lisboa (Portugal): Editorial.</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Aristóteles ; seleção de textos de José Américo Motta Pessanha ; tradução de Leonel Vallandro e Gerd Bornheim da versão inglesa de W. A. Pickard </w:t>
            </w:r>
            <w:r>
              <w:rPr>
                <w:rFonts w:ascii="Times New Roman" w:hAnsi="Times New Roman" w:eastAsia="Times New Roman" w:cs="Times New Roman"/>
                <w:b/>
                <w:color w:val="000000"/>
              </w:rPr>
              <w:t>Tópicos</w:t>
            </w:r>
            <w:r>
              <w:rPr>
                <w:rFonts w:ascii="Times New Roman" w:hAnsi="Times New Roman" w:eastAsia="Times New Roman" w:cs="Times New Roman"/>
                <w:color w:val="000000"/>
              </w:rPr>
              <w:t>: </w:t>
            </w:r>
            <w:r>
              <w:rPr>
                <w:rFonts w:ascii="Times New Roman" w:hAnsi="Times New Roman" w:eastAsia="Times New Roman" w:cs="Times New Roman"/>
                <w:i/>
                <w:color w:val="000000"/>
              </w:rPr>
              <w:t>Dos argumentos sofísticos</w:t>
            </w:r>
            <w:r>
              <w:rPr>
                <w:rFonts w:ascii="Times New Roman" w:hAnsi="Times New Roman" w:eastAsia="Times New Roman" w:cs="Times New Roman"/>
                <w:color w:val="000000"/>
              </w:rPr>
              <w:t>. São Paulo : Nova Cultural, 1987. </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Reale, Giovanni. </w:t>
            </w:r>
            <w:r>
              <w:rPr>
                <w:rFonts w:ascii="Times New Roman" w:hAnsi="Times New Roman" w:eastAsia="Times New Roman" w:cs="Times New Roman"/>
                <w:b/>
                <w:color w:val="000000"/>
              </w:rPr>
              <w:t>História da filosofia antiga</w:t>
            </w:r>
            <w:r>
              <w:rPr>
                <w:rFonts w:ascii="Times New Roman" w:hAnsi="Times New Roman" w:eastAsia="Times New Roman" w:cs="Times New Roman"/>
                <w:color w:val="000000"/>
              </w:rPr>
              <w:t>. - V.2. São Paulo : Edições Loyola, 1994. </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Reale, Giovanni. </w:t>
            </w:r>
            <w:r>
              <w:rPr>
                <w:rFonts w:ascii="Times New Roman" w:hAnsi="Times New Roman" w:eastAsia="Times New Roman" w:cs="Times New Roman"/>
                <w:b/>
                <w:color w:val="000000"/>
              </w:rPr>
              <w:t>História da filosofia antiga</w:t>
            </w:r>
            <w:r>
              <w:rPr>
                <w:rFonts w:ascii="Times New Roman" w:hAnsi="Times New Roman" w:eastAsia="Times New Roman" w:cs="Times New Roman"/>
                <w:color w:val="000000"/>
              </w:rPr>
              <w:t>. - V.3. São Paulo : Edições Loyola, 1994. </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Reale, Giovanni. </w:t>
            </w:r>
            <w:r>
              <w:rPr>
                <w:rFonts w:ascii="Times New Roman" w:hAnsi="Times New Roman" w:eastAsia="Times New Roman" w:cs="Times New Roman"/>
                <w:b/>
                <w:color w:val="000000"/>
              </w:rPr>
              <w:t>História da filosofia antiga</w:t>
            </w:r>
            <w:r>
              <w:rPr>
                <w:rFonts w:ascii="Times New Roman" w:hAnsi="Times New Roman" w:eastAsia="Times New Roman" w:cs="Times New Roman"/>
                <w:color w:val="000000"/>
              </w:rPr>
              <w:t>. - V.4. São Paulo: Edições Loyola, 1994.</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Reale, Giovanni. </w:t>
            </w:r>
            <w:r>
              <w:rPr>
                <w:rFonts w:ascii="Times New Roman" w:hAnsi="Times New Roman" w:eastAsia="Times New Roman" w:cs="Times New Roman"/>
                <w:b/>
                <w:color w:val="000000"/>
              </w:rPr>
              <w:t>História da filosofia antiga</w:t>
            </w:r>
            <w:r>
              <w:rPr>
                <w:rFonts w:ascii="Times New Roman" w:hAnsi="Times New Roman" w:eastAsia="Times New Roman" w:cs="Times New Roman"/>
                <w:color w:val="000000"/>
              </w:rPr>
              <w:t>. - V.1. São Paulo: Edições Loyola, 1994. </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Giovanni Reale ; tradução de Henrique Claudio de Lima Vaz, Marcelo Perine </w:t>
            </w:r>
            <w:r>
              <w:rPr>
                <w:rFonts w:ascii="Times New Roman" w:hAnsi="Times New Roman" w:eastAsia="Times New Roman" w:cs="Times New Roman"/>
                <w:b/>
                <w:color w:val="000000"/>
              </w:rPr>
              <w:t>História da filosofia antiga</w:t>
            </w:r>
            <w:r>
              <w:rPr>
                <w:rFonts w:ascii="Times New Roman" w:hAnsi="Times New Roman" w:eastAsia="Times New Roman" w:cs="Times New Roman"/>
                <w:color w:val="000000"/>
              </w:rPr>
              <w:t>: </w:t>
            </w:r>
            <w:r>
              <w:rPr>
                <w:rFonts w:ascii="Times New Roman" w:hAnsi="Times New Roman" w:eastAsia="Times New Roman" w:cs="Times New Roman"/>
                <w:i/>
                <w:color w:val="000000"/>
              </w:rPr>
              <w:t>I. Das origens a Sócrates</w:t>
            </w:r>
            <w:r>
              <w:rPr>
                <w:rFonts w:ascii="Times New Roman" w:hAnsi="Times New Roman" w:eastAsia="Times New Roman" w:cs="Times New Roman"/>
                <w:color w:val="000000"/>
              </w:rPr>
              <w:t>. - V.1. São Paulo :Edições Loyola, 1993.</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Aristóteles ; seleção de textos de José Américo Motta Pessanha ; tradução de LeonelVallandro, Gerd Bornheim e Eudoro de Souza </w:t>
            </w:r>
            <w:r>
              <w:rPr>
                <w:rFonts w:ascii="Times New Roman" w:hAnsi="Times New Roman" w:eastAsia="Times New Roman" w:cs="Times New Roman"/>
                <w:b/>
                <w:color w:val="000000"/>
              </w:rPr>
              <w:t>Ética a Nicômaco</w:t>
            </w:r>
            <w:r>
              <w:rPr>
                <w:rFonts w:ascii="Times New Roman" w:hAnsi="Times New Roman" w:eastAsia="Times New Roman" w:cs="Times New Roman"/>
                <w:color w:val="000000"/>
              </w:rPr>
              <w:t>: </w:t>
            </w:r>
            <w:r>
              <w:rPr>
                <w:rFonts w:ascii="Times New Roman" w:hAnsi="Times New Roman" w:eastAsia="Times New Roman" w:cs="Times New Roman"/>
                <w:i/>
                <w:color w:val="000000"/>
              </w:rPr>
              <w:t>Poética</w:t>
            </w:r>
            <w:r>
              <w:rPr>
                <w:rFonts w:ascii="Times New Roman" w:hAnsi="Times New Roman" w:eastAsia="Times New Roman" w:cs="Times New Roman"/>
                <w:color w:val="000000"/>
              </w:rPr>
              <w:t>.</w:t>
            </w:r>
            <w:r>
              <w:rPr>
                <w:rFonts w:ascii="Times New Roman" w:hAnsi="Times New Roman" w:eastAsia="Times New Roman" w:cs="Times New Roman"/>
                <w:color w:val="000000"/>
              </w:rPr>
              <w:br w:type="textWrapping"/>
            </w:r>
            <w:r>
              <w:rPr>
                <w:rFonts w:ascii="Times New Roman" w:hAnsi="Times New Roman" w:eastAsia="Times New Roman" w:cs="Times New Roman"/>
                <w:color w:val="000000"/>
              </w:rPr>
              <w:t>São Paulo : Nova Cultural, 1987. </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tc>
      </w:tr>
      <w:tr>
        <w:tblPrEx>
          <w:tblCellMar>
            <w:top w:w="0" w:type="dxa"/>
            <w:left w:w="22" w:type="dxa"/>
            <w:bottom w:w="0" w:type="dxa"/>
            <w:right w:w="22" w:type="dxa"/>
          </w:tblCellMar>
        </w:tblPrEx>
        <w:trPr>
          <w:trHeight w:val="1894" w:hRule="atLeast"/>
        </w:trPr>
        <w:tc>
          <w:tcPr>
            <w:tcW w:w="8880"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   Bibliografia complementar:</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Châtelet, François </w:t>
            </w:r>
            <w:r>
              <w:rPr>
                <w:rFonts w:ascii="Times New Roman" w:hAnsi="Times New Roman" w:eastAsia="Times New Roman" w:cs="Times New Roman"/>
                <w:b/>
                <w:color w:val="000000"/>
              </w:rPr>
              <w:t>A filosofia pagã</w:t>
            </w:r>
            <w:r>
              <w:rPr>
                <w:rFonts w:ascii="Times New Roman" w:hAnsi="Times New Roman" w:eastAsia="Times New Roman" w:cs="Times New Roman"/>
                <w:color w:val="000000"/>
              </w:rPr>
              <w:t>: </w:t>
            </w:r>
            <w:r>
              <w:rPr>
                <w:rFonts w:ascii="Times New Roman" w:hAnsi="Times New Roman" w:eastAsia="Times New Roman" w:cs="Times New Roman"/>
                <w:i/>
                <w:color w:val="000000"/>
              </w:rPr>
              <w:t>do século VI a.C. ao século III d.C. : tradução de Maria José de Almeida</w:t>
            </w:r>
            <w:r>
              <w:rPr>
                <w:rFonts w:ascii="Times New Roman" w:hAnsi="Times New Roman" w:eastAsia="Times New Roman" w:cs="Times New Roman"/>
                <w:color w:val="000000"/>
              </w:rPr>
              <w:t>. 2. ed.Rio de Janeiro (RJ):Zahar, 1981. </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Guthrie, W. K. C. </w:t>
            </w:r>
            <w:r>
              <w:rPr>
                <w:rFonts w:ascii="Times New Roman" w:hAnsi="Times New Roman" w:eastAsia="Times New Roman" w:cs="Times New Roman"/>
                <w:b/>
                <w:color w:val="000000"/>
              </w:rPr>
              <w:t>Os filósofos gregos de Tales a Aristóteles</w:t>
            </w:r>
            <w:r>
              <w:rPr>
                <w:rFonts w:ascii="Times New Roman" w:hAnsi="Times New Roman" w:eastAsia="Times New Roman" w:cs="Times New Roman"/>
                <w:color w:val="000000"/>
              </w:rPr>
              <w:t>: </w:t>
            </w:r>
            <w:r>
              <w:rPr>
                <w:rFonts w:ascii="Times New Roman" w:hAnsi="Times New Roman" w:eastAsia="Times New Roman" w:cs="Times New Roman"/>
                <w:i/>
                <w:color w:val="000000"/>
              </w:rPr>
              <w:t>tradução de maria José Vaz Pinto</w:t>
            </w:r>
            <w:r>
              <w:rPr>
                <w:rFonts w:ascii="Times New Roman" w:hAnsi="Times New Roman" w:eastAsia="Times New Roman" w:cs="Times New Roman"/>
                <w:color w:val="000000"/>
              </w:rPr>
              <w:t>. Lisboa (Portugal): Editorial Presença, 1987.</w:t>
            </w:r>
            <w:r>
              <w:rPr>
                <w:rFonts w:ascii="Times New Roman" w:hAnsi="Times New Roman" w:eastAsia="Times New Roman" w:cs="Times New Roman"/>
                <w:color w:val="000000"/>
              </w:rPr>
              <w:br w:type="textWrapping"/>
            </w:r>
            <w:r>
              <w:rPr>
                <w:rFonts w:ascii="Times New Roman" w:hAnsi="Times New Roman" w:eastAsia="Times New Roman" w:cs="Times New Roman"/>
                <w:color w:val="000000"/>
              </w:rPr>
              <w:t>Hirschberger, Johannes </w:t>
            </w:r>
            <w:r>
              <w:rPr>
                <w:rFonts w:ascii="Times New Roman" w:hAnsi="Times New Roman" w:eastAsia="Times New Roman" w:cs="Times New Roman"/>
                <w:b/>
                <w:color w:val="000000"/>
              </w:rPr>
              <w:t>História da filosofia na antiguidade</w:t>
            </w:r>
            <w:r>
              <w:rPr>
                <w:rFonts w:ascii="Times New Roman" w:hAnsi="Times New Roman" w:eastAsia="Times New Roman" w:cs="Times New Roman"/>
                <w:color w:val="000000"/>
              </w:rPr>
              <w:t>: </w:t>
            </w:r>
            <w:r>
              <w:rPr>
                <w:rFonts w:ascii="Times New Roman" w:hAnsi="Times New Roman" w:eastAsia="Times New Roman" w:cs="Times New Roman"/>
                <w:i/>
                <w:color w:val="000000"/>
              </w:rPr>
              <w:t>tradução de Alexandre Correia</w:t>
            </w:r>
            <w:r>
              <w:rPr>
                <w:rFonts w:ascii="Times New Roman" w:hAnsi="Times New Roman" w:eastAsia="Times New Roman" w:cs="Times New Roman"/>
                <w:color w:val="000000"/>
              </w:rPr>
              <w:t>. 2. ed.São Paulo (SP): Herder, 1969. </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Bréhier, Emile. </w:t>
            </w:r>
            <w:r>
              <w:rPr>
                <w:rFonts w:ascii="Times New Roman" w:hAnsi="Times New Roman" w:eastAsia="Times New Roman" w:cs="Times New Roman"/>
                <w:b/>
                <w:color w:val="000000"/>
              </w:rPr>
              <w:t>História da filosofia</w:t>
            </w:r>
            <w:r>
              <w:rPr>
                <w:rFonts w:ascii="Times New Roman" w:hAnsi="Times New Roman" w:eastAsia="Times New Roman" w:cs="Times New Roman"/>
                <w:color w:val="000000"/>
              </w:rPr>
              <w:t>. - V.1. São Paulo : Mestre Jou, 1977-81. </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50"/>
        <w:tblW w:w="8902" w:type="dxa"/>
        <w:tblInd w:w="-43" w:type="dxa"/>
        <w:tblLayout w:type="fixed"/>
        <w:tblCellMar>
          <w:top w:w="0" w:type="dxa"/>
          <w:left w:w="22" w:type="dxa"/>
          <w:bottom w:w="0" w:type="dxa"/>
          <w:right w:w="22" w:type="dxa"/>
        </w:tblCellMar>
      </w:tblPr>
      <w:tblGrid>
        <w:gridCol w:w="3264"/>
        <w:gridCol w:w="3118"/>
        <w:gridCol w:w="285"/>
        <w:gridCol w:w="2235"/>
      </w:tblGrid>
      <w:tr>
        <w:tblPrEx>
          <w:tblCellMar>
            <w:top w:w="0" w:type="dxa"/>
            <w:left w:w="22" w:type="dxa"/>
            <w:bottom w:w="0" w:type="dxa"/>
            <w:right w:w="22" w:type="dxa"/>
          </w:tblCellMar>
        </w:tblPrEx>
        <w:trPr>
          <w:trHeight w:val="1877" w:hRule="atLeast"/>
        </w:trPr>
        <w:tc>
          <w:tcPr>
            <w:tcW w:w="6667" w:type="dxa"/>
            <w:gridSpan w:val="3"/>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Teoria do Conhecimento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Theory Of Knowledge</w:t>
            </w:r>
          </w:p>
        </w:tc>
        <w:tc>
          <w:tcPr>
            <w:tcW w:w="2235"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FIL622</w:t>
            </w:r>
          </w:p>
        </w:tc>
      </w:tr>
      <w:tr>
        <w:tblPrEx>
          <w:tblCellMar>
            <w:top w:w="0" w:type="dxa"/>
            <w:left w:w="22" w:type="dxa"/>
            <w:bottom w:w="0" w:type="dxa"/>
            <w:right w:w="22" w:type="dxa"/>
          </w:tblCellMar>
        </w:tblPrEx>
        <w:trPr>
          <w:trHeight w:val="825" w:hRule="atLeast"/>
        </w:trPr>
        <w:tc>
          <w:tcPr>
            <w:tcW w:w="6667" w:type="dxa"/>
            <w:gridSpan w:val="3"/>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Filosofia - DEFIL</w:t>
            </w:r>
          </w:p>
        </w:tc>
        <w:tc>
          <w:tcPr>
            <w:tcW w:w="2235"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3" w:hRule="atLeast"/>
        </w:trPr>
        <w:tc>
          <w:tcPr>
            <w:tcW w:w="3264"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6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semestral </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60 horas</w:t>
            </w:r>
          </w:p>
        </w:tc>
        <w:tc>
          <w:tcPr>
            <w:tcW w:w="3118"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03 horas/aula</w:t>
            </w:r>
          </w:p>
        </w:tc>
        <w:tc>
          <w:tcPr>
            <w:tcW w:w="2520" w:type="dxa"/>
            <w:gridSpan w:val="2"/>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01 horas/aula</w:t>
            </w:r>
          </w:p>
        </w:tc>
      </w:tr>
      <w:tr>
        <w:tblPrEx>
          <w:tblCellMar>
            <w:top w:w="0" w:type="dxa"/>
            <w:left w:w="22" w:type="dxa"/>
            <w:bottom w:w="0" w:type="dxa"/>
            <w:right w:w="22" w:type="dxa"/>
          </w:tblCellMar>
        </w:tblPrEx>
        <w:trPr>
          <w:trHeight w:val="835" w:hRule="atLeast"/>
        </w:trPr>
        <w:tc>
          <w:tcPr>
            <w:tcW w:w="8902" w:type="dxa"/>
            <w:gridSpan w:val="4"/>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Ementa: O estudo da natureza, do método e dos limites do conhecimento humano, segundo as principais concepções de filosofia, com ênfase especial nas implicações deste estudo para a fundamentação das ciências naturais e humanas. </w:t>
            </w:r>
          </w:p>
        </w:tc>
      </w:tr>
      <w:tr>
        <w:tblPrEx>
          <w:tblCellMar>
            <w:top w:w="0" w:type="dxa"/>
            <w:left w:w="22" w:type="dxa"/>
            <w:bottom w:w="0" w:type="dxa"/>
            <w:right w:w="22" w:type="dxa"/>
          </w:tblCellMar>
        </w:tblPrEx>
        <w:trPr>
          <w:trHeight w:val="2924" w:hRule="atLeast"/>
        </w:trPr>
        <w:tc>
          <w:tcPr>
            <w:tcW w:w="8902" w:type="dxa"/>
            <w:gridSpan w:val="4"/>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Realismo e idealismo.</w:t>
            </w:r>
          </w:p>
          <w:p>
            <w:pPr>
              <w:widowControl w:val="0"/>
              <w:numPr>
                <w:ilvl w:val="0"/>
                <w:numId w:val="119"/>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 </w:t>
            </w:r>
            <w:r>
              <w:rPr>
                <w:rFonts w:ascii="Times New Roman" w:hAnsi="Times New Roman" w:eastAsia="Times New Roman" w:cs="Times New Roman"/>
              </w:rPr>
              <w:t>ideia</w:t>
            </w:r>
            <w:r>
              <w:rPr>
                <w:rFonts w:ascii="Times New Roman" w:hAnsi="Times New Roman" w:eastAsia="Times New Roman" w:cs="Times New Roman"/>
                <w:color w:val="000000"/>
              </w:rPr>
              <w:t xml:space="preserve"> de conhecimento objetivo, gênese e estrutura do conhecimento, etc.</w:t>
            </w:r>
          </w:p>
          <w:p>
            <w:pPr>
              <w:widowControl w:val="0"/>
              <w:numPr>
                <w:ilvl w:val="0"/>
                <w:numId w:val="119"/>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Introdução ao problema do conhecimento.</w:t>
            </w:r>
          </w:p>
          <w:p>
            <w:pPr>
              <w:widowControl w:val="0"/>
              <w:numPr>
                <w:ilvl w:val="0"/>
                <w:numId w:val="119"/>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Estudo da natureza, das fontes e da estrutura do conhecimento e da justificação. </w:t>
            </w:r>
          </w:p>
          <w:p>
            <w:pPr>
              <w:widowControl w:val="0"/>
              <w:numPr>
                <w:ilvl w:val="0"/>
                <w:numId w:val="119"/>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Compreensão da discussão entre empiristas e racionalistas e entre fundacionistas e coerentistas. </w:t>
            </w:r>
          </w:p>
        </w:tc>
      </w:tr>
      <w:tr>
        <w:tblPrEx>
          <w:tblCellMar>
            <w:top w:w="0" w:type="dxa"/>
            <w:left w:w="22" w:type="dxa"/>
            <w:bottom w:w="0" w:type="dxa"/>
            <w:right w:w="22" w:type="dxa"/>
          </w:tblCellMar>
        </w:tblPrEx>
        <w:trPr>
          <w:trHeight w:val="1404" w:hRule="atLeast"/>
        </w:trPr>
        <w:tc>
          <w:tcPr>
            <w:tcW w:w="8902" w:type="dxa"/>
            <w:gridSpan w:val="4"/>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ind w:left="0" w:hanging="2"/>
              <w:rPr>
                <w:rFonts w:ascii="Times New Roman" w:hAnsi="Times New Roman" w:cs="Times New Roman"/>
              </w:rPr>
            </w:pPr>
            <w:r>
              <w:rPr>
                <w:rFonts w:ascii="Times New Roman" w:hAnsi="Times New Roman" w:eastAsia="Times New Roman" w:cs="Times New Roman"/>
                <w:color w:val="000000"/>
              </w:rPr>
              <w:t>Russell, Bertrand. </w:t>
            </w:r>
            <w:r>
              <w:rPr>
                <w:rFonts w:ascii="Times New Roman" w:hAnsi="Times New Roman" w:eastAsia="Times New Roman" w:cs="Times New Roman"/>
                <w:b/>
                <w:color w:val="000000"/>
              </w:rPr>
              <w:t>Lógica e conhecimento</w:t>
            </w:r>
            <w:r>
              <w:rPr>
                <w:rFonts w:ascii="Times New Roman" w:hAnsi="Times New Roman" w:eastAsia="Times New Roman" w:cs="Times New Roman"/>
                <w:color w:val="000000"/>
              </w:rPr>
              <w:t>. São Paulo : Abril Cultural, c1974. </w:t>
            </w:r>
          </w:p>
          <w:p>
            <w:pPr>
              <w:ind w:left="0" w:hanging="2"/>
              <w:rPr>
                <w:rFonts w:ascii="Times New Roman" w:hAnsi="Times New Roman" w:cs="Times New Roman"/>
              </w:rPr>
            </w:pPr>
            <w:r>
              <w:rPr>
                <w:rFonts w:ascii="Times New Roman" w:hAnsi="Times New Roman" w:eastAsia="Times New Roman" w:cs="Times New Roman"/>
                <w:color w:val="000000"/>
              </w:rPr>
              <w:t>Wittgenstein, Ludwig. </w:t>
            </w:r>
            <w:r>
              <w:rPr>
                <w:rFonts w:ascii="Times New Roman" w:hAnsi="Times New Roman" w:eastAsia="Times New Roman" w:cs="Times New Roman"/>
                <w:b/>
                <w:color w:val="000000"/>
              </w:rPr>
              <w:t>Investigações filosóficas</w:t>
            </w:r>
            <w:r>
              <w:rPr>
                <w:rFonts w:ascii="Times New Roman" w:hAnsi="Times New Roman" w:eastAsia="Times New Roman" w:cs="Times New Roman"/>
                <w:color w:val="000000"/>
              </w:rPr>
              <w:t>. 2ª. ed. São Paulo : Abril Cultural, 1979. </w:t>
            </w:r>
          </w:p>
          <w:p>
            <w:pPr>
              <w:ind w:left="0" w:hanging="2"/>
              <w:rPr>
                <w:rFonts w:ascii="Times New Roman" w:hAnsi="Times New Roman" w:eastAsia="Times New Roman" w:cs="Times New Roman"/>
              </w:rPr>
            </w:pPr>
          </w:p>
        </w:tc>
      </w:tr>
      <w:tr>
        <w:tblPrEx>
          <w:tblCellMar>
            <w:top w:w="0" w:type="dxa"/>
            <w:left w:w="22" w:type="dxa"/>
            <w:bottom w:w="0" w:type="dxa"/>
            <w:right w:w="22" w:type="dxa"/>
          </w:tblCellMar>
        </w:tblPrEx>
        <w:trPr>
          <w:trHeight w:val="1894" w:hRule="atLeast"/>
        </w:trPr>
        <w:tc>
          <w:tcPr>
            <w:tcW w:w="8902" w:type="dxa"/>
            <w:gridSpan w:val="4"/>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ind w:left="0" w:hanging="2"/>
              <w:rPr>
                <w:rFonts w:ascii="Times New Roman" w:hAnsi="Times New Roman" w:cs="Times New Roman"/>
              </w:rPr>
            </w:pPr>
            <w:r>
              <w:rPr>
                <w:rFonts w:ascii="Times New Roman" w:hAnsi="Times New Roman" w:eastAsia="Times New Roman" w:cs="Times New Roman"/>
                <w:color w:val="000000"/>
              </w:rPr>
              <w:t>seleção de Oswaldo Porchat de Assis Pereira da Silva ; traduções de Balthazar Barbosa Filho... [et al.] </w:t>
            </w:r>
            <w:r>
              <w:rPr>
                <w:rFonts w:ascii="Times New Roman" w:hAnsi="Times New Roman" w:eastAsia="Times New Roman" w:cs="Times New Roman"/>
                <w:b/>
                <w:color w:val="000000"/>
              </w:rPr>
              <w:t>Ensaios </w:t>
            </w:r>
            <w:r>
              <w:rPr>
                <w:rFonts w:ascii="Times New Roman" w:hAnsi="Times New Roman" w:eastAsia="Times New Roman" w:cs="Times New Roman"/>
                <w:color w:val="000000"/>
              </w:rPr>
              <w:t>: </w:t>
            </w:r>
            <w:r>
              <w:rPr>
                <w:rFonts w:ascii="Times New Roman" w:hAnsi="Times New Roman" w:eastAsia="Times New Roman" w:cs="Times New Roman"/>
                <w:i/>
                <w:color w:val="000000"/>
              </w:rPr>
              <w:t>Gilbert Ryle, John Langshaw Austin, Willard Van Orman Quine, Peter Frederick Strawson</w:t>
            </w:r>
            <w:r>
              <w:rPr>
                <w:rFonts w:ascii="Times New Roman" w:hAnsi="Times New Roman" w:eastAsia="Times New Roman" w:cs="Times New Roman"/>
                <w:color w:val="000000"/>
              </w:rPr>
              <w:t>.</w:t>
            </w:r>
            <w:r>
              <w:rPr>
                <w:rFonts w:ascii="Times New Roman" w:hAnsi="Times New Roman" w:eastAsia="Times New Roman" w:cs="Times New Roman"/>
                <w:color w:val="000000"/>
              </w:rPr>
              <w:br w:type="textWrapping"/>
            </w:r>
            <w:r>
              <w:rPr>
                <w:rFonts w:ascii="Times New Roman" w:hAnsi="Times New Roman" w:eastAsia="Times New Roman" w:cs="Times New Roman"/>
                <w:color w:val="000000"/>
              </w:rPr>
              <w:t>2ª. ed. São Paulo: Abril Cultural, 1980. .</w:t>
            </w:r>
          </w:p>
          <w:p>
            <w:pPr>
              <w:ind w:left="0" w:hanging="2"/>
              <w:rPr>
                <w:rFonts w:ascii="Times New Roman" w:hAnsi="Times New Roman" w:cs="Times New Roman"/>
              </w:rPr>
            </w:pPr>
            <w:r>
              <w:rPr>
                <w:rFonts w:ascii="Times New Roman" w:hAnsi="Times New Roman" w:eastAsia="Times New Roman" w:cs="Times New Roman"/>
                <w:color w:val="000000"/>
              </w:rPr>
              <w:t>Schlick, Moritz. </w:t>
            </w:r>
            <w:r>
              <w:rPr>
                <w:rFonts w:ascii="Times New Roman" w:hAnsi="Times New Roman" w:eastAsia="Times New Roman" w:cs="Times New Roman"/>
                <w:b/>
                <w:color w:val="000000"/>
              </w:rPr>
              <w:t>Coletânea de textos</w:t>
            </w:r>
            <w:r>
              <w:rPr>
                <w:rFonts w:ascii="Times New Roman" w:hAnsi="Times New Roman" w:eastAsia="Times New Roman" w:cs="Times New Roman"/>
                <w:color w:val="000000"/>
              </w:rPr>
              <w:t>. São Paulo: Abril Cultural, c1980. </w:t>
            </w:r>
          </w:p>
          <w:p>
            <w:pPr>
              <w:ind w:left="0" w:hanging="2"/>
              <w:jc w:val="both"/>
              <w:rPr>
                <w:rFonts w:ascii="Times New Roman" w:hAnsi="Times New Roman" w:eastAsia="Times New Roman" w:cs="Times New Roman"/>
              </w:rPr>
            </w:pP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51"/>
        <w:tblW w:w="8880" w:type="dxa"/>
        <w:tblInd w:w="22" w:type="dxa"/>
        <w:tblLayout w:type="fixed"/>
        <w:tblCellMar>
          <w:top w:w="0" w:type="dxa"/>
          <w:left w:w="22" w:type="dxa"/>
          <w:bottom w:w="0" w:type="dxa"/>
          <w:right w:w="22" w:type="dxa"/>
        </w:tblCellMar>
      </w:tblPr>
      <w:tblGrid>
        <w:gridCol w:w="3112"/>
        <w:gridCol w:w="3122"/>
        <w:gridCol w:w="2646"/>
      </w:tblGrid>
      <w:tr>
        <w:tblPrEx>
          <w:tblCellMar>
            <w:top w:w="0" w:type="dxa"/>
            <w:left w:w="22" w:type="dxa"/>
            <w:bottom w:w="0" w:type="dxa"/>
            <w:right w:w="22" w:type="dxa"/>
          </w:tblCellMar>
        </w:tblPrEx>
        <w:trPr>
          <w:trHeight w:val="1877" w:hRule="atLeast"/>
        </w:trPr>
        <w:tc>
          <w:tcPr>
            <w:tcW w:w="6234"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História da Filosofia III: Filosofia Medieval</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History of Philosophy III: Medival Philosophy</w:t>
            </w:r>
          </w:p>
        </w:tc>
        <w:tc>
          <w:tcPr>
            <w:tcW w:w="2646"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FIL631</w:t>
            </w:r>
          </w:p>
        </w:tc>
      </w:tr>
      <w:tr>
        <w:tblPrEx>
          <w:tblCellMar>
            <w:top w:w="0" w:type="dxa"/>
            <w:left w:w="22" w:type="dxa"/>
            <w:bottom w:w="0" w:type="dxa"/>
            <w:right w:w="22" w:type="dxa"/>
          </w:tblCellMar>
        </w:tblPrEx>
        <w:trPr>
          <w:trHeight w:val="825" w:hRule="atLeast"/>
        </w:trPr>
        <w:tc>
          <w:tcPr>
            <w:tcW w:w="6234"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Filosofia - DEFIL</w:t>
            </w:r>
          </w:p>
        </w:tc>
        <w:tc>
          <w:tcPr>
            <w:tcW w:w="264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3" w:hRule="atLeast"/>
        </w:trPr>
        <w:tc>
          <w:tcPr>
            <w:tcW w:w="3112"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6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semestral </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60 horas</w:t>
            </w:r>
          </w:p>
        </w:tc>
        <w:tc>
          <w:tcPr>
            <w:tcW w:w="3122"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03 horas/aula</w:t>
            </w:r>
          </w:p>
        </w:tc>
        <w:tc>
          <w:tcPr>
            <w:tcW w:w="2646"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01 horas/aula</w:t>
            </w:r>
          </w:p>
        </w:tc>
      </w:tr>
      <w:tr>
        <w:tblPrEx>
          <w:tblCellMar>
            <w:top w:w="0" w:type="dxa"/>
            <w:left w:w="22" w:type="dxa"/>
            <w:bottom w:w="0" w:type="dxa"/>
            <w:right w:w="22" w:type="dxa"/>
          </w:tblCellMar>
        </w:tblPrEx>
        <w:trPr>
          <w:trHeight w:val="835" w:hRule="atLeast"/>
        </w:trPr>
        <w:tc>
          <w:tcPr>
            <w:tcW w:w="8880"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Trata-se de uma abordagem histórica e temática da filosofia na Idade Média por meio da leitura e discussão de textos de dois autores fundamentais no período</w:t>
            </w:r>
          </w:p>
        </w:tc>
      </w:tr>
      <w:tr>
        <w:tblPrEx>
          <w:tblCellMar>
            <w:top w:w="0" w:type="dxa"/>
            <w:left w:w="22" w:type="dxa"/>
            <w:bottom w:w="0" w:type="dxa"/>
            <w:right w:w="22" w:type="dxa"/>
          </w:tblCellMar>
        </w:tblPrEx>
        <w:trPr>
          <w:trHeight w:val="609" w:hRule="atLeast"/>
        </w:trPr>
        <w:tc>
          <w:tcPr>
            <w:tcW w:w="8880"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I.Agostinho</w:t>
            </w:r>
          </w:p>
          <w:p>
            <w:pPr>
              <w:widowControl w:val="0"/>
              <w:numPr>
                <w:ilvl w:val="0"/>
                <w:numId w:val="120"/>
              </w:num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Ceticismo</w:t>
            </w:r>
          </w:p>
          <w:p>
            <w:pPr>
              <w:widowControl w:val="0"/>
              <w:numPr>
                <w:ilvl w:val="0"/>
                <w:numId w:val="120"/>
              </w:num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Razão e fé</w:t>
            </w:r>
          </w:p>
          <w:p>
            <w:pPr>
              <w:widowControl w:val="0"/>
              <w:numPr>
                <w:ilvl w:val="0"/>
                <w:numId w:val="120"/>
              </w:num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Presciência divina e livre-arbítrio</w:t>
            </w:r>
          </w:p>
          <w:p>
            <w:pPr>
              <w:widowControl w:val="0"/>
              <w:numPr>
                <w:ilvl w:val="0"/>
                <w:numId w:val="120"/>
              </w:num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Problema do Mal</w:t>
            </w:r>
          </w:p>
          <w:p>
            <w:pPr>
              <w:widowControl w:val="0"/>
              <w:numPr>
                <w:ilvl w:val="0"/>
                <w:numId w:val="120"/>
              </w:num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 felicidade</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II.Aquino</w:t>
            </w:r>
          </w:p>
          <w:p>
            <w:pPr>
              <w:widowControl w:val="0"/>
              <w:numPr>
                <w:ilvl w:val="0"/>
                <w:numId w:val="121"/>
              </w:num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Razão e fé</w:t>
            </w:r>
          </w:p>
          <w:p>
            <w:pPr>
              <w:widowControl w:val="0"/>
              <w:numPr>
                <w:ilvl w:val="0"/>
                <w:numId w:val="121"/>
              </w:num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Provas da existência de Deus</w:t>
            </w:r>
          </w:p>
          <w:p>
            <w:pPr>
              <w:widowControl w:val="0"/>
              <w:numPr>
                <w:ilvl w:val="0"/>
                <w:numId w:val="121"/>
              </w:num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 natureza de Deus</w:t>
            </w:r>
          </w:p>
          <w:p>
            <w:pPr>
              <w:widowControl w:val="0"/>
              <w:numPr>
                <w:ilvl w:val="0"/>
                <w:numId w:val="121"/>
              </w:num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 natureza humana</w:t>
            </w:r>
          </w:p>
          <w:p>
            <w:pPr>
              <w:widowControl w:val="0"/>
              <w:numPr>
                <w:ilvl w:val="0"/>
                <w:numId w:val="121"/>
              </w:num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Iluminação vs. Abstração</w:t>
            </w:r>
          </w:p>
          <w:p>
            <w:pPr>
              <w:widowControl w:val="0"/>
              <w:numPr>
                <w:ilvl w:val="0"/>
                <w:numId w:val="121"/>
              </w:num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 ética tomista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p>
        </w:tc>
      </w:tr>
      <w:tr>
        <w:tblPrEx>
          <w:tblCellMar>
            <w:top w:w="0" w:type="dxa"/>
            <w:left w:w="22" w:type="dxa"/>
            <w:bottom w:w="0" w:type="dxa"/>
            <w:right w:w="22" w:type="dxa"/>
          </w:tblCellMar>
        </w:tblPrEx>
        <w:trPr>
          <w:trHeight w:val="1444" w:hRule="atLeast"/>
        </w:trPr>
        <w:tc>
          <w:tcPr>
            <w:tcW w:w="8880"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Kenny, Anthony John Patrick. </w:t>
            </w:r>
            <w:r>
              <w:rPr>
                <w:rFonts w:ascii="Times New Roman" w:hAnsi="Times New Roman" w:eastAsia="Times New Roman" w:cs="Times New Roman"/>
                <w:b/>
                <w:color w:val="000000"/>
              </w:rPr>
              <w:t>História concisa da filosofia ocidental</w:t>
            </w:r>
            <w:r>
              <w:rPr>
                <w:rFonts w:ascii="Times New Roman" w:hAnsi="Times New Roman" w:eastAsia="Times New Roman" w:cs="Times New Roman"/>
                <w:color w:val="000000"/>
              </w:rPr>
              <w:t>. Lisboa : Temas e Debates, Actividades Editoriais, 1999.</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52"/>
        <w:tblW w:w="8880" w:type="dxa"/>
        <w:tblInd w:w="22" w:type="dxa"/>
        <w:tblLayout w:type="fixed"/>
        <w:tblCellMar>
          <w:top w:w="0" w:type="dxa"/>
          <w:left w:w="22" w:type="dxa"/>
          <w:bottom w:w="0" w:type="dxa"/>
          <w:right w:w="22" w:type="dxa"/>
        </w:tblCellMar>
      </w:tblPr>
      <w:tblGrid>
        <w:gridCol w:w="2835"/>
        <w:gridCol w:w="3261"/>
        <w:gridCol w:w="2784"/>
      </w:tblGrid>
      <w:tr>
        <w:tblPrEx>
          <w:tblCellMar>
            <w:top w:w="0" w:type="dxa"/>
            <w:left w:w="22" w:type="dxa"/>
            <w:bottom w:w="0" w:type="dxa"/>
            <w:right w:w="22" w:type="dxa"/>
          </w:tblCellMar>
        </w:tblPrEx>
        <w:trPr>
          <w:trHeight w:val="1877" w:hRule="atLeast"/>
        </w:trPr>
        <w:tc>
          <w:tcPr>
            <w:tcW w:w="6096"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Antropologia Filosófica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Philosophical Anthropology</w:t>
            </w:r>
          </w:p>
        </w:tc>
        <w:tc>
          <w:tcPr>
            <w:tcW w:w="2784"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FIL632</w:t>
            </w:r>
          </w:p>
        </w:tc>
      </w:tr>
      <w:tr>
        <w:tblPrEx>
          <w:tblCellMar>
            <w:top w:w="0" w:type="dxa"/>
            <w:left w:w="22" w:type="dxa"/>
            <w:bottom w:w="0" w:type="dxa"/>
            <w:right w:w="22" w:type="dxa"/>
          </w:tblCellMar>
        </w:tblPrEx>
        <w:trPr>
          <w:trHeight w:val="825" w:hRule="atLeast"/>
        </w:trPr>
        <w:tc>
          <w:tcPr>
            <w:tcW w:w="6096"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Filosofia - DEFIL</w:t>
            </w:r>
          </w:p>
        </w:tc>
        <w:tc>
          <w:tcPr>
            <w:tcW w:w="2784"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3" w:hRule="atLeast"/>
        </w:trPr>
        <w:tc>
          <w:tcPr>
            <w:tcW w:w="2835"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6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semestral </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60 horas</w:t>
            </w:r>
          </w:p>
        </w:tc>
        <w:tc>
          <w:tcPr>
            <w:tcW w:w="3261"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03 horas/aula</w:t>
            </w:r>
          </w:p>
        </w:tc>
        <w:tc>
          <w:tcPr>
            <w:tcW w:w="2784"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01 horas/aula</w:t>
            </w:r>
          </w:p>
        </w:tc>
      </w:tr>
      <w:tr>
        <w:tblPrEx>
          <w:tblCellMar>
            <w:top w:w="0" w:type="dxa"/>
            <w:left w:w="22" w:type="dxa"/>
            <w:bottom w:w="0" w:type="dxa"/>
            <w:right w:w="22" w:type="dxa"/>
          </w:tblCellMar>
        </w:tblPrEx>
        <w:trPr>
          <w:trHeight w:val="835" w:hRule="atLeast"/>
        </w:trPr>
        <w:tc>
          <w:tcPr>
            <w:tcW w:w="8880"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O curso tratará de algumas das diferentes versões de antropologia filosófica constituídas a partir da modernidade. Nesse sentido, tomaremos como marco inicial a filosofia de Kant e sua antropologia filosófica centrada nas idéias de autonomia, personalidade e dignidade. Três versões contemporâneas de reflexão filosófica sobre o humano serão examinadas: Hannah Arendt, Marcuse e Habermas, autores que retomam, de modos distintos, a tradição kantiana, problematizando-a a partir das experiências históricas catastróficas do século XX.</w:t>
            </w:r>
          </w:p>
        </w:tc>
      </w:tr>
      <w:tr>
        <w:tblPrEx>
          <w:tblCellMar>
            <w:top w:w="0" w:type="dxa"/>
            <w:left w:w="22" w:type="dxa"/>
            <w:bottom w:w="0" w:type="dxa"/>
            <w:right w:w="22" w:type="dxa"/>
          </w:tblCellMar>
        </w:tblPrEx>
        <w:trPr>
          <w:trHeight w:val="2729" w:hRule="atLeast"/>
        </w:trPr>
        <w:tc>
          <w:tcPr>
            <w:tcW w:w="8880"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numPr>
                <w:ilvl w:val="0"/>
                <w:numId w:val="122"/>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Duas visões sobre o objeto da Antropologia Filosófica: Tugendhat e Vaz</w:t>
            </w:r>
          </w:p>
          <w:p>
            <w:pPr>
              <w:widowControl w:val="0"/>
              <w:numPr>
                <w:ilvl w:val="0"/>
                <w:numId w:val="122"/>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Kant: a antropologia pragmática e a dignitas humana</w:t>
            </w:r>
          </w:p>
          <w:p>
            <w:pPr>
              <w:widowControl w:val="0"/>
              <w:numPr>
                <w:ilvl w:val="0"/>
                <w:numId w:val="122"/>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Arendt: a condição humana da pluralidade</w:t>
            </w:r>
          </w:p>
          <w:p>
            <w:pPr>
              <w:widowControl w:val="0"/>
              <w:numPr>
                <w:ilvl w:val="0"/>
                <w:numId w:val="122"/>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Marcuse: liberdade e sensibilidade </w:t>
            </w:r>
          </w:p>
          <w:p>
            <w:pPr>
              <w:widowControl w:val="0"/>
              <w:numPr>
                <w:ilvl w:val="0"/>
                <w:numId w:val="122"/>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Habermas: a ameaça eugenista à autocompreensão ética da espécie</w:t>
            </w:r>
          </w:p>
        </w:tc>
      </w:tr>
      <w:tr>
        <w:tblPrEx>
          <w:tblCellMar>
            <w:top w:w="0" w:type="dxa"/>
            <w:left w:w="22" w:type="dxa"/>
            <w:bottom w:w="0" w:type="dxa"/>
            <w:right w:w="22" w:type="dxa"/>
          </w:tblCellMar>
        </w:tblPrEx>
        <w:trPr>
          <w:trHeight w:val="1894" w:hRule="atLeast"/>
        </w:trPr>
        <w:tc>
          <w:tcPr>
            <w:tcW w:w="8880"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    Bibliografia básica:</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Kant, Immanuel </w:t>
            </w:r>
            <w:r>
              <w:rPr>
                <w:rFonts w:ascii="Times New Roman" w:hAnsi="Times New Roman" w:eastAsia="Times New Roman" w:cs="Times New Roman"/>
                <w:b/>
                <w:color w:val="000000"/>
              </w:rPr>
              <w:t>Crítica da razão pura</w:t>
            </w:r>
            <w:r>
              <w:rPr>
                <w:rFonts w:ascii="Times New Roman" w:hAnsi="Times New Roman" w:eastAsia="Times New Roman" w:cs="Times New Roman"/>
                <w:color w:val="000000"/>
              </w:rPr>
              <w:t>: </w:t>
            </w:r>
            <w:r>
              <w:rPr>
                <w:rFonts w:ascii="Times New Roman" w:hAnsi="Times New Roman" w:eastAsia="Times New Roman" w:cs="Times New Roman"/>
                <w:i/>
                <w:color w:val="000000"/>
              </w:rPr>
              <w:t>tradução de Valério Rohden e Udo Baldur Moosburger</w:t>
            </w:r>
            <w:r>
              <w:rPr>
                <w:rFonts w:ascii="Times New Roman" w:hAnsi="Times New Roman" w:eastAsia="Times New Roman" w:cs="Times New Roman"/>
                <w:color w:val="000000"/>
              </w:rPr>
              <w:t>. São Paulo (SP): Nova Cultural, 2000. </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Jurgen Habermas ; tradução Karina Jannini; revisão da tradução: Eurides Avance de Souza. </w:t>
            </w:r>
            <w:r>
              <w:rPr>
                <w:rFonts w:ascii="Times New Roman" w:hAnsi="Times New Roman" w:eastAsia="Times New Roman" w:cs="Times New Roman"/>
                <w:b/>
                <w:color w:val="000000"/>
              </w:rPr>
              <w:t>O futuro da natureza humana </w:t>
            </w:r>
            <w:r>
              <w:rPr>
                <w:rFonts w:ascii="Times New Roman" w:hAnsi="Times New Roman" w:eastAsia="Times New Roman" w:cs="Times New Roman"/>
                <w:color w:val="000000"/>
              </w:rPr>
              <w:t>: </w:t>
            </w:r>
            <w:r>
              <w:rPr>
                <w:rFonts w:ascii="Times New Roman" w:hAnsi="Times New Roman" w:eastAsia="Times New Roman" w:cs="Times New Roman"/>
                <w:i/>
                <w:color w:val="000000"/>
              </w:rPr>
              <w:t>a caminho de uma eugenia liberal? </w:t>
            </w:r>
            <w:r>
              <w:rPr>
                <w:rFonts w:ascii="Times New Roman" w:hAnsi="Times New Roman" w:eastAsia="Times New Roman" w:cs="Times New Roman"/>
                <w:color w:val="000000"/>
              </w:rPr>
              <w:t>.São Paulo : Martins Fontes, 2004. </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Arendt, Hannah. </w:t>
            </w:r>
            <w:r>
              <w:rPr>
                <w:rFonts w:ascii="Times New Roman" w:hAnsi="Times New Roman" w:eastAsia="Times New Roman" w:cs="Times New Roman"/>
                <w:b/>
                <w:color w:val="000000"/>
              </w:rPr>
              <w:t>A condição humana </w:t>
            </w:r>
            <w:r>
              <w:rPr>
                <w:rFonts w:ascii="Times New Roman" w:hAnsi="Times New Roman" w:eastAsia="Times New Roman" w:cs="Times New Roman"/>
                <w:color w:val="000000"/>
              </w:rPr>
              <w:t>. 10. ed. Rio de Janeiro : Forense Universitária , 2000. </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Arlt, Gerhard. </w:t>
            </w:r>
            <w:r>
              <w:rPr>
                <w:rFonts w:ascii="Times New Roman" w:hAnsi="Times New Roman" w:eastAsia="Times New Roman" w:cs="Times New Roman"/>
                <w:b/>
                <w:color w:val="000000"/>
              </w:rPr>
              <w:t>Antropologia filosófica </w:t>
            </w:r>
            <w:r>
              <w:rPr>
                <w:rFonts w:ascii="Times New Roman" w:hAnsi="Times New Roman" w:eastAsia="Times New Roman" w:cs="Times New Roman"/>
                <w:color w:val="000000"/>
              </w:rPr>
              <w:t>. Rio de Janeiro : Vozes, 2008. </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tc>
      </w:tr>
      <w:tr>
        <w:tblPrEx>
          <w:tblCellMar>
            <w:top w:w="0" w:type="dxa"/>
            <w:left w:w="22" w:type="dxa"/>
            <w:bottom w:w="0" w:type="dxa"/>
            <w:right w:w="22" w:type="dxa"/>
          </w:tblCellMar>
        </w:tblPrEx>
        <w:trPr>
          <w:trHeight w:val="1894" w:hRule="atLeast"/>
        </w:trPr>
        <w:tc>
          <w:tcPr>
            <w:tcW w:w="8880"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    Bibliografia complementar:</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Tugendhat, Ernest. </w:t>
            </w:r>
            <w:r>
              <w:rPr>
                <w:rFonts w:ascii="Times New Roman" w:hAnsi="Times New Roman" w:eastAsia="Times New Roman" w:cs="Times New Roman"/>
                <w:b/>
                <w:color w:val="000000"/>
              </w:rPr>
              <w:t>Antropologia como filosofia primeira</w:t>
            </w:r>
            <w:r>
              <w:rPr>
                <w:rFonts w:ascii="Times New Roman" w:hAnsi="Times New Roman" w:eastAsia="Times New Roman" w:cs="Times New Roman"/>
                <w:color w:val="000000"/>
              </w:rPr>
              <w:t>: </w:t>
            </w:r>
            <w:r>
              <w:rPr>
                <w:rFonts w:ascii="Times New Roman" w:hAnsi="Times New Roman" w:eastAsia="Times New Roman" w:cs="Times New Roman"/>
                <w:i/>
                <w:color w:val="000000"/>
              </w:rPr>
              <w:t>In: três conferências</w:t>
            </w:r>
            <w:r>
              <w:rPr>
                <w:rFonts w:ascii="Times New Roman" w:hAnsi="Times New Roman" w:eastAsia="Times New Roman" w:cs="Times New Roman"/>
                <w:color w:val="000000"/>
              </w:rPr>
              <w:t>. Santa Maria, (RS): Editora da UFSM </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Kant, Immanuel. </w:t>
            </w:r>
            <w:r>
              <w:rPr>
                <w:rFonts w:ascii="Times New Roman" w:hAnsi="Times New Roman" w:eastAsia="Times New Roman" w:cs="Times New Roman"/>
                <w:b/>
                <w:color w:val="000000"/>
              </w:rPr>
              <w:t>Antropologia de um ponto de vista pragmático</w:t>
            </w:r>
            <w:r>
              <w:rPr>
                <w:rFonts w:ascii="Times New Roman" w:hAnsi="Times New Roman" w:eastAsia="Times New Roman" w:cs="Times New Roman"/>
                <w:color w:val="000000"/>
              </w:rPr>
              <w:t>. São Paulo :Iluminuras, 2006. </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Vaz, Henrique C. de Lima. </w:t>
            </w:r>
            <w:r>
              <w:rPr>
                <w:rFonts w:ascii="Times New Roman" w:hAnsi="Times New Roman" w:eastAsia="Times New Roman" w:cs="Times New Roman"/>
                <w:b/>
                <w:color w:val="000000"/>
              </w:rPr>
              <w:t>Antropologia filosófica I</w:t>
            </w:r>
            <w:r>
              <w:rPr>
                <w:rFonts w:ascii="Times New Roman" w:hAnsi="Times New Roman" w:eastAsia="Times New Roman" w:cs="Times New Roman"/>
                <w:color w:val="000000"/>
              </w:rPr>
              <w:t>. 2.ed. corrigidaSão Paulo: Edições Loyola, 1992. </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Marcuse, Herbert. </w:t>
            </w:r>
            <w:r>
              <w:rPr>
                <w:rFonts w:ascii="Times New Roman" w:hAnsi="Times New Roman" w:eastAsia="Times New Roman" w:cs="Times New Roman"/>
                <w:b/>
                <w:color w:val="000000"/>
              </w:rPr>
              <w:t>Cultura e sociedade</w:t>
            </w:r>
            <w:r>
              <w:rPr>
                <w:rFonts w:ascii="Times New Roman" w:hAnsi="Times New Roman" w:eastAsia="Times New Roman" w:cs="Times New Roman"/>
                <w:color w:val="000000"/>
              </w:rPr>
              <w:t>. - 1 . São Paulo: Paz e Terra, 1997.</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53"/>
        <w:tblW w:w="8880" w:type="dxa"/>
        <w:tblInd w:w="22" w:type="dxa"/>
        <w:tblLayout w:type="fixed"/>
        <w:tblCellMar>
          <w:top w:w="0" w:type="dxa"/>
          <w:left w:w="22" w:type="dxa"/>
          <w:bottom w:w="0" w:type="dxa"/>
          <w:right w:w="22" w:type="dxa"/>
        </w:tblCellMar>
      </w:tblPr>
      <w:tblGrid>
        <w:gridCol w:w="3024"/>
        <w:gridCol w:w="3121"/>
        <w:gridCol w:w="2735"/>
      </w:tblGrid>
      <w:tr>
        <w:tblPrEx>
          <w:tblCellMar>
            <w:top w:w="0" w:type="dxa"/>
            <w:left w:w="22" w:type="dxa"/>
            <w:bottom w:w="0" w:type="dxa"/>
            <w:right w:w="22" w:type="dxa"/>
          </w:tblCellMar>
        </w:tblPrEx>
        <w:trPr>
          <w:trHeight w:val="1877" w:hRule="atLeast"/>
        </w:trPr>
        <w:tc>
          <w:tcPr>
            <w:tcW w:w="6145"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Filosofia Social e Política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Nome do Componente Curricular em inglês: Social Philosophy and Politics </w:t>
            </w:r>
          </w:p>
        </w:tc>
        <w:tc>
          <w:tcPr>
            <w:tcW w:w="2735"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FIL633</w:t>
            </w:r>
          </w:p>
        </w:tc>
      </w:tr>
      <w:tr>
        <w:tblPrEx>
          <w:tblCellMar>
            <w:top w:w="0" w:type="dxa"/>
            <w:left w:w="22" w:type="dxa"/>
            <w:bottom w:w="0" w:type="dxa"/>
            <w:right w:w="22" w:type="dxa"/>
          </w:tblCellMar>
        </w:tblPrEx>
        <w:trPr>
          <w:trHeight w:val="825" w:hRule="atLeast"/>
        </w:trPr>
        <w:tc>
          <w:tcPr>
            <w:tcW w:w="6145"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Filosofia - DEFIL</w:t>
            </w:r>
          </w:p>
        </w:tc>
        <w:tc>
          <w:tcPr>
            <w:tcW w:w="2735"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3" w:hRule="atLeast"/>
        </w:trPr>
        <w:tc>
          <w:tcPr>
            <w:tcW w:w="3024"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6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semestral </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60 horas</w:t>
            </w:r>
          </w:p>
        </w:tc>
        <w:tc>
          <w:tcPr>
            <w:tcW w:w="3121"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03 horas/aula</w:t>
            </w:r>
          </w:p>
        </w:tc>
        <w:tc>
          <w:tcPr>
            <w:tcW w:w="2735"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01 horas/aula</w:t>
            </w:r>
          </w:p>
        </w:tc>
      </w:tr>
      <w:tr>
        <w:tblPrEx>
          <w:tblCellMar>
            <w:top w:w="0" w:type="dxa"/>
            <w:left w:w="22" w:type="dxa"/>
            <w:bottom w:w="0" w:type="dxa"/>
            <w:right w:w="22" w:type="dxa"/>
          </w:tblCellMar>
        </w:tblPrEx>
        <w:trPr>
          <w:trHeight w:val="835" w:hRule="atLeast"/>
        </w:trPr>
        <w:tc>
          <w:tcPr>
            <w:tcW w:w="8880"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O curso versa sobre temas como o estado de natureza, o Estado e a sociedade e a justificação do Estado. Também serão tratados temas como liberdade e justiça na distribuição da riqueza de um arranjo político e as teorias sobre a atuação maior ou menor do Estado na sociedade (as perspectivas de Nozick, Rawls, Dworkin e Sen).</w:t>
            </w:r>
          </w:p>
        </w:tc>
      </w:tr>
      <w:tr>
        <w:tblPrEx>
          <w:tblCellMar>
            <w:top w:w="0" w:type="dxa"/>
            <w:left w:w="22" w:type="dxa"/>
            <w:bottom w:w="0" w:type="dxa"/>
            <w:right w:w="22" w:type="dxa"/>
          </w:tblCellMar>
        </w:tblPrEx>
        <w:trPr>
          <w:trHeight w:val="2729" w:hRule="atLeast"/>
        </w:trPr>
        <w:tc>
          <w:tcPr>
            <w:tcW w:w="8880"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numPr>
                <w:ilvl w:val="0"/>
                <w:numId w:val="123"/>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O estado de natureza e a justificação do Estado;</w:t>
            </w:r>
          </w:p>
          <w:p>
            <w:pPr>
              <w:widowControl w:val="0"/>
              <w:numPr>
                <w:ilvl w:val="0"/>
                <w:numId w:val="123"/>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Estado e Sociedade;</w:t>
            </w:r>
          </w:p>
          <w:p>
            <w:pPr>
              <w:widowControl w:val="0"/>
              <w:numPr>
                <w:ilvl w:val="0"/>
                <w:numId w:val="123"/>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Liberdade e Justiça no Estado e na Sociedade;</w:t>
            </w:r>
          </w:p>
          <w:p>
            <w:pPr>
              <w:widowControl w:val="0"/>
              <w:numPr>
                <w:ilvl w:val="0"/>
                <w:numId w:val="123"/>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As teorias sobre a justa atuação e poder do estado: as perspectivas de Nozick, Rawls, Dworkin e Sen;</w:t>
            </w:r>
          </w:p>
        </w:tc>
      </w:tr>
      <w:tr>
        <w:tblPrEx>
          <w:tblCellMar>
            <w:top w:w="0" w:type="dxa"/>
            <w:left w:w="22" w:type="dxa"/>
            <w:bottom w:w="0" w:type="dxa"/>
            <w:right w:w="22" w:type="dxa"/>
          </w:tblCellMar>
        </w:tblPrEx>
        <w:trPr>
          <w:trHeight w:val="1894" w:hRule="atLeast"/>
        </w:trPr>
        <w:tc>
          <w:tcPr>
            <w:tcW w:w="8880"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ind w:left="0" w:hanging="2"/>
              <w:rPr>
                <w:rFonts w:ascii="Times New Roman" w:hAnsi="Times New Roman" w:cs="Times New Roman"/>
              </w:rPr>
            </w:pPr>
            <w:r>
              <w:rPr>
                <w:rFonts w:ascii="Times New Roman" w:hAnsi="Times New Roman" w:eastAsia="Times New Roman" w:cs="Times New Roman"/>
                <w:color w:val="000000"/>
              </w:rPr>
              <w:t>Locke, John </w:t>
            </w:r>
            <w:r>
              <w:rPr>
                <w:rFonts w:ascii="Times New Roman" w:hAnsi="Times New Roman" w:eastAsia="Times New Roman" w:cs="Times New Roman"/>
                <w:b/>
                <w:color w:val="000000"/>
              </w:rPr>
              <w:t>Dois tratados sobre o governo</w:t>
            </w:r>
            <w:r>
              <w:rPr>
                <w:rFonts w:ascii="Times New Roman" w:hAnsi="Times New Roman" w:eastAsia="Times New Roman" w:cs="Times New Roman"/>
                <w:color w:val="000000"/>
              </w:rPr>
              <w:t>. São Paulo (SP): Martins Fontes, 2005. </w:t>
            </w:r>
          </w:p>
          <w:p>
            <w:pPr>
              <w:ind w:left="0" w:hanging="2"/>
              <w:rPr>
                <w:rFonts w:ascii="Times New Roman" w:hAnsi="Times New Roman" w:cs="Times New Roman"/>
              </w:rPr>
            </w:pPr>
            <w:r>
              <w:rPr>
                <w:rFonts w:ascii="Times New Roman" w:hAnsi="Times New Roman" w:eastAsia="Times New Roman" w:cs="Times New Roman"/>
                <w:color w:val="000000"/>
              </w:rPr>
              <w:t>Rousseau, Jean Jacques </w:t>
            </w:r>
            <w:r>
              <w:rPr>
                <w:rFonts w:ascii="Times New Roman" w:hAnsi="Times New Roman" w:eastAsia="Times New Roman" w:cs="Times New Roman"/>
                <w:b/>
                <w:color w:val="000000"/>
              </w:rPr>
              <w:t>O contrato social</w:t>
            </w:r>
            <w:r>
              <w:rPr>
                <w:rFonts w:ascii="Times New Roman" w:hAnsi="Times New Roman" w:eastAsia="Times New Roman" w:cs="Times New Roman"/>
                <w:color w:val="000000"/>
              </w:rPr>
              <w:t>: </w:t>
            </w:r>
            <w:r>
              <w:rPr>
                <w:rFonts w:ascii="Times New Roman" w:hAnsi="Times New Roman" w:eastAsia="Times New Roman" w:cs="Times New Roman"/>
                <w:i/>
                <w:color w:val="000000"/>
              </w:rPr>
              <w:t>In: coleção Os pensadores</w:t>
            </w:r>
            <w:r>
              <w:rPr>
                <w:rFonts w:ascii="Times New Roman" w:hAnsi="Times New Roman" w:eastAsia="Times New Roman" w:cs="Times New Roman"/>
                <w:color w:val="000000"/>
              </w:rPr>
              <w:t>. São Paulo (SP): Abril Cultural, 1976.</w:t>
            </w:r>
          </w:p>
          <w:p>
            <w:pPr>
              <w:ind w:left="0" w:hanging="2"/>
              <w:rPr>
                <w:rFonts w:ascii="Times New Roman" w:hAnsi="Times New Roman" w:cs="Times New Roman"/>
              </w:rPr>
            </w:pPr>
            <w:r>
              <w:rPr>
                <w:rFonts w:ascii="Times New Roman" w:hAnsi="Times New Roman" w:eastAsia="Times New Roman" w:cs="Times New Roman"/>
                <w:color w:val="000000"/>
              </w:rPr>
              <w:t>Hobbes, Thomas. </w:t>
            </w:r>
            <w:r>
              <w:rPr>
                <w:rFonts w:ascii="Times New Roman" w:hAnsi="Times New Roman" w:eastAsia="Times New Roman" w:cs="Times New Roman"/>
                <w:b/>
                <w:color w:val="000000"/>
              </w:rPr>
              <w:t>Leviatã ou matéria, forma e poder de um estado eclesiástico e civil</w:t>
            </w:r>
            <w:r>
              <w:rPr>
                <w:rFonts w:ascii="Times New Roman" w:hAnsi="Times New Roman" w:eastAsia="Times New Roman" w:cs="Times New Roman"/>
                <w:color w:val="000000"/>
              </w:rPr>
              <w:t>. São Paulo: Abril Cultural, c1974. </w:t>
            </w:r>
          </w:p>
          <w:p>
            <w:pPr>
              <w:ind w:left="0" w:hanging="2"/>
              <w:rPr>
                <w:rFonts w:ascii="Times New Roman" w:hAnsi="Times New Roman" w:cs="Times New Roman"/>
              </w:rPr>
            </w:pPr>
            <w:r>
              <w:rPr>
                <w:rFonts w:ascii="Times New Roman" w:hAnsi="Times New Roman" w:eastAsia="Times New Roman" w:cs="Times New Roman"/>
                <w:color w:val="000000"/>
              </w:rPr>
              <w:t>Aristóteles. </w:t>
            </w:r>
            <w:r>
              <w:rPr>
                <w:rFonts w:ascii="Times New Roman" w:hAnsi="Times New Roman" w:eastAsia="Times New Roman" w:cs="Times New Roman"/>
                <w:b/>
                <w:color w:val="000000"/>
              </w:rPr>
              <w:t>A política </w:t>
            </w:r>
            <w:r>
              <w:rPr>
                <w:rFonts w:ascii="Times New Roman" w:hAnsi="Times New Roman" w:eastAsia="Times New Roman" w:cs="Times New Roman"/>
                <w:color w:val="000000"/>
              </w:rPr>
              <w:t>. 2ª. ed. São Paulo: Martins Fontes, 1998-2002. .</w:t>
            </w:r>
          </w:p>
          <w:p>
            <w:pPr>
              <w:ind w:left="0" w:hanging="2"/>
              <w:rPr>
                <w:rFonts w:ascii="Times New Roman" w:hAnsi="Times New Roman" w:eastAsia="Times New Roman" w:cs="Times New Roman"/>
              </w:rPr>
            </w:pPr>
          </w:p>
        </w:tc>
      </w:tr>
      <w:tr>
        <w:tblPrEx>
          <w:tblCellMar>
            <w:top w:w="0" w:type="dxa"/>
            <w:left w:w="22" w:type="dxa"/>
            <w:bottom w:w="0" w:type="dxa"/>
            <w:right w:w="22" w:type="dxa"/>
          </w:tblCellMar>
        </w:tblPrEx>
        <w:trPr>
          <w:trHeight w:val="1894" w:hRule="atLeast"/>
        </w:trPr>
        <w:tc>
          <w:tcPr>
            <w:tcW w:w="8880"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ind w:left="0" w:hanging="2"/>
              <w:rPr>
                <w:rFonts w:ascii="Times New Roman" w:hAnsi="Times New Roman" w:cs="Times New Roman"/>
              </w:rPr>
            </w:pPr>
            <w:r>
              <w:rPr>
                <w:rFonts w:ascii="Times New Roman" w:hAnsi="Times New Roman" w:eastAsia="Times New Roman" w:cs="Times New Roman"/>
                <w:color w:val="000000"/>
              </w:rPr>
              <w:t>Bobbio, Norberto &amp; Bovero, M. </w:t>
            </w:r>
            <w:r>
              <w:rPr>
                <w:rFonts w:ascii="Times New Roman" w:hAnsi="Times New Roman" w:eastAsia="Times New Roman" w:cs="Times New Roman"/>
                <w:b/>
                <w:color w:val="000000"/>
              </w:rPr>
              <w:t>Sociedade e estado na filosofia política moderna</w:t>
            </w:r>
            <w:r>
              <w:rPr>
                <w:rFonts w:ascii="Times New Roman" w:hAnsi="Times New Roman" w:eastAsia="Times New Roman" w:cs="Times New Roman"/>
                <w:color w:val="000000"/>
              </w:rPr>
              <w:t>. São Paulo (SP): Brasiliense, 1994. </w:t>
            </w:r>
          </w:p>
          <w:p>
            <w:pPr>
              <w:ind w:left="0" w:hanging="2"/>
              <w:rPr>
                <w:rFonts w:ascii="Times New Roman" w:hAnsi="Times New Roman" w:cs="Times New Roman"/>
              </w:rPr>
            </w:pPr>
            <w:r>
              <w:rPr>
                <w:rFonts w:ascii="Times New Roman" w:hAnsi="Times New Roman" w:eastAsia="Times New Roman" w:cs="Times New Roman"/>
                <w:color w:val="000000"/>
              </w:rPr>
              <w:t>Wolf, Francis. </w:t>
            </w:r>
            <w:r>
              <w:rPr>
                <w:rFonts w:ascii="Times New Roman" w:hAnsi="Times New Roman" w:eastAsia="Times New Roman" w:cs="Times New Roman"/>
                <w:b/>
                <w:color w:val="000000"/>
              </w:rPr>
              <w:t>Aristóteles e a política</w:t>
            </w:r>
            <w:r>
              <w:rPr>
                <w:rFonts w:ascii="Times New Roman" w:hAnsi="Times New Roman" w:eastAsia="Times New Roman" w:cs="Times New Roman"/>
                <w:color w:val="000000"/>
              </w:rPr>
              <w:t>. São Paulo (SP): Discurso editorial, 1999. </w:t>
            </w:r>
          </w:p>
          <w:p>
            <w:pPr>
              <w:ind w:left="0" w:hanging="2"/>
              <w:rPr>
                <w:rFonts w:ascii="Times New Roman" w:hAnsi="Times New Roman" w:cs="Times New Roman"/>
              </w:rPr>
            </w:pPr>
            <w:r>
              <w:rPr>
                <w:rFonts w:ascii="Times New Roman" w:hAnsi="Times New Roman" w:eastAsia="Times New Roman" w:cs="Times New Roman"/>
                <w:color w:val="000000"/>
              </w:rPr>
              <w:t>Diderot, Denis. </w:t>
            </w:r>
            <w:r>
              <w:rPr>
                <w:rFonts w:ascii="Times New Roman" w:hAnsi="Times New Roman" w:eastAsia="Times New Roman" w:cs="Times New Roman"/>
                <w:b/>
                <w:color w:val="000000"/>
              </w:rPr>
              <w:t>Verbetes políticos da enciclopédia</w:t>
            </w:r>
            <w:r>
              <w:rPr>
                <w:rFonts w:ascii="Times New Roman" w:hAnsi="Times New Roman" w:eastAsia="Times New Roman" w:cs="Times New Roman"/>
                <w:color w:val="000000"/>
              </w:rPr>
              <w:t>. São Paulo: Discurso Editorial.</w:t>
            </w:r>
          </w:p>
          <w:p>
            <w:pPr>
              <w:ind w:left="0" w:hanging="2"/>
              <w:rPr>
                <w:rFonts w:ascii="Times New Roman" w:hAnsi="Times New Roman" w:cs="Times New Roman"/>
              </w:rPr>
            </w:pPr>
            <w:r>
              <w:rPr>
                <w:rFonts w:ascii="Times New Roman" w:hAnsi="Times New Roman" w:eastAsia="Times New Roman" w:cs="Times New Roman"/>
                <w:color w:val="000000"/>
              </w:rPr>
              <w:t>Strauss, Leo. </w:t>
            </w:r>
            <w:r>
              <w:rPr>
                <w:rFonts w:ascii="Times New Roman" w:hAnsi="Times New Roman" w:eastAsia="Times New Roman" w:cs="Times New Roman"/>
                <w:b/>
                <w:color w:val="000000"/>
              </w:rPr>
              <w:t>Direito natural e história</w:t>
            </w:r>
            <w:r>
              <w:rPr>
                <w:rFonts w:ascii="Times New Roman" w:hAnsi="Times New Roman" w:eastAsia="Times New Roman" w:cs="Times New Roman"/>
                <w:color w:val="000000"/>
              </w:rPr>
              <w:t>: </w:t>
            </w:r>
            <w:r>
              <w:rPr>
                <w:rFonts w:ascii="Times New Roman" w:hAnsi="Times New Roman" w:eastAsia="Times New Roman" w:cs="Times New Roman"/>
                <w:i/>
                <w:color w:val="000000"/>
              </w:rPr>
              <w:t>Leo Strauss ; introdução e tradução de Miguel Morgado.</w:t>
            </w:r>
            <w:r>
              <w:rPr>
                <w:rFonts w:ascii="Times New Roman" w:hAnsi="Times New Roman" w:eastAsia="Times New Roman" w:cs="Times New Roman"/>
                <w:color w:val="000000"/>
              </w:rPr>
              <w:t xml:space="preserve"> Lisboa: Edições 70, 2009. </w:t>
            </w:r>
          </w:p>
          <w:p>
            <w:pPr>
              <w:ind w:left="0" w:hanging="2"/>
              <w:jc w:val="both"/>
              <w:rPr>
                <w:rFonts w:ascii="Times New Roman" w:hAnsi="Times New Roman" w:eastAsia="Times New Roman" w:cs="Times New Roman"/>
              </w:rPr>
            </w:pP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54"/>
        <w:tblW w:w="8880" w:type="dxa"/>
        <w:tblInd w:w="22" w:type="dxa"/>
        <w:tblLayout w:type="fixed"/>
        <w:tblCellMar>
          <w:top w:w="0" w:type="dxa"/>
          <w:left w:w="22" w:type="dxa"/>
          <w:bottom w:w="0" w:type="dxa"/>
          <w:right w:w="22" w:type="dxa"/>
        </w:tblCellMar>
      </w:tblPr>
      <w:tblGrid>
        <w:gridCol w:w="3009"/>
        <w:gridCol w:w="3120"/>
        <w:gridCol w:w="282"/>
        <w:gridCol w:w="2469"/>
      </w:tblGrid>
      <w:tr>
        <w:tblPrEx>
          <w:tblCellMar>
            <w:top w:w="0" w:type="dxa"/>
            <w:left w:w="22" w:type="dxa"/>
            <w:bottom w:w="0" w:type="dxa"/>
            <w:right w:w="22" w:type="dxa"/>
          </w:tblCellMar>
        </w:tblPrEx>
        <w:trPr>
          <w:trHeight w:val="1877" w:hRule="atLeast"/>
        </w:trPr>
        <w:tc>
          <w:tcPr>
            <w:tcW w:w="6411" w:type="dxa"/>
            <w:gridSpan w:val="3"/>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História da Filosofia IV: Filosofia Moderna I</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History of Philosophy Iv: Modern Philosophy I</w:t>
            </w:r>
          </w:p>
        </w:tc>
        <w:tc>
          <w:tcPr>
            <w:tcW w:w="2469"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FIL641</w:t>
            </w:r>
          </w:p>
        </w:tc>
      </w:tr>
      <w:tr>
        <w:tblPrEx>
          <w:tblCellMar>
            <w:top w:w="0" w:type="dxa"/>
            <w:left w:w="22" w:type="dxa"/>
            <w:bottom w:w="0" w:type="dxa"/>
            <w:right w:w="22" w:type="dxa"/>
          </w:tblCellMar>
        </w:tblPrEx>
        <w:trPr>
          <w:trHeight w:val="825" w:hRule="atLeast"/>
        </w:trPr>
        <w:tc>
          <w:tcPr>
            <w:tcW w:w="6411" w:type="dxa"/>
            <w:gridSpan w:val="3"/>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Filosofia - DEFIL</w:t>
            </w:r>
          </w:p>
        </w:tc>
        <w:tc>
          <w:tcPr>
            <w:tcW w:w="2469"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3" w:hRule="atLeast"/>
        </w:trPr>
        <w:tc>
          <w:tcPr>
            <w:tcW w:w="3009"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6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semestral </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60 horas</w:t>
            </w:r>
          </w:p>
        </w:tc>
        <w:tc>
          <w:tcPr>
            <w:tcW w:w="3120"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03 horas/aula</w:t>
            </w:r>
          </w:p>
        </w:tc>
        <w:tc>
          <w:tcPr>
            <w:tcW w:w="2751" w:type="dxa"/>
            <w:gridSpan w:val="2"/>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01 horas/aula</w:t>
            </w:r>
          </w:p>
        </w:tc>
      </w:tr>
      <w:tr>
        <w:tblPrEx>
          <w:tblCellMar>
            <w:top w:w="0" w:type="dxa"/>
            <w:left w:w="22" w:type="dxa"/>
            <w:bottom w:w="0" w:type="dxa"/>
            <w:right w:w="22" w:type="dxa"/>
          </w:tblCellMar>
        </w:tblPrEx>
        <w:trPr>
          <w:trHeight w:val="835" w:hRule="atLeast"/>
        </w:trPr>
        <w:tc>
          <w:tcPr>
            <w:tcW w:w="8880" w:type="dxa"/>
            <w:gridSpan w:val="4"/>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Esta disciplina procura expor, analisar e criticar as principais concepções filosóficas, empiristas e racionalistas, que se desenvolveram, desde o surgimento da ciência moderna no século XVII, até o advento da filosofia kantiana no final do século XVIII, por meio da leitura de textos dos mais marcantes expoentes de cada corrente filosófica em questão.</w:t>
            </w:r>
          </w:p>
        </w:tc>
      </w:tr>
      <w:tr>
        <w:tblPrEx>
          <w:tblCellMar>
            <w:top w:w="0" w:type="dxa"/>
            <w:left w:w="22" w:type="dxa"/>
            <w:bottom w:w="0" w:type="dxa"/>
            <w:right w:w="22" w:type="dxa"/>
          </w:tblCellMar>
        </w:tblPrEx>
        <w:trPr>
          <w:trHeight w:val="1789" w:hRule="atLeast"/>
        </w:trPr>
        <w:tc>
          <w:tcPr>
            <w:tcW w:w="8880" w:type="dxa"/>
            <w:gridSpan w:val="4"/>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numPr>
                <w:ilvl w:val="0"/>
                <w:numId w:val="124"/>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Descartes, o método e o cogito.</w:t>
            </w:r>
          </w:p>
          <w:p>
            <w:pPr>
              <w:widowControl w:val="0"/>
              <w:numPr>
                <w:ilvl w:val="0"/>
                <w:numId w:val="124"/>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Hume e a causalidade.</w:t>
            </w:r>
          </w:p>
          <w:p>
            <w:pPr>
              <w:widowControl w:val="0"/>
              <w:numPr>
                <w:ilvl w:val="0"/>
                <w:numId w:val="124"/>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Kant, o projeto crítico e o conceito de transcendental.</w:t>
            </w:r>
          </w:p>
        </w:tc>
      </w:tr>
      <w:tr>
        <w:tblPrEx>
          <w:tblCellMar>
            <w:top w:w="0" w:type="dxa"/>
            <w:left w:w="22" w:type="dxa"/>
            <w:bottom w:w="0" w:type="dxa"/>
            <w:right w:w="22" w:type="dxa"/>
          </w:tblCellMar>
        </w:tblPrEx>
        <w:trPr>
          <w:trHeight w:val="1894" w:hRule="atLeast"/>
        </w:trPr>
        <w:tc>
          <w:tcPr>
            <w:tcW w:w="8880" w:type="dxa"/>
            <w:gridSpan w:val="4"/>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ind w:left="0" w:hanging="2"/>
              <w:rPr>
                <w:rFonts w:ascii="Times New Roman" w:hAnsi="Times New Roman" w:cs="Times New Roman"/>
              </w:rPr>
            </w:pPr>
            <w:r>
              <w:rPr>
                <w:rFonts w:ascii="Times New Roman" w:hAnsi="Times New Roman" w:eastAsia="Times New Roman" w:cs="Times New Roman"/>
                <w:color w:val="000000"/>
              </w:rPr>
              <w:t>Kant, Immanuel. </w:t>
            </w:r>
            <w:r>
              <w:rPr>
                <w:rFonts w:ascii="Times New Roman" w:hAnsi="Times New Roman" w:eastAsia="Times New Roman" w:cs="Times New Roman"/>
                <w:b/>
                <w:color w:val="000000"/>
              </w:rPr>
              <w:t>Crítica da razão pura</w:t>
            </w:r>
            <w:r>
              <w:rPr>
                <w:rFonts w:ascii="Times New Roman" w:hAnsi="Times New Roman" w:eastAsia="Times New Roman" w:cs="Times New Roman"/>
                <w:color w:val="000000"/>
              </w:rPr>
              <w:t>. São Paulo: Abril Cultural, 1980. </w:t>
            </w:r>
          </w:p>
          <w:p>
            <w:pPr>
              <w:ind w:left="0" w:hanging="2"/>
              <w:rPr>
                <w:rFonts w:ascii="Times New Roman" w:hAnsi="Times New Roman" w:cs="Times New Roman"/>
              </w:rPr>
            </w:pPr>
            <w:r>
              <w:rPr>
                <w:rFonts w:ascii="Times New Roman" w:hAnsi="Times New Roman" w:eastAsia="Times New Roman" w:cs="Times New Roman"/>
                <w:color w:val="000000"/>
              </w:rPr>
              <w:t>René Descartes </w:t>
            </w:r>
            <w:r>
              <w:rPr>
                <w:rFonts w:ascii="Times New Roman" w:hAnsi="Times New Roman" w:eastAsia="Times New Roman" w:cs="Times New Roman"/>
                <w:b/>
                <w:color w:val="000000"/>
              </w:rPr>
              <w:t>Discurso do método</w:t>
            </w:r>
            <w:r>
              <w:rPr>
                <w:rFonts w:ascii="Times New Roman" w:hAnsi="Times New Roman" w:eastAsia="Times New Roman" w:cs="Times New Roman"/>
                <w:color w:val="000000"/>
              </w:rPr>
              <w:t>: </w:t>
            </w:r>
            <w:r>
              <w:rPr>
                <w:rFonts w:ascii="Times New Roman" w:hAnsi="Times New Roman" w:eastAsia="Times New Roman" w:cs="Times New Roman"/>
                <w:i/>
                <w:color w:val="000000"/>
              </w:rPr>
              <w:t>as paixões da alma : meditações</w:t>
            </w:r>
            <w:r>
              <w:rPr>
                <w:rFonts w:ascii="Times New Roman" w:hAnsi="Times New Roman" w:eastAsia="Times New Roman" w:cs="Times New Roman"/>
                <w:color w:val="000000"/>
              </w:rPr>
              <w:t>. São Paulo: Nova Cultural, c1999. </w:t>
            </w:r>
          </w:p>
          <w:p>
            <w:pPr>
              <w:ind w:left="0" w:hanging="2"/>
              <w:rPr>
                <w:rFonts w:ascii="Times New Roman" w:hAnsi="Times New Roman" w:cs="Times New Roman"/>
              </w:rPr>
            </w:pPr>
            <w:r>
              <w:rPr>
                <w:rFonts w:ascii="Times New Roman" w:hAnsi="Times New Roman" w:eastAsia="Times New Roman" w:cs="Times New Roman"/>
                <w:color w:val="000000"/>
              </w:rPr>
              <w:t>Hume; tradução: Anoar Aiex, João Paulo Gomes Monteiro, Armando Mora D'Oliveira </w:t>
            </w:r>
            <w:r>
              <w:rPr>
                <w:rFonts w:ascii="Times New Roman" w:hAnsi="Times New Roman" w:eastAsia="Times New Roman" w:cs="Times New Roman"/>
                <w:b/>
                <w:color w:val="000000"/>
              </w:rPr>
              <w:t>Hume</w:t>
            </w:r>
            <w:r>
              <w:rPr>
                <w:rFonts w:ascii="Times New Roman" w:hAnsi="Times New Roman" w:eastAsia="Times New Roman" w:cs="Times New Roman"/>
                <w:color w:val="000000"/>
              </w:rPr>
              <w:t>: </w:t>
            </w:r>
            <w:r>
              <w:rPr>
                <w:rFonts w:ascii="Times New Roman" w:hAnsi="Times New Roman" w:eastAsia="Times New Roman" w:cs="Times New Roman"/>
                <w:i/>
                <w:color w:val="000000"/>
              </w:rPr>
              <w:t>vida e obra</w:t>
            </w:r>
            <w:r>
              <w:rPr>
                <w:rFonts w:ascii="Times New Roman" w:hAnsi="Times New Roman" w:eastAsia="Times New Roman" w:cs="Times New Roman"/>
                <w:color w:val="000000"/>
              </w:rPr>
              <w:t>. São Paulo: Nova Cultural, 2000.</w:t>
            </w:r>
          </w:p>
          <w:p>
            <w:pPr>
              <w:ind w:left="0" w:hanging="2"/>
              <w:rPr>
                <w:rFonts w:ascii="Times New Roman" w:hAnsi="Times New Roman" w:eastAsia="Times New Roman" w:cs="Times New Roman"/>
              </w:rPr>
            </w:pPr>
          </w:p>
        </w:tc>
      </w:tr>
      <w:tr>
        <w:tblPrEx>
          <w:tblCellMar>
            <w:top w:w="0" w:type="dxa"/>
            <w:left w:w="22" w:type="dxa"/>
            <w:bottom w:w="0" w:type="dxa"/>
            <w:right w:w="22" w:type="dxa"/>
          </w:tblCellMar>
        </w:tblPrEx>
        <w:trPr>
          <w:trHeight w:val="1894" w:hRule="atLeast"/>
        </w:trPr>
        <w:tc>
          <w:tcPr>
            <w:tcW w:w="8880" w:type="dxa"/>
            <w:gridSpan w:val="4"/>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ind w:left="0" w:hanging="2"/>
              <w:rPr>
                <w:rFonts w:ascii="Times New Roman" w:hAnsi="Times New Roman" w:cs="Times New Roman"/>
              </w:rPr>
            </w:pPr>
            <w:r>
              <w:rPr>
                <w:rFonts w:ascii="Times New Roman" w:hAnsi="Times New Roman" w:eastAsia="Times New Roman" w:cs="Times New Roman"/>
                <w:color w:val="000000"/>
              </w:rPr>
              <w:t>Hartmann, Nicolai </w:t>
            </w:r>
            <w:r>
              <w:rPr>
                <w:rFonts w:ascii="Times New Roman" w:hAnsi="Times New Roman" w:eastAsia="Times New Roman" w:cs="Times New Roman"/>
                <w:b/>
                <w:color w:val="000000"/>
              </w:rPr>
              <w:t>O idealismo alemão</w:t>
            </w:r>
            <w:r>
              <w:rPr>
                <w:rFonts w:ascii="Times New Roman" w:hAnsi="Times New Roman" w:eastAsia="Times New Roman" w:cs="Times New Roman"/>
                <w:color w:val="000000"/>
              </w:rPr>
              <w:t>. </w:t>
            </w:r>
          </w:p>
          <w:p>
            <w:pPr>
              <w:ind w:left="0" w:hanging="2"/>
              <w:rPr>
                <w:rFonts w:ascii="Times New Roman" w:hAnsi="Times New Roman" w:cs="Times New Roman"/>
              </w:rPr>
            </w:pPr>
            <w:r>
              <w:rPr>
                <w:rFonts w:ascii="Times New Roman" w:hAnsi="Times New Roman" w:eastAsia="Times New Roman" w:cs="Times New Roman"/>
                <w:color w:val="000000"/>
              </w:rPr>
              <w:t>Israel, J. </w:t>
            </w:r>
            <w:r>
              <w:rPr>
                <w:rFonts w:ascii="Times New Roman" w:hAnsi="Times New Roman" w:eastAsia="Times New Roman" w:cs="Times New Roman"/>
                <w:b/>
                <w:color w:val="000000"/>
              </w:rPr>
              <w:t>O iluminismo radical</w:t>
            </w:r>
            <w:r>
              <w:rPr>
                <w:rFonts w:ascii="Times New Roman" w:hAnsi="Times New Roman" w:eastAsia="Times New Roman" w:cs="Times New Roman"/>
                <w:color w:val="000000"/>
              </w:rPr>
              <w:t>. </w:t>
            </w:r>
          </w:p>
          <w:p>
            <w:pPr>
              <w:ind w:left="0" w:hanging="2"/>
              <w:rPr>
                <w:rFonts w:ascii="Times New Roman" w:hAnsi="Times New Roman" w:cs="Times New Roman"/>
              </w:rPr>
            </w:pPr>
            <w:r>
              <w:rPr>
                <w:rFonts w:ascii="Times New Roman" w:hAnsi="Times New Roman" w:eastAsia="Times New Roman" w:cs="Times New Roman"/>
                <w:color w:val="000000"/>
              </w:rPr>
              <w:t>Châtelet, François </w:t>
            </w:r>
            <w:r>
              <w:rPr>
                <w:rFonts w:ascii="Times New Roman" w:hAnsi="Times New Roman" w:eastAsia="Times New Roman" w:cs="Times New Roman"/>
                <w:b/>
                <w:color w:val="000000"/>
              </w:rPr>
              <w:t>Hegel</w:t>
            </w:r>
            <w:r>
              <w:rPr>
                <w:rFonts w:ascii="Times New Roman" w:hAnsi="Times New Roman" w:eastAsia="Times New Roman" w:cs="Times New Roman"/>
                <w:color w:val="000000"/>
              </w:rPr>
              <w:t>.</w:t>
            </w:r>
          </w:p>
          <w:p>
            <w:pPr>
              <w:ind w:left="0" w:hanging="2"/>
              <w:rPr>
                <w:rFonts w:ascii="Times New Roman" w:hAnsi="Times New Roman" w:cs="Times New Roman"/>
              </w:rPr>
            </w:pPr>
            <w:r>
              <w:rPr>
                <w:rFonts w:ascii="Times New Roman" w:hAnsi="Times New Roman" w:eastAsia="Times New Roman" w:cs="Times New Roman"/>
                <w:color w:val="000000"/>
              </w:rPr>
              <w:t>Hegel, Georg Wilhelm Friedrich. </w:t>
            </w:r>
            <w:r>
              <w:rPr>
                <w:rFonts w:ascii="Times New Roman" w:hAnsi="Times New Roman" w:eastAsia="Times New Roman" w:cs="Times New Roman"/>
                <w:b/>
                <w:color w:val="000000"/>
              </w:rPr>
              <w:t>Fenomenologia do espírito </w:t>
            </w:r>
            <w:r>
              <w:rPr>
                <w:rFonts w:ascii="Times New Roman" w:hAnsi="Times New Roman" w:eastAsia="Times New Roman" w:cs="Times New Roman"/>
                <w:color w:val="000000"/>
              </w:rPr>
              <w:t>. 5ª. ed. Petrópolis: Vozes, 2008. </w:t>
            </w:r>
          </w:p>
          <w:p>
            <w:pPr>
              <w:ind w:left="0" w:hanging="2"/>
              <w:jc w:val="both"/>
              <w:rPr>
                <w:rFonts w:ascii="Times New Roman" w:hAnsi="Times New Roman" w:eastAsia="Times New Roman" w:cs="Times New Roman"/>
              </w:rPr>
            </w:pP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55"/>
        <w:tblW w:w="8880" w:type="dxa"/>
        <w:tblInd w:w="22" w:type="dxa"/>
        <w:tblLayout w:type="fixed"/>
        <w:tblCellMar>
          <w:top w:w="0" w:type="dxa"/>
          <w:left w:w="22" w:type="dxa"/>
          <w:bottom w:w="0" w:type="dxa"/>
          <w:right w:w="22" w:type="dxa"/>
        </w:tblCellMar>
      </w:tblPr>
      <w:tblGrid>
        <w:gridCol w:w="3008"/>
        <w:gridCol w:w="3121"/>
        <w:gridCol w:w="2751"/>
      </w:tblGrid>
      <w:tr>
        <w:tblPrEx>
          <w:tblCellMar>
            <w:top w:w="0" w:type="dxa"/>
            <w:left w:w="22" w:type="dxa"/>
            <w:bottom w:w="0" w:type="dxa"/>
            <w:right w:w="22" w:type="dxa"/>
          </w:tblCellMar>
        </w:tblPrEx>
        <w:trPr>
          <w:trHeight w:val="1877" w:hRule="atLeast"/>
        </w:trPr>
        <w:tc>
          <w:tcPr>
            <w:tcW w:w="6129"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Filosofia das Ciências: Século XX</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Philosophy of Sciences: XX Century</w:t>
            </w:r>
          </w:p>
        </w:tc>
        <w:tc>
          <w:tcPr>
            <w:tcW w:w="2751"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FIL643</w:t>
            </w:r>
          </w:p>
        </w:tc>
      </w:tr>
      <w:tr>
        <w:tblPrEx>
          <w:tblCellMar>
            <w:top w:w="0" w:type="dxa"/>
            <w:left w:w="22" w:type="dxa"/>
            <w:bottom w:w="0" w:type="dxa"/>
            <w:right w:w="22" w:type="dxa"/>
          </w:tblCellMar>
        </w:tblPrEx>
        <w:trPr>
          <w:trHeight w:val="825" w:hRule="atLeast"/>
        </w:trPr>
        <w:tc>
          <w:tcPr>
            <w:tcW w:w="6129"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Filosofia - DEFIL</w:t>
            </w:r>
          </w:p>
        </w:tc>
        <w:tc>
          <w:tcPr>
            <w:tcW w:w="2751"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3" w:hRule="atLeast"/>
        </w:trPr>
        <w:tc>
          <w:tcPr>
            <w:tcW w:w="3008"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6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semestral </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60 horas</w:t>
            </w:r>
          </w:p>
        </w:tc>
        <w:tc>
          <w:tcPr>
            <w:tcW w:w="3121"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03 horas/aula</w:t>
            </w:r>
          </w:p>
        </w:tc>
        <w:tc>
          <w:tcPr>
            <w:tcW w:w="2751"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01 horas/aula</w:t>
            </w:r>
          </w:p>
        </w:tc>
      </w:tr>
      <w:tr>
        <w:tblPrEx>
          <w:tblCellMar>
            <w:top w:w="0" w:type="dxa"/>
            <w:left w:w="22" w:type="dxa"/>
            <w:bottom w:w="0" w:type="dxa"/>
            <w:right w:w="22" w:type="dxa"/>
          </w:tblCellMar>
        </w:tblPrEx>
        <w:trPr>
          <w:trHeight w:val="2941" w:hRule="atLeast"/>
        </w:trPr>
        <w:tc>
          <w:tcPr>
            <w:tcW w:w="8880"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O curso consiste numa apresentação da Ciência Moderna a partir de pontos de vista ou perspectivas de acesso provenientes da Filosofia. Seu eixo teórico é o debate sobre o que é, afinal, o conhecimento científico. Em vista disso, dois objetivos são contemplados. Primeiro: buscar uma definição para a atividade científica que seja filosoficamente suficiente—e, caso não a obtenhamos, esclarecer porque isso não foi possível. Segundo: estimular o exercício de uma atitude crítica em relação à hegemonia cultural da ciência.</w:t>
            </w:r>
          </w:p>
        </w:tc>
      </w:tr>
      <w:tr>
        <w:tblPrEx>
          <w:tblCellMar>
            <w:top w:w="0" w:type="dxa"/>
            <w:left w:w="22" w:type="dxa"/>
            <w:bottom w:w="0" w:type="dxa"/>
            <w:right w:w="22" w:type="dxa"/>
          </w:tblCellMar>
        </w:tblPrEx>
        <w:trPr>
          <w:trHeight w:val="1789" w:hRule="atLeast"/>
        </w:trPr>
        <w:tc>
          <w:tcPr>
            <w:tcW w:w="8880"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rPr>
            </w:pPr>
            <w:r>
              <w:rPr>
                <w:rFonts w:ascii="Times New Roman" w:hAnsi="Times New Roman" w:eastAsia="Times New Roman" w:cs="Times New Roman"/>
              </w:rPr>
              <w:t>I. Preâmbulo: Notícia histórica sobre o nascimento da Ciência Moderna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rPr>
            </w:pPr>
            <w:r>
              <w:rPr>
                <w:rFonts w:ascii="Times New Roman" w:hAnsi="Times New Roman" w:eastAsia="Times New Roman" w:cs="Times New Roman"/>
              </w:rPr>
              <w:t>II. O conhecimento científico como resultado da interação entre teoria e experimentação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rPr>
            </w:pPr>
            <w:r>
              <w:rPr>
                <w:rFonts w:ascii="Times New Roman" w:hAnsi="Times New Roman" w:eastAsia="Times New Roman" w:cs="Times New Roman"/>
              </w:rPr>
              <w:t xml:space="preserve">1. Em torno do problema da indução: um estatuto para a objetividade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rPr>
            </w:pPr>
            <w:r>
              <w:rPr>
                <w:rFonts w:ascii="Times New Roman" w:hAnsi="Times New Roman" w:eastAsia="Times New Roman" w:cs="Times New Roman"/>
              </w:rPr>
              <w:t>2. Duas concepções a propósito da cientificidade da ciência: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rPr>
            </w:pPr>
            <w:r>
              <w:rPr>
                <w:rFonts w:ascii="Times New Roman" w:hAnsi="Times New Roman" w:eastAsia="Times New Roman" w:cs="Times New Roman"/>
              </w:rPr>
              <w:t>3. Karl Popper e o racionalismo crítico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rPr>
            </w:pPr>
            <w:r>
              <w:rPr>
                <w:rFonts w:ascii="Times New Roman" w:hAnsi="Times New Roman" w:eastAsia="Times New Roman" w:cs="Times New Roman"/>
              </w:rPr>
              <w:t>4. Thomas Kuhn, paradigmas e revoluções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rPr>
            </w:pP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rPr>
            </w:pPr>
            <w:r>
              <w:rPr>
                <w:rFonts w:ascii="Times New Roman" w:hAnsi="Times New Roman" w:eastAsia="Times New Roman" w:cs="Times New Roman"/>
              </w:rPr>
              <w:t xml:space="preserve">III. Conhecimento científico, valores e sociedade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rPr>
            </w:pPr>
            <w:r>
              <w:rPr>
                <w:rFonts w:ascii="Times New Roman" w:hAnsi="Times New Roman" w:eastAsia="Times New Roman" w:cs="Times New Roman"/>
              </w:rPr>
              <w:t xml:space="preserve"> 1. Anarquismo e humanitarismo: Feyerabend e a ciência.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rPr>
            </w:pPr>
            <w:r>
              <w:rPr>
                <w:rFonts w:ascii="Times New Roman" w:hAnsi="Times New Roman" w:eastAsia="Times New Roman" w:cs="Times New Roman"/>
              </w:rPr>
              <w:t xml:space="preserve"> 2.Epistemologia e hermenêutica: Rorty e a ciência.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rPr>
            </w:pPr>
          </w:p>
        </w:tc>
      </w:tr>
      <w:tr>
        <w:tblPrEx>
          <w:tblCellMar>
            <w:top w:w="0" w:type="dxa"/>
            <w:left w:w="22" w:type="dxa"/>
            <w:bottom w:w="0" w:type="dxa"/>
            <w:right w:w="22" w:type="dxa"/>
          </w:tblCellMar>
        </w:tblPrEx>
        <w:trPr>
          <w:trHeight w:val="549" w:hRule="atLeast"/>
        </w:trPr>
        <w:tc>
          <w:tcPr>
            <w:tcW w:w="8880"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ind w:left="0" w:hanging="2"/>
              <w:rPr>
                <w:rFonts w:ascii="Times New Roman" w:hAnsi="Times New Roman" w:eastAsia="Times New Roman" w:cs="Times New Roman"/>
              </w:rPr>
            </w:pPr>
            <w:r>
              <w:rPr>
                <w:rFonts w:ascii="Times New Roman" w:hAnsi="Times New Roman" w:eastAsia="Times New Roman" w:cs="Times New Roman"/>
                <w:color w:val="000000"/>
              </w:rPr>
              <w:t>Feyerabend, Paul K. </w:t>
            </w:r>
            <w:r>
              <w:rPr>
                <w:rFonts w:ascii="Times New Roman" w:hAnsi="Times New Roman" w:eastAsia="Times New Roman" w:cs="Times New Roman"/>
                <w:b/>
                <w:color w:val="000000"/>
              </w:rPr>
              <w:t>Contra o método.</w:t>
            </w:r>
            <w:r>
              <w:rPr>
                <w:rFonts w:ascii="Times New Roman" w:hAnsi="Times New Roman" w:eastAsia="Times New Roman" w:cs="Times New Roman"/>
                <w:color w:val="000000"/>
              </w:rPr>
              <w:t>: </w:t>
            </w:r>
            <w:r>
              <w:rPr>
                <w:rFonts w:ascii="Times New Roman" w:hAnsi="Times New Roman" w:eastAsia="Times New Roman" w:cs="Times New Roman"/>
                <w:i/>
                <w:color w:val="000000"/>
              </w:rPr>
              <w:t>Tradução Cezar Augusto Mortari</w:t>
            </w:r>
            <w:r>
              <w:rPr>
                <w:rFonts w:ascii="Times New Roman" w:hAnsi="Times New Roman" w:eastAsia="Times New Roman" w:cs="Times New Roman"/>
                <w:color w:val="000000"/>
              </w:rPr>
              <w:t>. 2. ed.São Paulo (SP): Editora UNESP, 2011.</w:t>
            </w:r>
          </w:p>
          <w:p>
            <w:pPr>
              <w:ind w:left="0" w:hanging="2"/>
              <w:rPr>
                <w:rFonts w:ascii="Times New Roman" w:hAnsi="Times New Roman" w:eastAsia="Times New Roman" w:cs="Times New Roman"/>
              </w:rPr>
            </w:pPr>
            <w:r>
              <w:rPr>
                <w:rFonts w:ascii="Times New Roman" w:hAnsi="Times New Roman" w:eastAsia="Times New Roman" w:cs="Times New Roman"/>
                <w:color w:val="000000"/>
              </w:rPr>
              <w:t>Popper, Karl R.. </w:t>
            </w:r>
            <w:r>
              <w:rPr>
                <w:rFonts w:ascii="Times New Roman" w:hAnsi="Times New Roman" w:eastAsia="Times New Roman" w:cs="Times New Roman"/>
                <w:b/>
                <w:color w:val="000000"/>
              </w:rPr>
              <w:t xml:space="preserve">A lógica da pesquisa </w:t>
            </w:r>
            <w:r>
              <w:rPr>
                <w:rFonts w:ascii="Times New Roman" w:hAnsi="Times New Roman" w:eastAsia="Times New Roman" w:cs="Times New Roman"/>
                <w:b/>
              </w:rPr>
              <w:t>científica.</w:t>
            </w:r>
            <w:r>
              <w:rPr>
                <w:rFonts w:ascii="Times New Roman" w:hAnsi="Times New Roman" w:eastAsia="Times New Roman" w:cs="Times New Roman"/>
                <w:color w:val="000000"/>
              </w:rPr>
              <w:t xml:space="preserve"> São Paulo: Cultrix, c1972.</w:t>
            </w:r>
          </w:p>
          <w:p>
            <w:pPr>
              <w:ind w:left="0" w:hanging="2"/>
              <w:rPr>
                <w:rFonts w:ascii="Times New Roman" w:hAnsi="Times New Roman" w:eastAsia="Times New Roman" w:cs="Times New Roman"/>
              </w:rPr>
            </w:pPr>
            <w:r>
              <w:rPr>
                <w:rFonts w:ascii="Times New Roman" w:hAnsi="Times New Roman" w:eastAsia="Times New Roman" w:cs="Times New Roman"/>
                <w:color w:val="000000"/>
              </w:rPr>
              <w:t>Kuhn, Thomas S. </w:t>
            </w:r>
            <w:r>
              <w:rPr>
                <w:rFonts w:ascii="Times New Roman" w:hAnsi="Times New Roman" w:eastAsia="Times New Roman" w:cs="Times New Roman"/>
                <w:b/>
                <w:color w:val="000000"/>
              </w:rPr>
              <w:t>A estrutura das revoluções científicas</w:t>
            </w:r>
            <w:r>
              <w:rPr>
                <w:rFonts w:ascii="Times New Roman" w:hAnsi="Times New Roman" w:eastAsia="Times New Roman" w:cs="Times New Roman"/>
                <w:color w:val="000000"/>
              </w:rPr>
              <w:t>. 9ª. ed.São Paulo : Perspectiva, 2005. </w:t>
            </w:r>
          </w:p>
          <w:p>
            <w:pPr>
              <w:ind w:left="0" w:hanging="2"/>
              <w:rPr>
                <w:rFonts w:ascii="Times New Roman" w:hAnsi="Times New Roman" w:eastAsia="Times New Roman" w:cs="Times New Roman"/>
              </w:rPr>
            </w:pPr>
            <w:r>
              <w:rPr>
                <w:rFonts w:ascii="Times New Roman" w:hAnsi="Times New Roman" w:eastAsia="Times New Roman" w:cs="Times New Roman"/>
                <w:color w:val="000000"/>
              </w:rPr>
              <w:t>Kuhn, Thomas S. </w:t>
            </w:r>
            <w:r>
              <w:rPr>
                <w:rFonts w:ascii="Times New Roman" w:hAnsi="Times New Roman" w:eastAsia="Times New Roman" w:cs="Times New Roman"/>
                <w:b/>
                <w:color w:val="000000"/>
              </w:rPr>
              <w:t>A estrutura das revoluções científicas </w:t>
            </w:r>
            <w:r>
              <w:rPr>
                <w:rFonts w:ascii="Times New Roman" w:hAnsi="Times New Roman" w:eastAsia="Times New Roman" w:cs="Times New Roman"/>
                <w:color w:val="000000"/>
              </w:rPr>
              <w:t xml:space="preserve"> 2ª. ed. São Paulo :Perspectiva, 1978. </w:t>
            </w:r>
          </w:p>
          <w:p>
            <w:pPr>
              <w:ind w:left="0" w:hanging="2"/>
              <w:rPr>
                <w:rFonts w:ascii="Times New Roman" w:hAnsi="Times New Roman" w:eastAsia="Times New Roman" w:cs="Times New Roman"/>
              </w:rPr>
            </w:pPr>
            <w:r>
              <w:rPr>
                <w:rFonts w:ascii="Times New Roman" w:hAnsi="Times New Roman" w:eastAsia="Times New Roman" w:cs="Times New Roman"/>
                <w:color w:val="000000"/>
              </w:rPr>
              <w:t>Kuhn, Thomas S. </w:t>
            </w:r>
            <w:r>
              <w:rPr>
                <w:rFonts w:ascii="Times New Roman" w:hAnsi="Times New Roman" w:eastAsia="Times New Roman" w:cs="Times New Roman"/>
                <w:b/>
                <w:color w:val="000000"/>
              </w:rPr>
              <w:t>A estrutura das revoluções científicas</w:t>
            </w:r>
            <w:r>
              <w:rPr>
                <w:rFonts w:ascii="Times New Roman" w:hAnsi="Times New Roman" w:eastAsia="Times New Roman" w:cs="Times New Roman"/>
                <w:color w:val="000000"/>
              </w:rPr>
              <w:t>. 3ª. ed. São Paulo :Perspectiva, 1994. </w:t>
            </w:r>
          </w:p>
        </w:tc>
      </w:tr>
      <w:tr>
        <w:tblPrEx>
          <w:tblCellMar>
            <w:top w:w="0" w:type="dxa"/>
            <w:left w:w="22" w:type="dxa"/>
            <w:bottom w:w="0" w:type="dxa"/>
            <w:right w:w="22" w:type="dxa"/>
          </w:tblCellMar>
        </w:tblPrEx>
        <w:trPr>
          <w:trHeight w:val="1894" w:hRule="atLeast"/>
        </w:trPr>
        <w:tc>
          <w:tcPr>
            <w:tcW w:w="8880"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ind w:left="0" w:hanging="2"/>
              <w:jc w:val="both"/>
              <w:rPr>
                <w:rFonts w:ascii="Times New Roman" w:hAnsi="Times New Roman" w:eastAsia="Times New Roman" w:cs="Times New Roman"/>
              </w:rPr>
            </w:pPr>
            <w:r>
              <w:rPr>
                <w:rFonts w:ascii="Times New Roman" w:hAnsi="Times New Roman" w:eastAsia="Times New Roman" w:cs="Times New Roman"/>
                <w:color w:val="000000"/>
              </w:rPr>
              <w:t>Hacking, Ian </w:t>
            </w:r>
            <w:r>
              <w:rPr>
                <w:rFonts w:ascii="Times New Roman" w:hAnsi="Times New Roman" w:eastAsia="Times New Roman" w:cs="Times New Roman"/>
                <w:b/>
                <w:color w:val="000000"/>
              </w:rPr>
              <w:t>Representar e intervir</w:t>
            </w:r>
            <w:r>
              <w:rPr>
                <w:rFonts w:ascii="Times New Roman" w:hAnsi="Times New Roman" w:eastAsia="Times New Roman" w:cs="Times New Roman"/>
                <w:color w:val="000000"/>
              </w:rPr>
              <w:t>: </w:t>
            </w:r>
            <w:r>
              <w:rPr>
                <w:rFonts w:ascii="Times New Roman" w:hAnsi="Times New Roman" w:eastAsia="Times New Roman" w:cs="Times New Roman"/>
                <w:i/>
                <w:color w:val="000000"/>
              </w:rPr>
              <w:t>tópicos introdutórios de filosofia da ciência natural. Tradução Pedro Rocha de Oliveira</w:t>
            </w:r>
            <w:r>
              <w:rPr>
                <w:rFonts w:ascii="Times New Roman" w:hAnsi="Times New Roman" w:eastAsia="Times New Roman" w:cs="Times New Roman"/>
                <w:color w:val="000000"/>
              </w:rPr>
              <w:t>. Rio de Janeiro (RJ): EdUERJ, 2012.</w:t>
            </w:r>
          </w:p>
          <w:p>
            <w:pPr>
              <w:ind w:left="0" w:hanging="2"/>
              <w:jc w:val="both"/>
              <w:rPr>
                <w:rFonts w:ascii="Times New Roman" w:hAnsi="Times New Roman" w:eastAsia="Times New Roman" w:cs="Times New Roman"/>
              </w:rPr>
            </w:pPr>
            <w:r>
              <w:rPr>
                <w:rFonts w:ascii="Times New Roman" w:hAnsi="Times New Roman" w:eastAsia="Times New Roman" w:cs="Times New Roman"/>
                <w:color w:val="000000"/>
              </w:rPr>
              <w:t>Koyre, Alexandre. </w:t>
            </w:r>
            <w:r>
              <w:rPr>
                <w:rFonts w:ascii="Times New Roman" w:hAnsi="Times New Roman" w:eastAsia="Times New Roman" w:cs="Times New Roman"/>
                <w:b/>
                <w:color w:val="000000"/>
              </w:rPr>
              <w:t>Estudos de história do pensamento científico</w:t>
            </w:r>
            <w:r>
              <w:rPr>
                <w:rFonts w:ascii="Times New Roman" w:hAnsi="Times New Roman" w:eastAsia="Times New Roman" w:cs="Times New Roman"/>
                <w:color w:val="000000"/>
              </w:rPr>
              <w:t>. 2ª. rev. ed. Rio de Janeiro: Forense Universitária, 1991. </w:t>
            </w:r>
          </w:p>
          <w:p>
            <w:pPr>
              <w:ind w:left="0" w:hanging="2"/>
              <w:jc w:val="both"/>
              <w:rPr>
                <w:rFonts w:ascii="Times New Roman" w:hAnsi="Times New Roman" w:eastAsia="Times New Roman" w:cs="Times New Roman"/>
              </w:rPr>
            </w:pPr>
            <w:r>
              <w:rPr>
                <w:rFonts w:ascii="Times New Roman" w:hAnsi="Times New Roman" w:eastAsia="Times New Roman" w:cs="Times New Roman"/>
                <w:color w:val="000000"/>
              </w:rPr>
              <w:t>Van Fraassen, Bas C. </w:t>
            </w:r>
            <w:r>
              <w:rPr>
                <w:rFonts w:ascii="Times New Roman" w:hAnsi="Times New Roman" w:eastAsia="Times New Roman" w:cs="Times New Roman"/>
                <w:b/>
                <w:color w:val="000000"/>
              </w:rPr>
              <w:t>A imagem científica</w:t>
            </w:r>
            <w:r>
              <w:rPr>
                <w:rFonts w:ascii="Times New Roman" w:hAnsi="Times New Roman" w:eastAsia="Times New Roman" w:cs="Times New Roman"/>
                <w:color w:val="000000"/>
              </w:rPr>
              <w:t>. São Paulo: UNESP, [2007].</w:t>
            </w:r>
          </w:p>
          <w:p>
            <w:pPr>
              <w:ind w:left="0" w:hanging="2"/>
              <w:jc w:val="both"/>
              <w:rPr>
                <w:rFonts w:ascii="Times New Roman" w:hAnsi="Times New Roman" w:eastAsia="Times New Roman" w:cs="Times New Roman"/>
              </w:rPr>
            </w:pPr>
            <w:r>
              <w:rPr>
                <w:rFonts w:ascii="Times New Roman" w:hAnsi="Times New Roman" w:eastAsia="Times New Roman" w:cs="Times New Roman"/>
                <w:color w:val="000000"/>
              </w:rPr>
              <w:t>Sasaki, Chikara. </w:t>
            </w:r>
            <w:r>
              <w:rPr>
                <w:rFonts w:ascii="Times New Roman" w:hAnsi="Times New Roman" w:eastAsia="Times New Roman" w:cs="Times New Roman"/>
                <w:b/>
                <w:color w:val="000000"/>
              </w:rPr>
              <w:t>Introdução à teoria da ciência</w:t>
            </w:r>
            <w:r>
              <w:rPr>
                <w:rFonts w:ascii="Times New Roman" w:hAnsi="Times New Roman" w:eastAsia="Times New Roman" w:cs="Times New Roman"/>
                <w:color w:val="000000"/>
              </w:rPr>
              <w:t>. São Paulo: Edusp, 2010. </w:t>
            </w:r>
          </w:p>
          <w:p>
            <w:pPr>
              <w:ind w:left="0" w:hanging="2"/>
              <w:jc w:val="both"/>
              <w:rPr>
                <w:rFonts w:ascii="Times New Roman" w:hAnsi="Times New Roman" w:eastAsia="Times New Roman" w:cs="Times New Roman"/>
              </w:rPr>
            </w:pPr>
            <w:r>
              <w:rPr>
                <w:rFonts w:ascii="Times New Roman" w:hAnsi="Times New Roman" w:eastAsia="Times New Roman" w:cs="Times New Roman"/>
                <w:color w:val="000000"/>
              </w:rPr>
              <w:t>Chalmers, A. F. </w:t>
            </w:r>
            <w:r>
              <w:rPr>
                <w:rFonts w:ascii="Times New Roman" w:hAnsi="Times New Roman" w:eastAsia="Times New Roman" w:cs="Times New Roman"/>
                <w:b/>
                <w:color w:val="000000"/>
              </w:rPr>
              <w:t>O que é ciência, afinal?</w:t>
            </w:r>
            <w:r>
              <w:rPr>
                <w:rFonts w:ascii="Times New Roman" w:hAnsi="Times New Roman" w:eastAsia="Times New Roman" w:cs="Times New Roman"/>
                <w:color w:val="000000"/>
              </w:rPr>
              <w:t xml:space="preserve"> São Paulo: Brasiliense, 1995.</w:t>
            </w:r>
          </w:p>
          <w:p>
            <w:pPr>
              <w:ind w:left="0" w:hanging="2"/>
              <w:jc w:val="both"/>
              <w:rPr>
                <w:rFonts w:ascii="Times New Roman" w:hAnsi="Times New Roman" w:eastAsia="Times New Roman" w:cs="Times New Roman"/>
              </w:rPr>
            </w:pPr>
            <w:r>
              <w:rPr>
                <w:rFonts w:ascii="Times New Roman" w:hAnsi="Times New Roman" w:eastAsia="Times New Roman" w:cs="Times New Roman"/>
                <w:color w:val="000000"/>
              </w:rPr>
              <w:t>Koyre, Alexandre. </w:t>
            </w:r>
            <w:r>
              <w:rPr>
                <w:rFonts w:ascii="Times New Roman" w:hAnsi="Times New Roman" w:eastAsia="Times New Roman" w:cs="Times New Roman"/>
                <w:b/>
                <w:color w:val="000000"/>
              </w:rPr>
              <w:t>Estudos de história do pensamento científico</w:t>
            </w:r>
            <w:r>
              <w:rPr>
                <w:rFonts w:ascii="Times New Roman" w:hAnsi="Times New Roman" w:eastAsia="Times New Roman" w:cs="Times New Roman"/>
                <w:color w:val="000000"/>
              </w:rPr>
              <w:t>. Rio de Janeiro: Forense Universitária.</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56"/>
        <w:tblW w:w="8738" w:type="dxa"/>
        <w:tblInd w:w="22" w:type="dxa"/>
        <w:tblLayout w:type="fixed"/>
        <w:tblCellMar>
          <w:top w:w="0" w:type="dxa"/>
          <w:left w:w="22" w:type="dxa"/>
          <w:bottom w:w="0" w:type="dxa"/>
          <w:right w:w="22" w:type="dxa"/>
        </w:tblCellMar>
      </w:tblPr>
      <w:tblGrid>
        <w:gridCol w:w="3009"/>
        <w:gridCol w:w="3119"/>
        <w:gridCol w:w="2610"/>
      </w:tblGrid>
      <w:tr>
        <w:tblPrEx>
          <w:tblCellMar>
            <w:top w:w="0" w:type="dxa"/>
            <w:left w:w="22" w:type="dxa"/>
            <w:bottom w:w="0" w:type="dxa"/>
            <w:right w:w="22" w:type="dxa"/>
          </w:tblCellMar>
        </w:tblPrEx>
        <w:trPr>
          <w:trHeight w:val="1877" w:hRule="atLeast"/>
        </w:trPr>
        <w:tc>
          <w:tcPr>
            <w:tcW w:w="6128"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História da Filosofia V: Filosofia Moderna II</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History of Philosophy V: Modern Philosophy II</w:t>
            </w:r>
          </w:p>
        </w:tc>
        <w:tc>
          <w:tcPr>
            <w:tcW w:w="2610"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FIL651</w:t>
            </w:r>
          </w:p>
        </w:tc>
      </w:tr>
      <w:tr>
        <w:tblPrEx>
          <w:tblCellMar>
            <w:top w:w="0" w:type="dxa"/>
            <w:left w:w="22" w:type="dxa"/>
            <w:bottom w:w="0" w:type="dxa"/>
            <w:right w:w="22" w:type="dxa"/>
          </w:tblCellMar>
        </w:tblPrEx>
        <w:trPr>
          <w:trHeight w:val="825" w:hRule="atLeast"/>
        </w:trPr>
        <w:tc>
          <w:tcPr>
            <w:tcW w:w="6128"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Filosofia - DEFIL</w:t>
            </w:r>
          </w:p>
        </w:tc>
        <w:tc>
          <w:tcPr>
            <w:tcW w:w="2610"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3" w:hRule="atLeast"/>
        </w:trPr>
        <w:tc>
          <w:tcPr>
            <w:tcW w:w="3009"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6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semestral </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60 horas</w:t>
            </w:r>
          </w:p>
        </w:tc>
        <w:tc>
          <w:tcPr>
            <w:tcW w:w="3119"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03 horas/aula</w:t>
            </w:r>
          </w:p>
        </w:tc>
        <w:tc>
          <w:tcPr>
            <w:tcW w:w="2610"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01 horas/aula</w:t>
            </w:r>
          </w:p>
        </w:tc>
      </w:tr>
      <w:tr>
        <w:tblPrEx>
          <w:tblCellMar>
            <w:top w:w="0" w:type="dxa"/>
            <w:left w:w="22" w:type="dxa"/>
            <w:bottom w:w="0" w:type="dxa"/>
            <w:right w:w="22" w:type="dxa"/>
          </w:tblCellMar>
        </w:tblPrEx>
        <w:trPr>
          <w:trHeight w:val="2241" w:hRule="atLeast"/>
        </w:trPr>
        <w:tc>
          <w:tcPr>
            <w:tcW w:w="8738"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Esta disciplina procura expor, analisar e criticar os principais sistemas filosóficos que, a partir do início do século XIX, surgiram, seja como continuação, seja como rejeição, de aspectos importantes da filosofia kantiana, e que, sob a designação ampla de “Idealismo Alemão”, dominaram o cenário filosófico até as vésperas do século XX.</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p>
        </w:tc>
      </w:tr>
      <w:tr>
        <w:tblPrEx>
          <w:tblCellMar>
            <w:top w:w="0" w:type="dxa"/>
            <w:left w:w="22" w:type="dxa"/>
            <w:bottom w:w="0" w:type="dxa"/>
            <w:right w:w="22" w:type="dxa"/>
          </w:tblCellMar>
        </w:tblPrEx>
        <w:trPr>
          <w:trHeight w:val="1873" w:hRule="atLeast"/>
        </w:trPr>
        <w:tc>
          <w:tcPr>
            <w:tcW w:w="8738"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numPr>
                <w:ilvl w:val="0"/>
                <w:numId w:val="125"/>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Fiche </w:t>
            </w:r>
          </w:p>
          <w:p>
            <w:pPr>
              <w:widowControl w:val="0"/>
              <w:numPr>
                <w:ilvl w:val="0"/>
                <w:numId w:val="125"/>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Schelling </w:t>
            </w:r>
          </w:p>
          <w:p>
            <w:pPr>
              <w:widowControl w:val="0"/>
              <w:numPr>
                <w:ilvl w:val="0"/>
                <w:numId w:val="125"/>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Hegel </w:t>
            </w:r>
          </w:p>
        </w:tc>
      </w:tr>
      <w:tr>
        <w:tblPrEx>
          <w:tblCellMar>
            <w:top w:w="0" w:type="dxa"/>
            <w:left w:w="22" w:type="dxa"/>
            <w:bottom w:w="0" w:type="dxa"/>
            <w:right w:w="22" w:type="dxa"/>
          </w:tblCellMar>
        </w:tblPrEx>
        <w:trPr>
          <w:trHeight w:val="1894" w:hRule="atLeast"/>
        </w:trPr>
        <w:tc>
          <w:tcPr>
            <w:tcW w:w="8738"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ind w:left="0" w:hanging="2"/>
              <w:rPr>
                <w:rFonts w:ascii="Times New Roman" w:hAnsi="Times New Roman" w:cs="Times New Roman"/>
              </w:rPr>
            </w:pPr>
            <w:r>
              <w:rPr>
                <w:rFonts w:ascii="Times New Roman" w:hAnsi="Times New Roman" w:eastAsia="Times New Roman" w:cs="Times New Roman"/>
                <w:color w:val="000000"/>
              </w:rPr>
              <w:t>Fichte, Johann </w:t>
            </w:r>
            <w:r>
              <w:rPr>
                <w:rFonts w:ascii="Times New Roman" w:hAnsi="Times New Roman" w:eastAsia="Times New Roman" w:cs="Times New Roman"/>
                <w:b/>
                <w:color w:val="000000"/>
              </w:rPr>
              <w:t>A doutrina da ciência de 1794 e outros escritos</w:t>
            </w:r>
            <w:r>
              <w:rPr>
                <w:rFonts w:ascii="Times New Roman" w:hAnsi="Times New Roman" w:eastAsia="Times New Roman" w:cs="Times New Roman"/>
                <w:color w:val="000000"/>
              </w:rPr>
              <w:t>: </w:t>
            </w:r>
            <w:r>
              <w:rPr>
                <w:rFonts w:ascii="Times New Roman" w:hAnsi="Times New Roman" w:eastAsia="Times New Roman" w:cs="Times New Roman"/>
                <w:i/>
                <w:color w:val="000000"/>
              </w:rPr>
              <w:t>in: os pensadores</w:t>
            </w:r>
            <w:r>
              <w:rPr>
                <w:rFonts w:ascii="Times New Roman" w:hAnsi="Times New Roman" w:eastAsia="Times New Roman" w:cs="Times New Roman"/>
                <w:color w:val="000000"/>
              </w:rPr>
              <w:t>. São Paulo: Abril Cultural, 1979. </w:t>
            </w:r>
          </w:p>
          <w:p>
            <w:pPr>
              <w:ind w:left="0" w:hanging="2"/>
              <w:rPr>
                <w:rFonts w:ascii="Times New Roman" w:hAnsi="Times New Roman" w:cs="Times New Roman"/>
              </w:rPr>
            </w:pPr>
            <w:r>
              <w:rPr>
                <w:rFonts w:ascii="Times New Roman" w:hAnsi="Times New Roman" w:eastAsia="Times New Roman" w:cs="Times New Roman"/>
                <w:color w:val="000000"/>
              </w:rPr>
              <w:t>Kant, Immanuel </w:t>
            </w:r>
            <w:r>
              <w:rPr>
                <w:rFonts w:ascii="Times New Roman" w:hAnsi="Times New Roman" w:eastAsia="Times New Roman" w:cs="Times New Roman"/>
                <w:b/>
                <w:color w:val="000000"/>
              </w:rPr>
              <w:t>Crítica da razão pura</w:t>
            </w:r>
            <w:r>
              <w:rPr>
                <w:rFonts w:ascii="Times New Roman" w:hAnsi="Times New Roman" w:eastAsia="Times New Roman" w:cs="Times New Roman"/>
                <w:color w:val="000000"/>
              </w:rPr>
              <w:t>: </w:t>
            </w:r>
            <w:r>
              <w:rPr>
                <w:rFonts w:ascii="Times New Roman" w:hAnsi="Times New Roman" w:eastAsia="Times New Roman" w:cs="Times New Roman"/>
                <w:i/>
                <w:color w:val="000000"/>
              </w:rPr>
              <w:t>in: os pensadores</w:t>
            </w:r>
            <w:r>
              <w:rPr>
                <w:rFonts w:ascii="Times New Roman" w:hAnsi="Times New Roman" w:eastAsia="Times New Roman" w:cs="Times New Roman"/>
                <w:color w:val="000000"/>
              </w:rPr>
              <w:t>. São Paulo (SP): Abril Cultural, 1983. </w:t>
            </w:r>
          </w:p>
          <w:p>
            <w:pPr>
              <w:ind w:left="0" w:hanging="2"/>
              <w:rPr>
                <w:rFonts w:ascii="Times New Roman" w:hAnsi="Times New Roman" w:cs="Times New Roman"/>
              </w:rPr>
            </w:pPr>
            <w:r>
              <w:rPr>
                <w:rFonts w:ascii="Times New Roman" w:hAnsi="Times New Roman" w:eastAsia="Times New Roman" w:cs="Times New Roman"/>
                <w:color w:val="000000"/>
              </w:rPr>
              <w:t>Kant, Immanuel </w:t>
            </w:r>
            <w:r>
              <w:rPr>
                <w:rFonts w:ascii="Times New Roman" w:hAnsi="Times New Roman" w:eastAsia="Times New Roman" w:cs="Times New Roman"/>
                <w:b/>
                <w:color w:val="000000"/>
              </w:rPr>
              <w:t>Fundamentação da metafísica dos costumes</w:t>
            </w:r>
            <w:r>
              <w:rPr>
                <w:rFonts w:ascii="Times New Roman" w:hAnsi="Times New Roman" w:eastAsia="Times New Roman" w:cs="Times New Roman"/>
                <w:color w:val="000000"/>
              </w:rPr>
              <w:t>: </w:t>
            </w:r>
            <w:r>
              <w:rPr>
                <w:rFonts w:ascii="Times New Roman" w:hAnsi="Times New Roman" w:eastAsia="Times New Roman" w:cs="Times New Roman"/>
                <w:i/>
                <w:color w:val="000000"/>
              </w:rPr>
              <w:t>in: os pensadores / tradução de Paulo Quintela</w:t>
            </w:r>
            <w:r>
              <w:rPr>
                <w:rFonts w:ascii="Times New Roman" w:hAnsi="Times New Roman" w:eastAsia="Times New Roman" w:cs="Times New Roman"/>
                <w:color w:val="000000"/>
              </w:rPr>
              <w:t>. São Paulo (SP). </w:t>
            </w:r>
          </w:p>
          <w:p>
            <w:pPr>
              <w:ind w:left="0" w:hanging="2"/>
              <w:rPr>
                <w:rFonts w:ascii="Times New Roman" w:hAnsi="Times New Roman" w:cs="Times New Roman"/>
              </w:rPr>
            </w:pPr>
            <w:r>
              <w:rPr>
                <w:rFonts w:ascii="Times New Roman" w:hAnsi="Times New Roman" w:eastAsia="Times New Roman" w:cs="Times New Roman"/>
                <w:color w:val="000000"/>
              </w:rPr>
              <w:t>Kant, Immanuel. </w:t>
            </w:r>
            <w:r>
              <w:rPr>
                <w:rFonts w:ascii="Times New Roman" w:hAnsi="Times New Roman" w:eastAsia="Times New Roman" w:cs="Times New Roman"/>
                <w:b/>
                <w:color w:val="000000"/>
              </w:rPr>
              <w:t>Crítica da faculdade do juízo</w:t>
            </w:r>
            <w:r>
              <w:rPr>
                <w:rFonts w:ascii="Times New Roman" w:hAnsi="Times New Roman" w:eastAsia="Times New Roman" w:cs="Times New Roman"/>
                <w:color w:val="000000"/>
              </w:rPr>
              <w:t>. 2ª. ed. Rio de Janeiro : Forense Universitária, 1995. </w:t>
            </w:r>
          </w:p>
          <w:p>
            <w:pPr>
              <w:ind w:left="0" w:hanging="2"/>
              <w:rPr>
                <w:rFonts w:ascii="Times New Roman" w:hAnsi="Times New Roman" w:cs="Times New Roman"/>
              </w:rPr>
            </w:pPr>
            <w:r>
              <w:rPr>
                <w:rFonts w:ascii="Times New Roman" w:hAnsi="Times New Roman" w:eastAsia="Times New Roman" w:cs="Times New Roman"/>
                <w:color w:val="000000"/>
              </w:rPr>
              <w:t>Hegel, Georg Wilhelm Friedrich. </w:t>
            </w:r>
            <w:r>
              <w:rPr>
                <w:rFonts w:ascii="Times New Roman" w:hAnsi="Times New Roman" w:eastAsia="Times New Roman" w:cs="Times New Roman"/>
                <w:b/>
                <w:color w:val="000000"/>
              </w:rPr>
              <w:t>Fenomenologia do espírito </w:t>
            </w:r>
            <w:r>
              <w:rPr>
                <w:rFonts w:ascii="Times New Roman" w:hAnsi="Times New Roman" w:eastAsia="Times New Roman" w:cs="Times New Roman"/>
                <w:color w:val="000000"/>
              </w:rPr>
              <w:t>. 3ª ed. Petrópolis : Vozes, 1997.</w:t>
            </w:r>
          </w:p>
          <w:p>
            <w:pPr>
              <w:ind w:left="0" w:hanging="2"/>
              <w:rPr>
                <w:rFonts w:ascii="Times New Roman" w:hAnsi="Times New Roman" w:cs="Times New Roman"/>
              </w:rPr>
            </w:pPr>
            <w:r>
              <w:rPr>
                <w:rFonts w:ascii="Times New Roman" w:hAnsi="Times New Roman" w:eastAsia="Times New Roman" w:cs="Times New Roman"/>
                <w:color w:val="000000"/>
              </w:rPr>
              <w:t>Hegel, Georg Wilhelm Friedrich. </w:t>
            </w:r>
            <w:r>
              <w:rPr>
                <w:rFonts w:ascii="Times New Roman" w:hAnsi="Times New Roman" w:eastAsia="Times New Roman" w:cs="Times New Roman"/>
                <w:b/>
                <w:color w:val="000000"/>
              </w:rPr>
              <w:t>Fenomenologia do espírito </w:t>
            </w:r>
            <w:r>
              <w:rPr>
                <w:rFonts w:ascii="Times New Roman" w:hAnsi="Times New Roman" w:eastAsia="Times New Roman" w:cs="Times New Roman"/>
                <w:color w:val="000000"/>
              </w:rPr>
              <w:t>. 5ª.ed. Petrópolis : Vozes.</w:t>
            </w:r>
          </w:p>
          <w:p>
            <w:pPr>
              <w:ind w:left="0" w:hanging="2"/>
              <w:rPr>
                <w:rFonts w:ascii="Times New Roman" w:hAnsi="Times New Roman" w:cs="Times New Roman"/>
              </w:rPr>
            </w:pPr>
            <w:r>
              <w:rPr>
                <w:rFonts w:ascii="Times New Roman" w:hAnsi="Times New Roman" w:eastAsia="Times New Roman" w:cs="Times New Roman"/>
                <w:color w:val="000000"/>
              </w:rPr>
              <w:t>Hegel, Georg Wilhelm Friedrich. </w:t>
            </w:r>
            <w:r>
              <w:rPr>
                <w:rFonts w:ascii="Times New Roman" w:hAnsi="Times New Roman" w:eastAsia="Times New Roman" w:cs="Times New Roman"/>
                <w:b/>
                <w:color w:val="000000"/>
              </w:rPr>
              <w:t>Fenomenologia do espírito</w:t>
            </w:r>
            <w:r>
              <w:rPr>
                <w:rFonts w:ascii="Times New Roman" w:hAnsi="Times New Roman" w:eastAsia="Times New Roman" w:cs="Times New Roman"/>
                <w:color w:val="000000"/>
              </w:rPr>
              <w:t>. 3ª. ed. Petropolis, RJ: Vozes, 1997. </w:t>
            </w:r>
          </w:p>
          <w:p>
            <w:pPr>
              <w:ind w:left="0" w:hanging="2"/>
              <w:rPr>
                <w:rFonts w:ascii="Times New Roman" w:hAnsi="Times New Roman" w:cs="Times New Roman"/>
              </w:rPr>
            </w:pPr>
            <w:r>
              <w:rPr>
                <w:rFonts w:ascii="Times New Roman" w:hAnsi="Times New Roman" w:eastAsia="Times New Roman" w:cs="Times New Roman"/>
                <w:color w:val="000000"/>
              </w:rPr>
              <w:t>Hegel, Georg Wilhelm Friedrich. </w:t>
            </w:r>
            <w:r>
              <w:rPr>
                <w:rFonts w:ascii="Times New Roman" w:hAnsi="Times New Roman" w:eastAsia="Times New Roman" w:cs="Times New Roman"/>
                <w:b/>
                <w:color w:val="000000"/>
              </w:rPr>
              <w:t>Fenomenologia do espírito.</w:t>
            </w:r>
            <w:r>
              <w:rPr>
                <w:rFonts w:ascii="Times New Roman" w:hAnsi="Times New Roman" w:eastAsia="Times New Roman" w:cs="Times New Roman"/>
                <w:color w:val="000000"/>
              </w:rPr>
              <w:t xml:space="preserve"> 4ª. ed. Petropolis, RJ: Vozes, 1999.</w:t>
            </w:r>
          </w:p>
          <w:p>
            <w:pPr>
              <w:ind w:left="0" w:hanging="2"/>
              <w:rPr>
                <w:rFonts w:ascii="Times New Roman" w:hAnsi="Times New Roman" w:cs="Times New Roman"/>
              </w:rPr>
            </w:pPr>
            <w:r>
              <w:rPr>
                <w:rFonts w:ascii="Times New Roman" w:hAnsi="Times New Roman" w:eastAsia="Times New Roman" w:cs="Times New Roman"/>
                <w:color w:val="000000"/>
              </w:rPr>
              <w:t>Hegel, Georg Wilhelm Friedrich. </w:t>
            </w:r>
            <w:r>
              <w:rPr>
                <w:rFonts w:ascii="Times New Roman" w:hAnsi="Times New Roman" w:eastAsia="Times New Roman" w:cs="Times New Roman"/>
                <w:b/>
                <w:color w:val="000000"/>
              </w:rPr>
              <w:t>Fenomenologia do espírito</w:t>
            </w:r>
            <w:r>
              <w:rPr>
                <w:rFonts w:ascii="Times New Roman" w:hAnsi="Times New Roman" w:eastAsia="Times New Roman" w:cs="Times New Roman"/>
                <w:color w:val="000000"/>
              </w:rPr>
              <w:t>. 3ª. ed. Petropolis, RJ: Vozes, 1998. </w:t>
            </w:r>
          </w:p>
          <w:p>
            <w:pPr>
              <w:ind w:left="0" w:hanging="2"/>
              <w:rPr>
                <w:rFonts w:ascii="Times New Roman" w:hAnsi="Times New Roman" w:cs="Times New Roman"/>
              </w:rPr>
            </w:pPr>
            <w:r>
              <w:rPr>
                <w:rFonts w:ascii="Times New Roman" w:hAnsi="Times New Roman" w:eastAsia="Times New Roman" w:cs="Times New Roman"/>
                <w:color w:val="000000"/>
              </w:rPr>
              <w:t>Hegel, Georg Wilhelm Friedrich. </w:t>
            </w:r>
            <w:r>
              <w:rPr>
                <w:rFonts w:ascii="Times New Roman" w:hAnsi="Times New Roman" w:eastAsia="Times New Roman" w:cs="Times New Roman"/>
                <w:b/>
                <w:color w:val="000000"/>
              </w:rPr>
              <w:t>Fenomenologia do espírito</w:t>
            </w:r>
            <w:r>
              <w:rPr>
                <w:rFonts w:ascii="Times New Roman" w:hAnsi="Times New Roman" w:eastAsia="Times New Roman" w:cs="Times New Roman"/>
                <w:color w:val="000000"/>
              </w:rPr>
              <w:t>. 2ª. ed. Petrópolis, RJ: Vozes, 1992. </w:t>
            </w:r>
          </w:p>
          <w:p>
            <w:pPr>
              <w:ind w:left="0" w:hanging="2"/>
              <w:rPr>
                <w:rFonts w:ascii="Times New Roman" w:hAnsi="Times New Roman" w:cs="Times New Roman"/>
              </w:rPr>
            </w:pPr>
            <w:r>
              <w:rPr>
                <w:rFonts w:ascii="Times New Roman" w:hAnsi="Times New Roman" w:eastAsia="Times New Roman" w:cs="Times New Roman"/>
                <w:color w:val="000000"/>
              </w:rPr>
              <w:t>Kant, Immanuel. </w:t>
            </w:r>
            <w:r>
              <w:rPr>
                <w:rFonts w:ascii="Times New Roman" w:hAnsi="Times New Roman" w:eastAsia="Times New Roman" w:cs="Times New Roman"/>
                <w:b/>
                <w:color w:val="000000"/>
              </w:rPr>
              <w:t>Crítica da faculdade do juízo</w:t>
            </w:r>
            <w:r>
              <w:rPr>
                <w:rFonts w:ascii="Times New Roman" w:hAnsi="Times New Roman" w:eastAsia="Times New Roman" w:cs="Times New Roman"/>
                <w:color w:val="000000"/>
              </w:rPr>
              <w:t>. Rio de Janeiro: Forense, [1993].</w:t>
            </w:r>
          </w:p>
          <w:p>
            <w:pPr>
              <w:ind w:left="0" w:hanging="2"/>
              <w:rPr>
                <w:rFonts w:ascii="Times New Roman" w:hAnsi="Times New Roman" w:cs="Times New Roman"/>
              </w:rPr>
            </w:pPr>
            <w:r>
              <w:rPr>
                <w:rFonts w:ascii="Times New Roman" w:hAnsi="Times New Roman" w:eastAsia="Times New Roman" w:cs="Times New Roman"/>
                <w:color w:val="000000"/>
              </w:rPr>
              <w:t>Kant, Immanuel. </w:t>
            </w:r>
            <w:r>
              <w:rPr>
                <w:rFonts w:ascii="Times New Roman" w:hAnsi="Times New Roman" w:eastAsia="Times New Roman" w:cs="Times New Roman"/>
                <w:b/>
                <w:color w:val="000000"/>
              </w:rPr>
              <w:t>Crítica da faculdade do juízo</w:t>
            </w:r>
            <w:r>
              <w:rPr>
                <w:rFonts w:ascii="Times New Roman" w:hAnsi="Times New Roman" w:eastAsia="Times New Roman" w:cs="Times New Roman"/>
                <w:color w:val="000000"/>
              </w:rPr>
              <w:t>. 2ª. ed. Rio de Janeiro  Forense Universitária, 1995. </w:t>
            </w:r>
          </w:p>
          <w:p>
            <w:pPr>
              <w:ind w:left="0" w:hanging="2"/>
              <w:rPr>
                <w:rFonts w:ascii="Times New Roman" w:hAnsi="Times New Roman" w:eastAsia="Times New Roman" w:cs="Times New Roman"/>
              </w:rPr>
            </w:pPr>
          </w:p>
        </w:tc>
      </w:tr>
      <w:tr>
        <w:tblPrEx>
          <w:tblCellMar>
            <w:top w:w="0" w:type="dxa"/>
            <w:left w:w="22" w:type="dxa"/>
            <w:bottom w:w="0" w:type="dxa"/>
            <w:right w:w="22" w:type="dxa"/>
          </w:tblCellMar>
        </w:tblPrEx>
        <w:trPr>
          <w:trHeight w:val="1894" w:hRule="atLeast"/>
        </w:trPr>
        <w:tc>
          <w:tcPr>
            <w:tcW w:w="8738"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ind w:left="0" w:hanging="2"/>
              <w:rPr>
                <w:rFonts w:ascii="Times New Roman" w:hAnsi="Times New Roman" w:cs="Times New Roman"/>
              </w:rPr>
            </w:pPr>
            <w:r>
              <w:rPr>
                <w:rFonts w:ascii="Times New Roman" w:hAnsi="Times New Roman" w:eastAsia="Times New Roman" w:cs="Times New Roman"/>
                <w:color w:val="000000"/>
              </w:rPr>
              <w:t>Schelling, Friedrich Wilhelm Joseph von. </w:t>
            </w:r>
            <w:r>
              <w:rPr>
                <w:rFonts w:ascii="Times New Roman" w:hAnsi="Times New Roman" w:eastAsia="Times New Roman" w:cs="Times New Roman"/>
                <w:b/>
                <w:color w:val="000000"/>
              </w:rPr>
              <w:t>Obras escolhidas</w:t>
            </w:r>
            <w:r>
              <w:rPr>
                <w:rFonts w:ascii="Times New Roman" w:hAnsi="Times New Roman" w:eastAsia="Times New Roman" w:cs="Times New Roman"/>
                <w:color w:val="000000"/>
              </w:rPr>
              <w:t>. São Paulo: Abril Cultural, 1979.</w:t>
            </w:r>
          </w:p>
          <w:p>
            <w:pPr>
              <w:ind w:left="0" w:hanging="2"/>
              <w:rPr>
                <w:rFonts w:ascii="Times New Roman" w:hAnsi="Times New Roman" w:cs="Times New Roman"/>
              </w:rPr>
            </w:pPr>
            <w:r>
              <w:rPr>
                <w:rFonts w:ascii="Times New Roman" w:hAnsi="Times New Roman" w:eastAsia="Times New Roman" w:cs="Times New Roman"/>
                <w:color w:val="000000"/>
              </w:rPr>
              <w:t> Bréhier, Emile. </w:t>
            </w:r>
            <w:r>
              <w:rPr>
                <w:rFonts w:ascii="Times New Roman" w:hAnsi="Times New Roman" w:eastAsia="Times New Roman" w:cs="Times New Roman"/>
                <w:b/>
                <w:color w:val="000000"/>
              </w:rPr>
              <w:t>História da filosofia</w:t>
            </w:r>
            <w:r>
              <w:rPr>
                <w:rFonts w:ascii="Times New Roman" w:hAnsi="Times New Roman" w:eastAsia="Times New Roman" w:cs="Times New Roman"/>
                <w:color w:val="000000"/>
              </w:rPr>
              <w:t>. São Paulo: Mestre Jou, 1977-81. </w:t>
            </w:r>
          </w:p>
          <w:p>
            <w:pPr>
              <w:ind w:left="0" w:hanging="2"/>
              <w:rPr>
                <w:rFonts w:ascii="Times New Roman" w:hAnsi="Times New Roman" w:cs="Times New Roman"/>
              </w:rPr>
            </w:pPr>
            <w:r>
              <w:rPr>
                <w:rFonts w:ascii="Times New Roman" w:hAnsi="Times New Roman" w:eastAsia="Times New Roman" w:cs="Times New Roman"/>
                <w:color w:val="000000"/>
              </w:rPr>
              <w:t>Deleuze, Gilles. </w:t>
            </w:r>
            <w:r>
              <w:rPr>
                <w:rFonts w:ascii="Times New Roman" w:hAnsi="Times New Roman" w:eastAsia="Times New Roman" w:cs="Times New Roman"/>
                <w:b/>
                <w:color w:val="000000"/>
              </w:rPr>
              <w:t>Para ler Kant</w:t>
            </w:r>
            <w:r>
              <w:rPr>
                <w:rFonts w:ascii="Times New Roman" w:hAnsi="Times New Roman" w:eastAsia="Times New Roman" w:cs="Times New Roman"/>
                <w:color w:val="000000"/>
              </w:rPr>
              <w:t>. 2ª. ed. Rio de Janeiro: F. Alves, 1986. </w:t>
            </w:r>
          </w:p>
          <w:p>
            <w:pPr>
              <w:ind w:left="0" w:hanging="2"/>
              <w:rPr>
                <w:rFonts w:ascii="Times New Roman" w:hAnsi="Times New Roman" w:cs="Times New Roman"/>
              </w:rPr>
            </w:pPr>
            <w:r>
              <w:rPr>
                <w:rFonts w:ascii="Times New Roman" w:hAnsi="Times New Roman" w:eastAsia="Times New Roman" w:cs="Times New Roman"/>
                <w:color w:val="000000"/>
              </w:rPr>
              <w:t>Deleuze, Gilles. </w:t>
            </w:r>
            <w:r>
              <w:rPr>
                <w:rFonts w:ascii="Times New Roman" w:hAnsi="Times New Roman" w:eastAsia="Times New Roman" w:cs="Times New Roman"/>
                <w:b/>
                <w:color w:val="000000"/>
              </w:rPr>
              <w:t>Para ler Kant</w:t>
            </w:r>
            <w:r>
              <w:rPr>
                <w:rFonts w:ascii="Times New Roman" w:hAnsi="Times New Roman" w:eastAsia="Times New Roman" w:cs="Times New Roman"/>
                <w:color w:val="000000"/>
              </w:rPr>
              <w:t>. Rio de Janeiro: F. Alves, 1976. </w:t>
            </w:r>
          </w:p>
          <w:p>
            <w:pPr>
              <w:ind w:left="0" w:hanging="2"/>
              <w:rPr>
                <w:rFonts w:ascii="Times New Roman" w:hAnsi="Times New Roman" w:cs="Times New Roman"/>
              </w:rPr>
            </w:pPr>
            <w:r>
              <w:rPr>
                <w:rFonts w:ascii="Times New Roman" w:hAnsi="Times New Roman" w:eastAsia="Times New Roman" w:cs="Times New Roman"/>
                <w:color w:val="000000"/>
              </w:rPr>
              <w:t>Caygill, Howard. </w:t>
            </w:r>
            <w:r>
              <w:rPr>
                <w:rFonts w:ascii="Times New Roman" w:hAnsi="Times New Roman" w:eastAsia="Times New Roman" w:cs="Times New Roman"/>
                <w:b/>
                <w:color w:val="000000"/>
              </w:rPr>
              <w:t>Dicionário Kant</w:t>
            </w:r>
            <w:r>
              <w:rPr>
                <w:rFonts w:ascii="Times New Roman" w:hAnsi="Times New Roman" w:eastAsia="Times New Roman" w:cs="Times New Roman"/>
                <w:color w:val="000000"/>
              </w:rPr>
              <w:t>. Rio de Janeiro: Jorge Zahar Editor, 2000. </w:t>
            </w:r>
          </w:p>
          <w:p>
            <w:pPr>
              <w:ind w:left="0" w:hanging="2"/>
              <w:rPr>
                <w:rFonts w:ascii="Times New Roman" w:hAnsi="Times New Roman" w:cs="Times New Roman"/>
              </w:rPr>
            </w:pPr>
            <w:r>
              <w:rPr>
                <w:rFonts w:ascii="Times New Roman" w:hAnsi="Times New Roman" w:eastAsia="Times New Roman" w:cs="Times New Roman"/>
                <w:color w:val="000000"/>
              </w:rPr>
              <w:t>Inwood, M. J.. </w:t>
            </w:r>
            <w:r>
              <w:rPr>
                <w:rFonts w:ascii="Times New Roman" w:hAnsi="Times New Roman" w:eastAsia="Times New Roman" w:cs="Times New Roman"/>
                <w:b/>
                <w:color w:val="000000"/>
              </w:rPr>
              <w:t>Dicionário Hegel</w:t>
            </w:r>
            <w:r>
              <w:rPr>
                <w:rFonts w:ascii="Times New Roman" w:hAnsi="Times New Roman" w:eastAsia="Times New Roman" w:cs="Times New Roman"/>
                <w:color w:val="000000"/>
              </w:rPr>
              <w:t>. Rio de Janeiro: J. Zahar, c1997. .</w:t>
            </w:r>
          </w:p>
          <w:p>
            <w:pPr>
              <w:ind w:left="0" w:hanging="2"/>
              <w:rPr>
                <w:rFonts w:ascii="Times New Roman" w:hAnsi="Times New Roman" w:cs="Times New Roman"/>
              </w:rPr>
            </w:pPr>
            <w:r>
              <w:rPr>
                <w:rFonts w:ascii="Times New Roman" w:hAnsi="Times New Roman" w:eastAsia="Times New Roman" w:cs="Times New Roman"/>
                <w:color w:val="000000"/>
              </w:rPr>
              <w:t>Figueiredo, Vinicius de. </w:t>
            </w:r>
            <w:r>
              <w:rPr>
                <w:rFonts w:ascii="Times New Roman" w:hAnsi="Times New Roman" w:eastAsia="Times New Roman" w:cs="Times New Roman"/>
                <w:b/>
                <w:color w:val="000000"/>
              </w:rPr>
              <w:t>Kant &amp; a crítica da razão pura</w:t>
            </w:r>
            <w:r>
              <w:rPr>
                <w:rFonts w:ascii="Times New Roman" w:hAnsi="Times New Roman" w:eastAsia="Times New Roman" w:cs="Times New Roman"/>
                <w:color w:val="000000"/>
              </w:rPr>
              <w:t>. Rio de Janeiro: J. Zahar, 2005. </w:t>
            </w:r>
          </w:p>
          <w:p>
            <w:pPr>
              <w:ind w:left="0" w:hanging="2"/>
              <w:jc w:val="both"/>
              <w:rPr>
                <w:rFonts w:ascii="Times New Roman" w:hAnsi="Times New Roman" w:eastAsia="Times New Roman" w:cs="Times New Roman"/>
              </w:rPr>
            </w:pP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57"/>
        <w:tblW w:w="8738" w:type="dxa"/>
        <w:tblInd w:w="22" w:type="dxa"/>
        <w:tblLayout w:type="fixed"/>
        <w:tblCellMar>
          <w:top w:w="0" w:type="dxa"/>
          <w:left w:w="22" w:type="dxa"/>
          <w:bottom w:w="0" w:type="dxa"/>
          <w:right w:w="22" w:type="dxa"/>
        </w:tblCellMar>
      </w:tblPr>
      <w:tblGrid>
        <w:gridCol w:w="3009"/>
        <w:gridCol w:w="3119"/>
        <w:gridCol w:w="282"/>
        <w:gridCol w:w="2328"/>
      </w:tblGrid>
      <w:tr>
        <w:tblPrEx>
          <w:tblCellMar>
            <w:top w:w="0" w:type="dxa"/>
            <w:left w:w="22" w:type="dxa"/>
            <w:bottom w:w="0" w:type="dxa"/>
            <w:right w:w="22" w:type="dxa"/>
          </w:tblCellMar>
        </w:tblPrEx>
        <w:trPr>
          <w:trHeight w:val="1402" w:hRule="atLeast"/>
        </w:trPr>
        <w:tc>
          <w:tcPr>
            <w:tcW w:w="6410" w:type="dxa"/>
            <w:gridSpan w:val="3"/>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Ética</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Ethics</w:t>
            </w:r>
          </w:p>
        </w:tc>
        <w:tc>
          <w:tcPr>
            <w:tcW w:w="2328"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FIL652</w:t>
            </w:r>
          </w:p>
        </w:tc>
      </w:tr>
      <w:tr>
        <w:tblPrEx>
          <w:tblCellMar>
            <w:top w:w="0" w:type="dxa"/>
            <w:left w:w="22" w:type="dxa"/>
            <w:bottom w:w="0" w:type="dxa"/>
            <w:right w:w="22" w:type="dxa"/>
          </w:tblCellMar>
        </w:tblPrEx>
        <w:trPr>
          <w:trHeight w:val="825" w:hRule="atLeast"/>
        </w:trPr>
        <w:tc>
          <w:tcPr>
            <w:tcW w:w="6410" w:type="dxa"/>
            <w:gridSpan w:val="3"/>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Filosofia - DEFIL</w:t>
            </w:r>
          </w:p>
        </w:tc>
        <w:tc>
          <w:tcPr>
            <w:tcW w:w="2328"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3" w:hRule="atLeast"/>
        </w:trPr>
        <w:tc>
          <w:tcPr>
            <w:tcW w:w="3009"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6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semestral </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60 horas</w:t>
            </w:r>
          </w:p>
        </w:tc>
        <w:tc>
          <w:tcPr>
            <w:tcW w:w="3119"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03 horas/aula</w:t>
            </w:r>
          </w:p>
        </w:tc>
        <w:tc>
          <w:tcPr>
            <w:tcW w:w="2610" w:type="dxa"/>
            <w:gridSpan w:val="2"/>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01 horas/aula</w:t>
            </w:r>
          </w:p>
        </w:tc>
      </w:tr>
      <w:tr>
        <w:tblPrEx>
          <w:tblCellMar>
            <w:top w:w="0" w:type="dxa"/>
            <w:left w:w="22" w:type="dxa"/>
            <w:bottom w:w="0" w:type="dxa"/>
            <w:right w:w="22" w:type="dxa"/>
          </w:tblCellMar>
        </w:tblPrEx>
        <w:trPr>
          <w:trHeight w:val="1526" w:hRule="atLeast"/>
        </w:trPr>
        <w:tc>
          <w:tcPr>
            <w:tcW w:w="8738" w:type="dxa"/>
            <w:gridSpan w:val="4"/>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Noções fundamentais no estudo da Ética. Ética Normativa: Éticas Teleológicas ou “Conseqüencialistas”. A Ética de Virtude e o Utilitarismo.  Éticas Deontológicas: ética kantiana, ética contratualista. Estudo nos textos dos filósofos.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p>
        </w:tc>
      </w:tr>
      <w:tr>
        <w:tblPrEx>
          <w:tblCellMar>
            <w:top w:w="0" w:type="dxa"/>
            <w:left w:w="22" w:type="dxa"/>
            <w:bottom w:w="0" w:type="dxa"/>
            <w:right w:w="22" w:type="dxa"/>
          </w:tblCellMar>
        </w:tblPrEx>
        <w:trPr>
          <w:trHeight w:val="1873" w:hRule="atLeast"/>
        </w:trPr>
        <w:tc>
          <w:tcPr>
            <w:tcW w:w="8738" w:type="dxa"/>
            <w:gridSpan w:val="4"/>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rPr>
              <w:t xml:space="preserve">     </w:t>
            </w:r>
            <w:r>
              <w:rPr>
                <w:rFonts w:ascii="Times New Roman" w:hAnsi="Times New Roman" w:eastAsia="Times New Roman" w:cs="Times New Roman"/>
                <w:color w:val="000000"/>
              </w:rPr>
              <w:t xml:space="preserve">1.Noções fundamentais de ética: valor, norma, lei. </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rPr>
              <w:t xml:space="preserve">     </w:t>
            </w:r>
            <w:r>
              <w:rPr>
                <w:rFonts w:ascii="Times New Roman" w:hAnsi="Times New Roman" w:eastAsia="Times New Roman" w:cs="Times New Roman"/>
                <w:color w:val="000000"/>
              </w:rPr>
              <w:t>2.Éticas Normativas, Metaética e Bioética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rPr>
              <w:t xml:space="preserve">     </w:t>
            </w:r>
            <w:r>
              <w:rPr>
                <w:rFonts w:ascii="Times New Roman" w:hAnsi="Times New Roman" w:eastAsia="Times New Roman" w:cs="Times New Roman"/>
                <w:color w:val="000000"/>
              </w:rPr>
              <w:t>3.Éticas Normativas: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rPr>
              <w:t xml:space="preserve">     </w:t>
            </w:r>
            <w:r>
              <w:rPr>
                <w:rFonts w:ascii="Times New Roman" w:hAnsi="Times New Roman" w:eastAsia="Times New Roman" w:cs="Times New Roman"/>
                <w:color w:val="000000"/>
              </w:rPr>
              <w:t>3.1. Éticas Teleólogicas – estudo de excertos dos textos dos filósofos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rPr>
              <w:t xml:space="preserve">     </w:t>
            </w:r>
            <w:r>
              <w:rPr>
                <w:rFonts w:ascii="Times New Roman" w:hAnsi="Times New Roman" w:eastAsia="Times New Roman" w:cs="Times New Roman"/>
                <w:color w:val="000000"/>
              </w:rPr>
              <w:t>3.2. Éticas Deontológicas – estudo de excertos dos textos dos filósofos.</w:t>
            </w:r>
          </w:p>
        </w:tc>
      </w:tr>
      <w:tr>
        <w:tblPrEx>
          <w:tblCellMar>
            <w:top w:w="0" w:type="dxa"/>
            <w:left w:w="22" w:type="dxa"/>
            <w:bottom w:w="0" w:type="dxa"/>
            <w:right w:w="22" w:type="dxa"/>
          </w:tblCellMar>
        </w:tblPrEx>
        <w:trPr>
          <w:trHeight w:val="1894" w:hRule="atLeast"/>
        </w:trPr>
        <w:tc>
          <w:tcPr>
            <w:tcW w:w="8738" w:type="dxa"/>
            <w:gridSpan w:val="4"/>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Aristóteles </w:t>
            </w:r>
            <w:r>
              <w:rPr>
                <w:rFonts w:ascii="Times New Roman" w:hAnsi="Times New Roman" w:eastAsia="Times New Roman" w:cs="Times New Roman"/>
                <w:b/>
                <w:color w:val="000000"/>
              </w:rPr>
              <w:t>Ética a Nicômaco</w:t>
            </w:r>
            <w:r>
              <w:rPr>
                <w:rFonts w:ascii="Times New Roman" w:hAnsi="Times New Roman" w:eastAsia="Times New Roman" w:cs="Times New Roman"/>
                <w:color w:val="000000"/>
              </w:rPr>
              <w:t>: </w:t>
            </w:r>
            <w:r>
              <w:rPr>
                <w:rFonts w:ascii="Times New Roman" w:hAnsi="Times New Roman" w:eastAsia="Times New Roman" w:cs="Times New Roman"/>
                <w:i/>
                <w:color w:val="000000"/>
              </w:rPr>
              <w:t>tradução de Antonio de Castro Caieiro</w:t>
            </w:r>
            <w:r>
              <w:rPr>
                <w:rFonts w:ascii="Times New Roman" w:hAnsi="Times New Roman" w:eastAsia="Times New Roman" w:cs="Times New Roman"/>
                <w:color w:val="000000"/>
              </w:rPr>
              <w:t>. São Paulo (SP): Atlas, 2009. </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Kant, Immanuel </w:t>
            </w:r>
            <w:r>
              <w:rPr>
                <w:rFonts w:ascii="Times New Roman" w:hAnsi="Times New Roman" w:eastAsia="Times New Roman" w:cs="Times New Roman"/>
                <w:b/>
                <w:color w:val="000000"/>
              </w:rPr>
              <w:t>Crítica da razão prática</w:t>
            </w:r>
            <w:r>
              <w:rPr>
                <w:rFonts w:ascii="Times New Roman" w:hAnsi="Times New Roman" w:eastAsia="Times New Roman" w:cs="Times New Roman"/>
                <w:color w:val="000000"/>
              </w:rPr>
              <w:t>: </w:t>
            </w:r>
            <w:r>
              <w:rPr>
                <w:rFonts w:ascii="Times New Roman" w:hAnsi="Times New Roman" w:eastAsia="Times New Roman" w:cs="Times New Roman"/>
                <w:i/>
                <w:color w:val="000000"/>
              </w:rPr>
              <w:t>tradução de Valério Rohden</w:t>
            </w:r>
            <w:r>
              <w:rPr>
                <w:rFonts w:ascii="Times New Roman" w:hAnsi="Times New Roman" w:eastAsia="Times New Roman" w:cs="Times New Roman"/>
                <w:color w:val="000000"/>
              </w:rPr>
              <w:t>. São Paulo (SP): Martins Fontes, 2005. </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Macintyre, A. </w:t>
            </w:r>
            <w:r>
              <w:rPr>
                <w:rFonts w:ascii="Times New Roman" w:hAnsi="Times New Roman" w:eastAsia="Times New Roman" w:cs="Times New Roman"/>
                <w:b/>
                <w:color w:val="000000"/>
              </w:rPr>
              <w:t>Depois da virtude</w:t>
            </w:r>
            <w:r>
              <w:rPr>
                <w:rFonts w:ascii="Times New Roman" w:hAnsi="Times New Roman" w:eastAsia="Times New Roman" w:cs="Times New Roman"/>
                <w:color w:val="000000"/>
              </w:rPr>
              <w:t>: </w:t>
            </w:r>
            <w:r>
              <w:rPr>
                <w:rFonts w:ascii="Times New Roman" w:hAnsi="Times New Roman" w:eastAsia="Times New Roman" w:cs="Times New Roman"/>
                <w:i/>
                <w:color w:val="000000"/>
              </w:rPr>
              <w:t>tradução de Jussara Simões</w:t>
            </w:r>
            <w:r>
              <w:rPr>
                <w:rFonts w:ascii="Times New Roman" w:hAnsi="Times New Roman" w:eastAsia="Times New Roman" w:cs="Times New Roman"/>
                <w:color w:val="000000"/>
              </w:rPr>
              <w:t>. São Paulo (SP): EDUSC, 2001.</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Platão. </w:t>
            </w:r>
            <w:r>
              <w:rPr>
                <w:rFonts w:ascii="Times New Roman" w:hAnsi="Times New Roman" w:eastAsia="Times New Roman" w:cs="Times New Roman"/>
                <w:b/>
                <w:color w:val="000000"/>
              </w:rPr>
              <w:t>A república </w:t>
            </w:r>
            <w:r>
              <w:rPr>
                <w:rFonts w:ascii="Times New Roman" w:hAnsi="Times New Roman" w:eastAsia="Times New Roman" w:cs="Times New Roman"/>
                <w:color w:val="000000"/>
              </w:rPr>
              <w:t>. 9ª  ed. Lisboa: Fundação Calouste Gulbenkian, 2001.</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Platão. </w:t>
            </w:r>
            <w:r>
              <w:rPr>
                <w:rFonts w:ascii="Times New Roman" w:hAnsi="Times New Roman" w:eastAsia="Times New Roman" w:cs="Times New Roman"/>
                <w:b/>
                <w:color w:val="000000"/>
              </w:rPr>
              <w:t>A república </w:t>
            </w:r>
            <w:r>
              <w:rPr>
                <w:rFonts w:ascii="Times New Roman" w:hAnsi="Times New Roman" w:eastAsia="Times New Roman" w:cs="Times New Roman"/>
                <w:color w:val="000000"/>
              </w:rPr>
              <w:t>. 7ª. ed. Lisboa: Fundação Calouste Gulbenkian, 1993.</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tc>
      </w:tr>
      <w:tr>
        <w:tblPrEx>
          <w:tblCellMar>
            <w:top w:w="0" w:type="dxa"/>
            <w:left w:w="22" w:type="dxa"/>
            <w:bottom w:w="0" w:type="dxa"/>
            <w:right w:w="22" w:type="dxa"/>
          </w:tblCellMar>
        </w:tblPrEx>
        <w:trPr>
          <w:trHeight w:val="1894" w:hRule="atLeast"/>
        </w:trPr>
        <w:tc>
          <w:tcPr>
            <w:tcW w:w="8738" w:type="dxa"/>
            <w:gridSpan w:val="4"/>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Taylor, Charles </w:t>
            </w:r>
            <w:r>
              <w:rPr>
                <w:rFonts w:ascii="Times New Roman" w:hAnsi="Times New Roman" w:eastAsia="Times New Roman" w:cs="Times New Roman"/>
                <w:b/>
                <w:color w:val="000000"/>
              </w:rPr>
              <w:t>A ética da autencidade</w:t>
            </w:r>
            <w:r>
              <w:rPr>
                <w:rFonts w:ascii="Times New Roman" w:hAnsi="Times New Roman" w:eastAsia="Times New Roman" w:cs="Times New Roman"/>
                <w:color w:val="000000"/>
              </w:rPr>
              <w:t>. Lisboa (Portugal): Edições 70, 2009.</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Mill, John Stuart. </w:t>
            </w:r>
            <w:r>
              <w:rPr>
                <w:rFonts w:ascii="Times New Roman" w:hAnsi="Times New Roman" w:eastAsia="Times New Roman" w:cs="Times New Roman"/>
                <w:b/>
                <w:color w:val="000000"/>
              </w:rPr>
              <w:t>Uma introdução aos princípios da moral e da legislação</w:t>
            </w:r>
            <w:r>
              <w:rPr>
                <w:rFonts w:ascii="Times New Roman" w:hAnsi="Times New Roman" w:eastAsia="Times New Roman" w:cs="Times New Roman"/>
                <w:color w:val="000000"/>
              </w:rPr>
              <w:t>. São Paulo: Abril Cultural, 1974. </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Tugendhat, Ernst. </w:t>
            </w:r>
            <w:r>
              <w:rPr>
                <w:rFonts w:ascii="Times New Roman" w:hAnsi="Times New Roman" w:eastAsia="Times New Roman" w:cs="Times New Roman"/>
                <w:b/>
                <w:color w:val="000000"/>
              </w:rPr>
              <w:t>Lições sobre ética</w:t>
            </w:r>
            <w:r>
              <w:rPr>
                <w:rFonts w:ascii="Times New Roman" w:hAnsi="Times New Roman" w:eastAsia="Times New Roman" w:cs="Times New Roman"/>
                <w:color w:val="000000"/>
              </w:rPr>
              <w:t>. 8ª.ed. Petrópolis, RJ: Vozes, 2010. </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Tugendhat, Ernst. </w:t>
            </w:r>
            <w:r>
              <w:rPr>
                <w:rFonts w:ascii="Times New Roman" w:hAnsi="Times New Roman" w:eastAsia="Times New Roman" w:cs="Times New Roman"/>
                <w:b/>
                <w:color w:val="000000"/>
              </w:rPr>
              <w:t>Lições sobre ética</w:t>
            </w:r>
            <w:r>
              <w:rPr>
                <w:rFonts w:ascii="Times New Roman" w:hAnsi="Times New Roman" w:eastAsia="Times New Roman" w:cs="Times New Roman"/>
                <w:color w:val="000000"/>
              </w:rPr>
              <w:t>. 9ª. ed. Petrópolis: Vozes, 2012. </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Times New Roman" w:cs="Times New Roman"/>
                <w:b/>
                <w:color w:val="000000"/>
              </w:rPr>
              <w:t>Dicionário de ética e filosofia moral</w:t>
            </w:r>
            <w:r>
              <w:rPr>
                <w:rFonts w:ascii="Times New Roman" w:hAnsi="Times New Roman" w:eastAsia="Times New Roman" w:cs="Times New Roman"/>
                <w:color w:val="000000"/>
              </w:rPr>
              <w:t>. São Leopoldo, RS: Ed. UNISINOS, 2003. </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 </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58"/>
        <w:tblW w:w="8738" w:type="dxa"/>
        <w:tblInd w:w="22" w:type="dxa"/>
        <w:tblLayout w:type="fixed"/>
        <w:tblCellMar>
          <w:top w:w="0" w:type="dxa"/>
          <w:left w:w="22" w:type="dxa"/>
          <w:bottom w:w="0" w:type="dxa"/>
          <w:right w:w="22" w:type="dxa"/>
        </w:tblCellMar>
      </w:tblPr>
      <w:tblGrid>
        <w:gridCol w:w="3009"/>
        <w:gridCol w:w="2946"/>
        <w:gridCol w:w="2783"/>
      </w:tblGrid>
      <w:tr>
        <w:tblPrEx>
          <w:tblCellMar>
            <w:top w:w="0" w:type="dxa"/>
            <w:left w:w="22" w:type="dxa"/>
            <w:bottom w:w="0" w:type="dxa"/>
            <w:right w:w="22" w:type="dxa"/>
          </w:tblCellMar>
        </w:tblPrEx>
        <w:trPr>
          <w:trHeight w:val="1402" w:hRule="atLeast"/>
        </w:trPr>
        <w:tc>
          <w:tcPr>
            <w:tcW w:w="5955"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História da Filosofia VI: Filosofia Contemporânea I</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History of Philosophy VI: Contemporary Philosophy I</w:t>
            </w:r>
          </w:p>
        </w:tc>
        <w:tc>
          <w:tcPr>
            <w:tcW w:w="2783"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FIL661</w:t>
            </w:r>
          </w:p>
        </w:tc>
      </w:tr>
      <w:tr>
        <w:tblPrEx>
          <w:tblCellMar>
            <w:top w:w="0" w:type="dxa"/>
            <w:left w:w="22" w:type="dxa"/>
            <w:bottom w:w="0" w:type="dxa"/>
            <w:right w:w="22" w:type="dxa"/>
          </w:tblCellMar>
        </w:tblPrEx>
        <w:trPr>
          <w:trHeight w:val="825" w:hRule="atLeast"/>
        </w:trPr>
        <w:tc>
          <w:tcPr>
            <w:tcW w:w="5955"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Filosofia - DEFIL</w:t>
            </w:r>
          </w:p>
        </w:tc>
        <w:tc>
          <w:tcPr>
            <w:tcW w:w="2783"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3" w:hRule="atLeast"/>
        </w:trPr>
        <w:tc>
          <w:tcPr>
            <w:tcW w:w="3009"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6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semestral </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60 horas</w:t>
            </w:r>
          </w:p>
        </w:tc>
        <w:tc>
          <w:tcPr>
            <w:tcW w:w="2946"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03 horas/aula</w:t>
            </w:r>
          </w:p>
        </w:tc>
        <w:tc>
          <w:tcPr>
            <w:tcW w:w="2783"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01 horas/aula</w:t>
            </w:r>
          </w:p>
        </w:tc>
      </w:tr>
      <w:tr>
        <w:tblPrEx>
          <w:tblCellMar>
            <w:top w:w="0" w:type="dxa"/>
            <w:left w:w="22" w:type="dxa"/>
            <w:bottom w:w="0" w:type="dxa"/>
            <w:right w:w="22" w:type="dxa"/>
          </w:tblCellMar>
        </w:tblPrEx>
        <w:trPr>
          <w:trHeight w:val="871" w:hRule="atLeast"/>
        </w:trPr>
        <w:tc>
          <w:tcPr>
            <w:tcW w:w="8738"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O curso abordará as principais correntes filosóficas presentes desde o final do século XIX até o século XX.</w:t>
            </w:r>
          </w:p>
        </w:tc>
      </w:tr>
      <w:tr>
        <w:tblPrEx>
          <w:tblCellMar>
            <w:top w:w="0" w:type="dxa"/>
            <w:left w:w="22" w:type="dxa"/>
            <w:bottom w:w="0" w:type="dxa"/>
            <w:right w:w="22" w:type="dxa"/>
          </w:tblCellMar>
        </w:tblPrEx>
        <w:trPr>
          <w:trHeight w:val="2342" w:hRule="atLeast"/>
        </w:trPr>
        <w:tc>
          <w:tcPr>
            <w:tcW w:w="8738"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numPr>
                <w:ilvl w:val="0"/>
                <w:numId w:val="126"/>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Marx;</w:t>
            </w:r>
          </w:p>
          <w:p>
            <w:pPr>
              <w:widowControl w:val="0"/>
              <w:numPr>
                <w:ilvl w:val="0"/>
                <w:numId w:val="126"/>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Nietzsche;</w:t>
            </w:r>
          </w:p>
          <w:p>
            <w:pPr>
              <w:widowControl w:val="0"/>
              <w:numPr>
                <w:ilvl w:val="0"/>
                <w:numId w:val="126"/>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Fenomenologia ;</w:t>
            </w:r>
          </w:p>
          <w:p>
            <w:pPr>
              <w:widowControl w:val="0"/>
              <w:numPr>
                <w:ilvl w:val="0"/>
                <w:numId w:val="126"/>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Escola de Frankfurt;</w:t>
            </w:r>
          </w:p>
          <w:p>
            <w:pPr>
              <w:widowControl w:val="0"/>
              <w:numPr>
                <w:ilvl w:val="0"/>
                <w:numId w:val="126"/>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Estruturalismo francês.</w:t>
            </w:r>
          </w:p>
        </w:tc>
      </w:tr>
      <w:tr>
        <w:tblPrEx>
          <w:tblCellMar>
            <w:top w:w="0" w:type="dxa"/>
            <w:left w:w="22" w:type="dxa"/>
            <w:bottom w:w="0" w:type="dxa"/>
            <w:right w:w="22" w:type="dxa"/>
          </w:tblCellMar>
        </w:tblPrEx>
        <w:trPr>
          <w:trHeight w:val="3253" w:hRule="atLeast"/>
        </w:trPr>
        <w:tc>
          <w:tcPr>
            <w:tcW w:w="8738"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Heidegger, Martin </w:t>
            </w:r>
            <w:r>
              <w:rPr>
                <w:rFonts w:ascii="Times New Roman" w:hAnsi="Times New Roman" w:eastAsia="Times New Roman" w:cs="Times New Roman"/>
                <w:b/>
                <w:color w:val="000000"/>
              </w:rPr>
              <w:t>Ser e tempo</w:t>
            </w:r>
            <w:r>
              <w:rPr>
                <w:rFonts w:ascii="Times New Roman" w:hAnsi="Times New Roman" w:eastAsia="Times New Roman" w:cs="Times New Roman"/>
                <w:color w:val="000000"/>
              </w:rPr>
              <w:t>. Petrópolis: SP: Vozes, 2005. </w:t>
            </w:r>
          </w:p>
          <w:p>
            <w:pPr>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Edmund Hursserl; prefácio de Carlos Alberto Ribeiro de Moura; tradução de Márcio Suzuki. </w:t>
            </w:r>
            <w:r>
              <w:rPr>
                <w:rFonts w:ascii="Times New Roman" w:hAnsi="Times New Roman" w:eastAsia="Times New Roman" w:cs="Times New Roman"/>
                <w:b/>
                <w:color w:val="000000"/>
              </w:rPr>
              <w:t>Idéias para uma fenomenologia pura e para uma filosofia fenomenológica</w:t>
            </w:r>
            <w:r>
              <w:rPr>
                <w:rFonts w:ascii="Times New Roman" w:hAnsi="Times New Roman" w:eastAsia="Times New Roman" w:cs="Times New Roman"/>
                <w:color w:val="000000"/>
              </w:rPr>
              <w:t>: </w:t>
            </w:r>
            <w:r>
              <w:rPr>
                <w:rFonts w:ascii="Times New Roman" w:hAnsi="Times New Roman" w:eastAsia="Times New Roman" w:cs="Times New Roman"/>
                <w:i/>
                <w:color w:val="000000"/>
              </w:rPr>
              <w:t>introdução geral à fenomenologia pura </w:t>
            </w:r>
            <w:r>
              <w:rPr>
                <w:rFonts w:ascii="Times New Roman" w:hAnsi="Times New Roman" w:eastAsia="Times New Roman" w:cs="Times New Roman"/>
                <w:color w:val="000000"/>
              </w:rPr>
              <w:t>. 2.edAparecida (SP) : Ideias &amp; Letras, 2006. </w:t>
            </w:r>
          </w:p>
          <w:p>
            <w:pPr>
              <w:ind w:left="0" w:hanging="2"/>
              <w:rPr>
                <w:rFonts w:ascii="Times New Roman" w:hAnsi="Times New Roman" w:cs="Times New Roman"/>
              </w:rPr>
            </w:pPr>
            <w:r>
              <w:rPr>
                <w:rFonts w:ascii="Times New Roman" w:hAnsi="Times New Roman" w:eastAsia="Times New Roman" w:cs="Times New Roman"/>
                <w:color w:val="000000"/>
              </w:rPr>
              <w:t>Theodor W. Adorno, Max Horkheimer ; tradução Guido Antonio de Almeida. </w:t>
            </w:r>
            <w:r>
              <w:rPr>
                <w:rFonts w:ascii="Times New Roman" w:hAnsi="Times New Roman" w:eastAsia="Times New Roman" w:cs="Times New Roman"/>
                <w:b/>
                <w:color w:val="000000"/>
              </w:rPr>
              <w:t>Dialética do esclarecimento </w:t>
            </w:r>
            <w:r>
              <w:rPr>
                <w:rFonts w:ascii="Times New Roman" w:hAnsi="Times New Roman" w:eastAsia="Times New Roman" w:cs="Times New Roman"/>
                <w:color w:val="000000"/>
              </w:rPr>
              <w:t>: </w:t>
            </w:r>
            <w:r>
              <w:rPr>
                <w:rFonts w:ascii="Times New Roman" w:hAnsi="Times New Roman" w:eastAsia="Times New Roman" w:cs="Times New Roman"/>
                <w:i/>
                <w:color w:val="000000"/>
              </w:rPr>
              <w:t>fragmentos filosóficos </w:t>
            </w:r>
            <w:r>
              <w:rPr>
                <w:rFonts w:ascii="Times New Roman" w:hAnsi="Times New Roman" w:eastAsia="Times New Roman" w:cs="Times New Roman"/>
                <w:color w:val="000000"/>
              </w:rPr>
              <w:t>. Rio de Janeiro :</w:t>
            </w:r>
            <w:r>
              <w:rPr>
                <w:rFonts w:ascii="Times New Roman" w:hAnsi="Times New Roman" w:eastAsia="Times New Roman" w:cs="Times New Roman"/>
                <w:color w:val="000000"/>
              </w:rPr>
              <w:br w:type="textWrapping"/>
            </w:r>
            <w:r>
              <w:rPr>
                <w:rFonts w:ascii="Times New Roman" w:hAnsi="Times New Roman" w:eastAsia="Times New Roman" w:cs="Times New Roman"/>
                <w:color w:val="000000"/>
              </w:rPr>
              <w:t>Jorge Zahar, 1985. </w:t>
            </w:r>
            <w:r>
              <w:rPr>
                <w:rFonts w:ascii="Times New Roman" w:hAnsi="Times New Roman" w:eastAsia="Times New Roman" w:cs="Times New Roman"/>
              </w:rPr>
              <w:t xml:space="preserve"> </w:t>
            </w:r>
          </w:p>
        </w:tc>
      </w:tr>
      <w:tr>
        <w:tblPrEx>
          <w:tblCellMar>
            <w:top w:w="0" w:type="dxa"/>
            <w:left w:w="22" w:type="dxa"/>
            <w:bottom w:w="0" w:type="dxa"/>
            <w:right w:w="22" w:type="dxa"/>
          </w:tblCellMar>
        </w:tblPrEx>
        <w:trPr>
          <w:trHeight w:val="1894" w:hRule="atLeast"/>
        </w:trPr>
        <w:tc>
          <w:tcPr>
            <w:tcW w:w="8738"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Deleuze, Gilles </w:t>
            </w:r>
            <w:r>
              <w:rPr>
                <w:rFonts w:ascii="Times New Roman" w:hAnsi="Times New Roman" w:eastAsia="Times New Roman" w:cs="Times New Roman"/>
                <w:b/>
                <w:color w:val="000000"/>
              </w:rPr>
              <w:t>Diferença e repetição</w:t>
            </w:r>
            <w:r>
              <w:rPr>
                <w:rFonts w:ascii="Times New Roman" w:hAnsi="Times New Roman" w:eastAsia="Times New Roman" w:cs="Times New Roman"/>
                <w:color w:val="000000"/>
              </w:rPr>
              <w:t>. Rio de Janeiro (RJ): Graal, 2006. </w:t>
            </w:r>
          </w:p>
          <w:p>
            <w:pPr>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Foucault, Michel </w:t>
            </w:r>
            <w:r>
              <w:rPr>
                <w:rFonts w:ascii="Times New Roman" w:hAnsi="Times New Roman" w:eastAsia="Times New Roman" w:cs="Times New Roman"/>
                <w:b/>
                <w:color w:val="000000"/>
              </w:rPr>
              <w:t>As palavras e as coisas</w:t>
            </w:r>
            <w:r>
              <w:rPr>
                <w:rFonts w:ascii="Times New Roman" w:hAnsi="Times New Roman" w:eastAsia="Times New Roman" w:cs="Times New Roman"/>
                <w:color w:val="000000"/>
              </w:rPr>
              <w:t>: </w:t>
            </w:r>
            <w:r>
              <w:rPr>
                <w:rFonts w:ascii="Times New Roman" w:hAnsi="Times New Roman" w:eastAsia="Times New Roman" w:cs="Times New Roman"/>
                <w:i/>
                <w:color w:val="000000"/>
              </w:rPr>
              <w:t>uma arqueologia das ciências humanas</w:t>
            </w:r>
            <w:r>
              <w:rPr>
                <w:rFonts w:ascii="Times New Roman" w:hAnsi="Times New Roman" w:eastAsia="Times New Roman" w:cs="Times New Roman"/>
                <w:color w:val="000000"/>
              </w:rPr>
              <w:t>. São Paulo: Martins Fontes, 2002. </w:t>
            </w:r>
          </w:p>
          <w:p>
            <w:pPr>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Lyotard, Jean-François. </w:t>
            </w:r>
            <w:r>
              <w:rPr>
                <w:rFonts w:ascii="Times New Roman" w:hAnsi="Times New Roman" w:eastAsia="Times New Roman" w:cs="Times New Roman"/>
                <w:b/>
                <w:color w:val="000000"/>
              </w:rPr>
              <w:t>A condição pós-moderna</w:t>
            </w:r>
            <w:r>
              <w:rPr>
                <w:rFonts w:ascii="Times New Roman" w:hAnsi="Times New Roman" w:eastAsia="Times New Roman" w:cs="Times New Roman"/>
                <w:color w:val="000000"/>
              </w:rPr>
              <w:t>. 9. ed.Rio de Janeiro : José Olympio, 2006. </w:t>
            </w:r>
          </w:p>
          <w:p>
            <w:pPr>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Merleau-Ponty, Maurice. </w:t>
            </w:r>
            <w:r>
              <w:rPr>
                <w:rFonts w:ascii="Times New Roman" w:hAnsi="Times New Roman" w:eastAsia="Times New Roman" w:cs="Times New Roman"/>
                <w:b/>
                <w:color w:val="000000"/>
              </w:rPr>
              <w:t>Fenomenologia da percepção </w:t>
            </w:r>
            <w:r>
              <w:rPr>
                <w:rFonts w:ascii="Times New Roman" w:hAnsi="Times New Roman" w:eastAsia="Times New Roman" w:cs="Times New Roman"/>
                <w:color w:val="000000"/>
              </w:rPr>
              <w:t>. 4. ed. São Paulo : Martins Fontes, 2011. </w:t>
            </w:r>
          </w:p>
          <w:p>
            <w:pPr>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 Lyotard, Jean-François. </w:t>
            </w:r>
            <w:r>
              <w:rPr>
                <w:rFonts w:ascii="Times New Roman" w:hAnsi="Times New Roman" w:eastAsia="Times New Roman" w:cs="Times New Roman"/>
                <w:b/>
                <w:color w:val="000000"/>
              </w:rPr>
              <w:t>A condição pós-moderna</w:t>
            </w:r>
            <w:r>
              <w:rPr>
                <w:rFonts w:ascii="Times New Roman" w:hAnsi="Times New Roman" w:eastAsia="Times New Roman" w:cs="Times New Roman"/>
                <w:color w:val="000000"/>
              </w:rPr>
              <w:t>. 15. ed.Rio de Janeiro : José Olympio, 2013. </w:t>
            </w:r>
          </w:p>
          <w:p>
            <w:pPr>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Lyotard, Jean-François. </w:t>
            </w:r>
            <w:r>
              <w:rPr>
                <w:rFonts w:ascii="Times New Roman" w:hAnsi="Times New Roman" w:eastAsia="Times New Roman" w:cs="Times New Roman"/>
                <w:b/>
                <w:color w:val="000000"/>
              </w:rPr>
              <w:t>A condição pós-moderna</w:t>
            </w:r>
            <w:r>
              <w:rPr>
                <w:rFonts w:ascii="Times New Roman" w:hAnsi="Times New Roman" w:eastAsia="Times New Roman" w:cs="Times New Roman"/>
                <w:color w:val="000000"/>
              </w:rPr>
              <w:t>. 16. ed.Rio de Janeiro : José Olympio, 2015. </w:t>
            </w:r>
          </w:p>
          <w:p>
            <w:pPr>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Merleau-Ponty, Maurice. </w:t>
            </w:r>
            <w:r>
              <w:rPr>
                <w:rFonts w:ascii="Times New Roman" w:hAnsi="Times New Roman" w:eastAsia="Times New Roman" w:cs="Times New Roman"/>
                <w:b/>
                <w:color w:val="000000"/>
              </w:rPr>
              <w:t>Fenomenologia da percepção </w:t>
            </w:r>
            <w:r>
              <w:rPr>
                <w:rFonts w:ascii="Times New Roman" w:hAnsi="Times New Roman" w:eastAsia="Times New Roman" w:cs="Times New Roman"/>
                <w:color w:val="000000"/>
              </w:rPr>
              <w:t>. São Paulo : Martins Fontes, 1994. </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 </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59"/>
        <w:tblW w:w="8738" w:type="dxa"/>
        <w:tblInd w:w="22" w:type="dxa"/>
        <w:tblLayout w:type="fixed"/>
        <w:tblCellMar>
          <w:top w:w="0" w:type="dxa"/>
          <w:left w:w="22" w:type="dxa"/>
          <w:bottom w:w="0" w:type="dxa"/>
          <w:right w:w="22" w:type="dxa"/>
        </w:tblCellMar>
      </w:tblPr>
      <w:tblGrid>
        <w:gridCol w:w="3009"/>
        <w:gridCol w:w="2946"/>
        <w:gridCol w:w="2783"/>
      </w:tblGrid>
      <w:tr>
        <w:tblPrEx>
          <w:tblCellMar>
            <w:top w:w="0" w:type="dxa"/>
            <w:left w:w="22" w:type="dxa"/>
            <w:bottom w:w="0" w:type="dxa"/>
            <w:right w:w="22" w:type="dxa"/>
          </w:tblCellMar>
        </w:tblPrEx>
        <w:trPr>
          <w:trHeight w:val="1402" w:hRule="atLeast"/>
        </w:trPr>
        <w:tc>
          <w:tcPr>
            <w:tcW w:w="5955"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Filosofia da Arte</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Philosophy of the Art</w:t>
            </w:r>
          </w:p>
        </w:tc>
        <w:tc>
          <w:tcPr>
            <w:tcW w:w="2783"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FIL662</w:t>
            </w:r>
          </w:p>
        </w:tc>
      </w:tr>
      <w:tr>
        <w:tblPrEx>
          <w:tblCellMar>
            <w:top w:w="0" w:type="dxa"/>
            <w:left w:w="22" w:type="dxa"/>
            <w:bottom w:w="0" w:type="dxa"/>
            <w:right w:w="22" w:type="dxa"/>
          </w:tblCellMar>
        </w:tblPrEx>
        <w:trPr>
          <w:trHeight w:val="825" w:hRule="atLeast"/>
        </w:trPr>
        <w:tc>
          <w:tcPr>
            <w:tcW w:w="5955"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Filosofia - DEFIL</w:t>
            </w:r>
          </w:p>
        </w:tc>
        <w:tc>
          <w:tcPr>
            <w:tcW w:w="2783"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3" w:hRule="atLeast"/>
        </w:trPr>
        <w:tc>
          <w:tcPr>
            <w:tcW w:w="3009"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6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semestral </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60 horas</w:t>
            </w:r>
          </w:p>
        </w:tc>
        <w:tc>
          <w:tcPr>
            <w:tcW w:w="2946"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03 horas/aula</w:t>
            </w:r>
          </w:p>
        </w:tc>
        <w:tc>
          <w:tcPr>
            <w:tcW w:w="2783"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01 horas/aula</w:t>
            </w:r>
          </w:p>
        </w:tc>
      </w:tr>
      <w:tr>
        <w:tblPrEx>
          <w:tblCellMar>
            <w:top w:w="0" w:type="dxa"/>
            <w:left w:w="22" w:type="dxa"/>
            <w:bottom w:w="0" w:type="dxa"/>
            <w:right w:w="22" w:type="dxa"/>
          </w:tblCellMar>
        </w:tblPrEx>
        <w:trPr>
          <w:trHeight w:val="871" w:hRule="atLeast"/>
        </w:trPr>
        <w:tc>
          <w:tcPr>
            <w:tcW w:w="8738"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Ementa: Apresentaremos de forma expositiva, acompanhada pela leitura de alguns trechos, textos seminais para a compreensão da filosofia da arte, desde a Grécia Clássica até a sociedade contemporânea. </w:t>
            </w:r>
          </w:p>
        </w:tc>
      </w:tr>
      <w:tr>
        <w:tblPrEx>
          <w:tblCellMar>
            <w:top w:w="0" w:type="dxa"/>
            <w:left w:w="22" w:type="dxa"/>
            <w:bottom w:w="0" w:type="dxa"/>
            <w:right w:w="22" w:type="dxa"/>
          </w:tblCellMar>
        </w:tblPrEx>
        <w:trPr>
          <w:trHeight w:val="2342" w:hRule="atLeast"/>
        </w:trPr>
        <w:tc>
          <w:tcPr>
            <w:tcW w:w="8738"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numPr>
                <w:ilvl w:val="0"/>
                <w:numId w:val="127"/>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Introdução</w:t>
            </w:r>
          </w:p>
          <w:p>
            <w:pPr>
              <w:widowControl w:val="0"/>
              <w:numPr>
                <w:ilvl w:val="0"/>
                <w:numId w:val="127"/>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PLATÃO, Íon. </w:t>
            </w:r>
          </w:p>
          <w:p>
            <w:pPr>
              <w:widowControl w:val="0"/>
              <w:numPr>
                <w:ilvl w:val="0"/>
                <w:numId w:val="127"/>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ARISTÓTELES, Poética.</w:t>
            </w:r>
          </w:p>
          <w:p>
            <w:pPr>
              <w:widowControl w:val="0"/>
              <w:numPr>
                <w:ilvl w:val="0"/>
                <w:numId w:val="127"/>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HUME, “Do padrão de gosto”.</w:t>
            </w:r>
          </w:p>
          <w:p>
            <w:pPr>
              <w:widowControl w:val="0"/>
              <w:numPr>
                <w:ilvl w:val="0"/>
                <w:numId w:val="127"/>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KANT, “Analítica do belo”. </w:t>
            </w:r>
          </w:p>
          <w:p>
            <w:pPr>
              <w:widowControl w:val="0"/>
              <w:numPr>
                <w:ilvl w:val="0"/>
                <w:numId w:val="127"/>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SCHILLER, Poesia ingênua e sentimental.</w:t>
            </w:r>
          </w:p>
          <w:p>
            <w:pPr>
              <w:widowControl w:val="0"/>
              <w:numPr>
                <w:ilvl w:val="0"/>
                <w:numId w:val="127"/>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HEGEL, “Plano geral da estética”.</w:t>
            </w:r>
          </w:p>
          <w:p>
            <w:pPr>
              <w:widowControl w:val="0"/>
              <w:numPr>
                <w:ilvl w:val="0"/>
                <w:numId w:val="127"/>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NIETZSCHE, O nascimento da tragédia.</w:t>
            </w:r>
          </w:p>
          <w:p>
            <w:pPr>
              <w:widowControl w:val="0"/>
              <w:numPr>
                <w:ilvl w:val="0"/>
                <w:numId w:val="127"/>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BENJAMIN, “A obra de arte na era de sua reprodutibilidade técnica”.</w:t>
            </w:r>
          </w:p>
          <w:p>
            <w:pPr>
              <w:widowControl w:val="0"/>
              <w:numPr>
                <w:ilvl w:val="0"/>
                <w:numId w:val="127"/>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MARCUSE, “Fantasia e Utopia”.</w:t>
            </w:r>
          </w:p>
          <w:p>
            <w:pPr>
              <w:widowControl w:val="0"/>
              <w:numPr>
                <w:ilvl w:val="0"/>
                <w:numId w:val="127"/>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CAUQUELIN, “O regime da comunicação ou a arte contemporânea”.</w:t>
            </w:r>
          </w:p>
          <w:p>
            <w:pPr>
              <w:widowControl w:val="0"/>
              <w:numPr>
                <w:ilvl w:val="0"/>
                <w:numId w:val="127"/>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ZIZEK. “David Lynch ou a arte do sublime ridículo”.</w:t>
            </w:r>
          </w:p>
        </w:tc>
      </w:tr>
      <w:tr>
        <w:tblPrEx>
          <w:tblCellMar>
            <w:top w:w="0" w:type="dxa"/>
            <w:left w:w="22" w:type="dxa"/>
            <w:bottom w:w="0" w:type="dxa"/>
            <w:right w:w="22" w:type="dxa"/>
          </w:tblCellMar>
        </w:tblPrEx>
        <w:trPr>
          <w:trHeight w:val="3253" w:hRule="atLeast"/>
        </w:trPr>
        <w:tc>
          <w:tcPr>
            <w:tcW w:w="8738"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Hegel, Georg Wilhelm Friedrich </w:t>
            </w:r>
            <w:r>
              <w:rPr>
                <w:rFonts w:ascii="Times New Roman" w:hAnsi="Times New Roman" w:eastAsia="Times New Roman" w:cs="Times New Roman"/>
                <w:b/>
                <w:color w:val="000000"/>
              </w:rPr>
              <w:t>Cursos de estética</w:t>
            </w:r>
            <w:r>
              <w:rPr>
                <w:rFonts w:ascii="Times New Roman" w:hAnsi="Times New Roman" w:eastAsia="Times New Roman" w:cs="Times New Roman"/>
                <w:color w:val="000000"/>
              </w:rPr>
              <w:t>: </w:t>
            </w:r>
            <w:r>
              <w:rPr>
                <w:rFonts w:ascii="Times New Roman" w:hAnsi="Times New Roman" w:eastAsia="Times New Roman" w:cs="Times New Roman"/>
                <w:i/>
                <w:color w:val="000000"/>
              </w:rPr>
              <w:t>volume I</w:t>
            </w:r>
            <w:r>
              <w:rPr>
                <w:rFonts w:ascii="Times New Roman" w:hAnsi="Times New Roman" w:eastAsia="Times New Roman" w:cs="Times New Roman"/>
                <w:color w:val="000000"/>
              </w:rPr>
              <w:t>. São Paulo (SP): EDUSP, 2006. </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Platão </w:t>
            </w:r>
            <w:r>
              <w:rPr>
                <w:rFonts w:ascii="Times New Roman" w:hAnsi="Times New Roman" w:eastAsia="Times New Roman" w:cs="Times New Roman"/>
                <w:b/>
                <w:color w:val="000000"/>
              </w:rPr>
              <w:t>Hípias maior</w:t>
            </w:r>
            <w:r>
              <w:rPr>
                <w:rFonts w:ascii="Times New Roman" w:hAnsi="Times New Roman" w:eastAsia="Times New Roman" w:cs="Times New Roman"/>
                <w:color w:val="000000"/>
              </w:rPr>
              <w:t>. Belém (PA): Ed.UFPA, 1982. Platão </w:t>
            </w:r>
            <w:r>
              <w:rPr>
                <w:rFonts w:ascii="Times New Roman" w:hAnsi="Times New Roman" w:eastAsia="Times New Roman" w:cs="Times New Roman"/>
                <w:b/>
                <w:color w:val="000000"/>
              </w:rPr>
              <w:t>A república</w:t>
            </w:r>
            <w:r>
              <w:rPr>
                <w:rFonts w:ascii="Times New Roman" w:hAnsi="Times New Roman" w:eastAsia="Times New Roman" w:cs="Times New Roman"/>
                <w:color w:val="000000"/>
              </w:rPr>
              <w:t>. Lisboa (Portugal): Calouste Gulbekian, 2008. </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Kant, Immanuel. </w:t>
            </w:r>
            <w:r>
              <w:rPr>
                <w:rFonts w:ascii="Times New Roman" w:hAnsi="Times New Roman" w:eastAsia="Times New Roman" w:cs="Times New Roman"/>
                <w:b/>
                <w:color w:val="000000"/>
              </w:rPr>
              <w:t>Crítica da faculdade do juízo</w:t>
            </w:r>
            <w:r>
              <w:rPr>
                <w:rFonts w:ascii="Times New Roman" w:hAnsi="Times New Roman" w:eastAsia="Times New Roman" w:cs="Times New Roman"/>
                <w:color w:val="000000"/>
              </w:rPr>
              <w:t>. 2ª. ed. Rio de Janeiro : Forense Universitária, 1995. Aristóteles. </w:t>
            </w:r>
            <w:r>
              <w:rPr>
                <w:rFonts w:ascii="Times New Roman" w:hAnsi="Times New Roman" w:eastAsia="Times New Roman" w:cs="Times New Roman"/>
                <w:b/>
                <w:color w:val="000000"/>
              </w:rPr>
              <w:t>Arte retórica e arte poética </w:t>
            </w:r>
            <w:r>
              <w:rPr>
                <w:rFonts w:ascii="Times New Roman" w:hAnsi="Times New Roman" w:eastAsia="Times New Roman" w:cs="Times New Roman"/>
                <w:color w:val="000000"/>
              </w:rPr>
              <w:t>. 15ª. ed. Rio de Janeiro : Ediouro, [20--]. </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Kant, Immanuel. </w:t>
            </w:r>
            <w:r>
              <w:rPr>
                <w:rFonts w:ascii="Times New Roman" w:hAnsi="Times New Roman" w:eastAsia="Times New Roman" w:cs="Times New Roman"/>
                <w:b/>
                <w:color w:val="000000"/>
              </w:rPr>
              <w:t>Crítica da faculdade do juízo</w:t>
            </w:r>
            <w:r>
              <w:rPr>
                <w:rFonts w:ascii="Times New Roman" w:hAnsi="Times New Roman" w:eastAsia="Times New Roman" w:cs="Times New Roman"/>
                <w:color w:val="000000"/>
              </w:rPr>
              <w:t>. Rio de Janeiro: Forense, [1993]. </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Kant, Immanuel. </w:t>
            </w:r>
            <w:r>
              <w:rPr>
                <w:rFonts w:ascii="Times New Roman" w:hAnsi="Times New Roman" w:eastAsia="Times New Roman" w:cs="Times New Roman"/>
                <w:b/>
                <w:color w:val="000000"/>
              </w:rPr>
              <w:t>Crítica da faculdade do juízo</w:t>
            </w:r>
            <w:r>
              <w:rPr>
                <w:rFonts w:ascii="Times New Roman" w:hAnsi="Times New Roman" w:eastAsia="Times New Roman" w:cs="Times New Roman"/>
                <w:color w:val="000000"/>
              </w:rPr>
              <w:t>. 2ª. ed. Rio de Janeiro : Forense Universitária, 1995. </w:t>
            </w:r>
          </w:p>
        </w:tc>
      </w:tr>
      <w:tr>
        <w:tblPrEx>
          <w:tblCellMar>
            <w:top w:w="0" w:type="dxa"/>
            <w:left w:w="22" w:type="dxa"/>
            <w:bottom w:w="0" w:type="dxa"/>
            <w:right w:w="22" w:type="dxa"/>
          </w:tblCellMar>
        </w:tblPrEx>
        <w:trPr>
          <w:trHeight w:val="1894" w:hRule="atLeast"/>
        </w:trPr>
        <w:tc>
          <w:tcPr>
            <w:tcW w:w="8738"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Freud, Sigmund </w:t>
            </w:r>
            <w:r>
              <w:rPr>
                <w:rFonts w:ascii="Times New Roman" w:hAnsi="Times New Roman" w:eastAsia="Times New Roman" w:cs="Times New Roman"/>
                <w:b/>
                <w:color w:val="000000"/>
              </w:rPr>
              <w:t>Escritores criativos e devaneios</w:t>
            </w:r>
            <w:r>
              <w:rPr>
                <w:rFonts w:ascii="Times New Roman" w:hAnsi="Times New Roman" w:eastAsia="Times New Roman" w:cs="Times New Roman"/>
                <w:color w:val="000000"/>
              </w:rPr>
              <w:t>: </w:t>
            </w:r>
            <w:r>
              <w:rPr>
                <w:rFonts w:ascii="Times New Roman" w:hAnsi="Times New Roman" w:eastAsia="Times New Roman" w:cs="Times New Roman"/>
                <w:i/>
                <w:color w:val="000000"/>
              </w:rPr>
              <w:t>livro 30</w:t>
            </w:r>
            <w:r>
              <w:rPr>
                <w:rFonts w:ascii="Times New Roman" w:hAnsi="Times New Roman" w:eastAsia="Times New Roman" w:cs="Times New Roman"/>
                <w:color w:val="000000"/>
              </w:rPr>
              <w:t>. Pequena coleção das obras de Freud.</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Marcuse, Herbert </w:t>
            </w:r>
            <w:r>
              <w:rPr>
                <w:rFonts w:ascii="Times New Roman" w:hAnsi="Times New Roman" w:eastAsia="Times New Roman" w:cs="Times New Roman"/>
                <w:b/>
                <w:color w:val="000000"/>
              </w:rPr>
              <w:t>A dimensão estética</w:t>
            </w:r>
            <w:r>
              <w:rPr>
                <w:rFonts w:ascii="Times New Roman" w:hAnsi="Times New Roman" w:eastAsia="Times New Roman" w:cs="Times New Roman"/>
                <w:color w:val="000000"/>
              </w:rPr>
              <w:t>. São Paulo: Martins Fontes, 1981. </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Marcuse, Herbert </w:t>
            </w:r>
            <w:r>
              <w:rPr>
                <w:rFonts w:ascii="Times New Roman" w:hAnsi="Times New Roman" w:eastAsia="Times New Roman" w:cs="Times New Roman"/>
                <w:b/>
                <w:color w:val="000000"/>
              </w:rPr>
              <w:t>Eros e civilização</w:t>
            </w:r>
            <w:r>
              <w:rPr>
                <w:rFonts w:ascii="Times New Roman" w:hAnsi="Times New Roman" w:eastAsia="Times New Roman" w:cs="Times New Roman"/>
                <w:color w:val="000000"/>
              </w:rPr>
              <w:t>: </w:t>
            </w:r>
            <w:r>
              <w:rPr>
                <w:rFonts w:ascii="Times New Roman" w:hAnsi="Times New Roman" w:eastAsia="Times New Roman" w:cs="Times New Roman"/>
                <w:i/>
                <w:color w:val="000000"/>
              </w:rPr>
              <w:t>uma interpretação filosófica do pensamento de Freud</w:t>
            </w:r>
            <w:r>
              <w:rPr>
                <w:rFonts w:ascii="Times New Roman" w:hAnsi="Times New Roman" w:eastAsia="Times New Roman" w:cs="Times New Roman"/>
                <w:color w:val="000000"/>
              </w:rPr>
              <w:t>. Rio de Janeiro (RJ): Zahar, 1975. </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Friedrich Schiller; tradução de Roberto Schwarz e Marcio Suzuki; introdução e notas de Marcio Suzuki. </w:t>
            </w:r>
            <w:r>
              <w:rPr>
                <w:rFonts w:ascii="Times New Roman" w:hAnsi="Times New Roman" w:eastAsia="Times New Roman" w:cs="Times New Roman"/>
                <w:b/>
                <w:color w:val="000000"/>
              </w:rPr>
              <w:t>A educação estética do homem</w:t>
            </w:r>
            <w:r>
              <w:rPr>
                <w:rFonts w:ascii="Times New Roman" w:hAnsi="Times New Roman" w:eastAsia="Times New Roman" w:cs="Times New Roman"/>
                <w:color w:val="000000"/>
              </w:rPr>
              <w:t>: </w:t>
            </w:r>
            <w:r>
              <w:rPr>
                <w:rFonts w:ascii="Times New Roman" w:hAnsi="Times New Roman" w:eastAsia="Times New Roman" w:cs="Times New Roman"/>
                <w:i/>
                <w:color w:val="000000"/>
              </w:rPr>
              <w:t>numa série de cartas</w:t>
            </w:r>
            <w:r>
              <w:rPr>
                <w:rFonts w:ascii="Times New Roman" w:hAnsi="Times New Roman" w:eastAsia="Times New Roman" w:cs="Times New Roman"/>
                <w:color w:val="000000"/>
              </w:rPr>
              <w:t>.</w:t>
            </w:r>
            <w:r>
              <w:rPr>
                <w:rFonts w:ascii="Times New Roman" w:hAnsi="Times New Roman" w:eastAsia="Times New Roman" w:cs="Times New Roman"/>
                <w:color w:val="000000"/>
              </w:rPr>
              <w:br w:type="textWrapping"/>
            </w:r>
            <w:r>
              <w:rPr>
                <w:rFonts w:ascii="Times New Roman" w:hAnsi="Times New Roman" w:eastAsia="Times New Roman" w:cs="Times New Roman"/>
                <w:color w:val="000000"/>
              </w:rPr>
              <w:t>São Paulo : Iluminuras, 1990. </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Walter Benjamin; tradução: Sergio Paulo Rouanet; prefacio: Jeanne Marie Gagnebin. </w:t>
            </w:r>
            <w:r>
              <w:rPr>
                <w:rFonts w:ascii="Times New Roman" w:hAnsi="Times New Roman" w:eastAsia="Times New Roman" w:cs="Times New Roman"/>
                <w:b/>
                <w:color w:val="000000"/>
              </w:rPr>
              <w:t>Magia e técnica, arte e política</w:t>
            </w:r>
            <w:r>
              <w:rPr>
                <w:rFonts w:ascii="Times New Roman" w:hAnsi="Times New Roman" w:eastAsia="Times New Roman" w:cs="Times New Roman"/>
                <w:color w:val="000000"/>
              </w:rPr>
              <w:t>: </w:t>
            </w:r>
            <w:r>
              <w:rPr>
                <w:rFonts w:ascii="Times New Roman" w:hAnsi="Times New Roman" w:eastAsia="Times New Roman" w:cs="Times New Roman"/>
                <w:i/>
                <w:color w:val="000000"/>
              </w:rPr>
              <w:t>ensaios sobre literatura e história da cultura </w:t>
            </w:r>
            <w:r>
              <w:rPr>
                <w:rFonts w:ascii="Times New Roman" w:hAnsi="Times New Roman" w:eastAsia="Times New Roman" w:cs="Times New Roman"/>
                <w:color w:val="000000"/>
              </w:rPr>
              <w:t>.7. ed. São Paulo: Brasiliense, 1994. </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Walter Benjami ; tradução de Sérgio Paulo Rouanet ; revisão técnica Márcio Seligmann-Silva ; prefácio de Jeanne Marie Gagnebin. </w:t>
            </w:r>
            <w:r>
              <w:rPr>
                <w:rFonts w:ascii="Times New Roman" w:hAnsi="Times New Roman" w:eastAsia="Times New Roman" w:cs="Times New Roman"/>
                <w:b/>
                <w:color w:val="000000"/>
              </w:rPr>
              <w:t>Magia e técnica, arte e política</w:t>
            </w:r>
            <w:r>
              <w:rPr>
                <w:rFonts w:ascii="Times New Roman" w:hAnsi="Times New Roman" w:eastAsia="Times New Roman" w:cs="Times New Roman"/>
                <w:color w:val="000000"/>
              </w:rPr>
              <w:br w:type="textWrapping"/>
            </w:r>
            <w:r>
              <w:rPr>
                <w:rFonts w:ascii="Times New Roman" w:hAnsi="Times New Roman" w:eastAsia="Times New Roman" w:cs="Times New Roman"/>
                <w:color w:val="000000"/>
              </w:rPr>
              <w:t>: </w:t>
            </w:r>
            <w:r>
              <w:rPr>
                <w:rFonts w:ascii="Times New Roman" w:hAnsi="Times New Roman" w:eastAsia="Times New Roman" w:cs="Times New Roman"/>
                <w:i/>
                <w:color w:val="000000"/>
              </w:rPr>
              <w:t>ensaios sobre literatura e história da cultura </w:t>
            </w:r>
            <w:r>
              <w:rPr>
                <w:rFonts w:ascii="Times New Roman" w:hAnsi="Times New Roman" w:eastAsia="Times New Roman" w:cs="Times New Roman"/>
                <w:color w:val="000000"/>
              </w:rPr>
              <w:t>. 8.edSão Paulo: Brasiliense, 2012. </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Eco, Umberto. </w:t>
            </w:r>
            <w:r>
              <w:rPr>
                <w:rFonts w:ascii="Times New Roman" w:hAnsi="Times New Roman" w:eastAsia="Times New Roman" w:cs="Times New Roman"/>
                <w:b/>
                <w:color w:val="000000"/>
              </w:rPr>
              <w:t>Arte e beleza na estetica medieval</w:t>
            </w:r>
            <w:r>
              <w:rPr>
                <w:rFonts w:ascii="Times New Roman" w:hAnsi="Times New Roman" w:eastAsia="Times New Roman" w:cs="Times New Roman"/>
                <w:color w:val="000000"/>
              </w:rPr>
              <w:t>. Rio de Janeiro: Globo, 1989. </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Nietzsche, Friedrich Wilhelm. </w:t>
            </w:r>
            <w:r>
              <w:rPr>
                <w:rFonts w:ascii="Times New Roman" w:hAnsi="Times New Roman" w:eastAsia="Times New Roman" w:cs="Times New Roman"/>
                <w:b/>
                <w:color w:val="000000"/>
              </w:rPr>
              <w:t>A gaia ciência</w:t>
            </w:r>
            <w:r>
              <w:rPr>
                <w:rFonts w:ascii="Times New Roman" w:hAnsi="Times New Roman" w:eastAsia="Times New Roman" w:cs="Times New Roman"/>
                <w:color w:val="000000"/>
              </w:rPr>
              <w:t>. São Paulo: Companhia das Letras, 2001.  </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 </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leftChars="0" w:firstLine="0" w:firstLineChars="0"/>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60"/>
        <w:tblW w:w="8738" w:type="dxa"/>
        <w:tblInd w:w="22" w:type="dxa"/>
        <w:tblLayout w:type="fixed"/>
        <w:tblCellMar>
          <w:top w:w="0" w:type="dxa"/>
          <w:left w:w="22" w:type="dxa"/>
          <w:bottom w:w="0" w:type="dxa"/>
          <w:right w:w="22" w:type="dxa"/>
        </w:tblCellMar>
      </w:tblPr>
      <w:tblGrid>
        <w:gridCol w:w="3009"/>
        <w:gridCol w:w="3119"/>
        <w:gridCol w:w="282"/>
        <w:gridCol w:w="2328"/>
      </w:tblGrid>
      <w:tr>
        <w:tblPrEx>
          <w:tblCellMar>
            <w:top w:w="0" w:type="dxa"/>
            <w:left w:w="22" w:type="dxa"/>
            <w:bottom w:w="0" w:type="dxa"/>
            <w:right w:w="22" w:type="dxa"/>
          </w:tblCellMar>
        </w:tblPrEx>
        <w:trPr>
          <w:trHeight w:val="1402" w:hRule="atLeast"/>
        </w:trPr>
        <w:tc>
          <w:tcPr>
            <w:tcW w:w="6410" w:type="dxa"/>
            <w:gridSpan w:val="3"/>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História da Filosofia VII: Filos. Contemporânea II</w:t>
            </w:r>
          </w:p>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History of Philosophy VII: Contemporary Philosophy II</w:t>
            </w:r>
          </w:p>
        </w:tc>
        <w:tc>
          <w:tcPr>
            <w:tcW w:w="2328"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FIL671</w:t>
            </w:r>
          </w:p>
        </w:tc>
      </w:tr>
      <w:tr>
        <w:tblPrEx>
          <w:tblCellMar>
            <w:top w:w="0" w:type="dxa"/>
            <w:left w:w="22" w:type="dxa"/>
            <w:bottom w:w="0" w:type="dxa"/>
            <w:right w:w="22" w:type="dxa"/>
          </w:tblCellMar>
        </w:tblPrEx>
        <w:trPr>
          <w:trHeight w:val="825" w:hRule="atLeast"/>
        </w:trPr>
        <w:tc>
          <w:tcPr>
            <w:tcW w:w="6410" w:type="dxa"/>
            <w:gridSpan w:val="3"/>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w:t>
            </w:r>
          </w:p>
          <w:p>
            <w:pPr>
              <w:widowControl w:val="0"/>
              <w:pBdr>
                <w:top w:val="none" w:color="auto" w:sz="0" w:space="0"/>
                <w:left w:val="none" w:color="auto" w:sz="0" w:space="0"/>
                <w:bottom w:val="none" w:color="auto" w:sz="0" w:space="0"/>
                <w:right w:val="none" w:color="auto" w:sz="0" w:space="0"/>
                <w:between w:val="none" w:color="auto" w:sz="0" w:space="0"/>
              </w:pBdr>
              <w:spacing w:before="137"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Filosofia - DEFIL</w:t>
            </w:r>
          </w:p>
        </w:tc>
        <w:tc>
          <w:tcPr>
            <w:tcW w:w="2328"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3" w:hRule="atLeast"/>
        </w:trPr>
        <w:tc>
          <w:tcPr>
            <w:tcW w:w="3009"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0" w:right="46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 xml:space="preserve">semestral </w:t>
            </w:r>
          </w:p>
          <w:p>
            <w:pPr>
              <w:widowControl w:val="0"/>
              <w:pBdr>
                <w:top w:val="none" w:color="auto" w:sz="0" w:space="0"/>
                <w:left w:val="none" w:color="auto" w:sz="0" w:space="0"/>
                <w:bottom w:val="none" w:color="auto" w:sz="0" w:space="0"/>
                <w:right w:val="none" w:color="auto" w:sz="0" w:space="0"/>
                <w:between w:val="none" w:color="auto" w:sz="0" w:space="0"/>
              </w:pBdr>
              <w:spacing w:before="7" w:line="24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60 horas</w:t>
            </w:r>
          </w:p>
        </w:tc>
        <w:tc>
          <w:tcPr>
            <w:tcW w:w="3119"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03 horas/aula</w:t>
            </w:r>
          </w:p>
        </w:tc>
        <w:tc>
          <w:tcPr>
            <w:tcW w:w="2610" w:type="dxa"/>
            <w:gridSpan w:val="2"/>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01 horas/aula</w:t>
            </w:r>
          </w:p>
        </w:tc>
      </w:tr>
      <w:tr>
        <w:tblPrEx>
          <w:tblCellMar>
            <w:top w:w="0" w:type="dxa"/>
            <w:left w:w="22" w:type="dxa"/>
            <w:bottom w:w="0" w:type="dxa"/>
            <w:right w:w="22" w:type="dxa"/>
          </w:tblCellMar>
        </w:tblPrEx>
        <w:trPr>
          <w:trHeight w:val="871" w:hRule="atLeast"/>
        </w:trPr>
        <w:tc>
          <w:tcPr>
            <w:tcW w:w="8738" w:type="dxa"/>
            <w:gridSpan w:val="4"/>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Ementa: No interior da Filosofia Analítica encontramos trabalhos notáveis sobre os mais diversos setores da Filosofia. Neste curso concentraremos nossa atenção sobre alguns temas de Filosofia da Linguagem. O curso pretende formar uma base para a leitura crítica de textos nesta área do conhecimento. </w:t>
            </w:r>
          </w:p>
        </w:tc>
      </w:tr>
      <w:tr>
        <w:tblPrEx>
          <w:tblCellMar>
            <w:top w:w="0" w:type="dxa"/>
            <w:left w:w="22" w:type="dxa"/>
            <w:bottom w:w="0" w:type="dxa"/>
            <w:right w:w="22" w:type="dxa"/>
          </w:tblCellMar>
        </w:tblPrEx>
        <w:trPr>
          <w:trHeight w:val="2342" w:hRule="atLeast"/>
        </w:trPr>
        <w:tc>
          <w:tcPr>
            <w:tcW w:w="8738" w:type="dxa"/>
            <w:gridSpan w:val="4"/>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numPr>
                <w:ilvl w:val="0"/>
                <w:numId w:val="128"/>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Os enigmas de Frege. </w:t>
            </w:r>
          </w:p>
          <w:p>
            <w:pPr>
              <w:widowControl w:val="0"/>
              <w:numPr>
                <w:ilvl w:val="0"/>
                <w:numId w:val="128"/>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 tese do significado como o uso em Wittgenstein.</w:t>
            </w:r>
          </w:p>
          <w:p>
            <w:pPr>
              <w:widowControl w:val="0"/>
              <w:numPr>
                <w:ilvl w:val="0"/>
                <w:numId w:val="128"/>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 teoria dos atos de fala. </w:t>
            </w:r>
          </w:p>
          <w:p>
            <w:pPr>
              <w:widowControl w:val="0"/>
              <w:numPr>
                <w:ilvl w:val="0"/>
                <w:numId w:val="128"/>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Significado literal e implicaturas.</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p>
        </w:tc>
      </w:tr>
      <w:tr>
        <w:tblPrEx>
          <w:tblCellMar>
            <w:top w:w="0" w:type="dxa"/>
            <w:left w:w="22" w:type="dxa"/>
            <w:bottom w:w="0" w:type="dxa"/>
            <w:right w:w="22" w:type="dxa"/>
          </w:tblCellMar>
        </w:tblPrEx>
        <w:trPr>
          <w:trHeight w:val="1163" w:hRule="atLeast"/>
        </w:trPr>
        <w:tc>
          <w:tcPr>
            <w:tcW w:w="8738" w:type="dxa"/>
            <w:gridSpan w:val="4"/>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Frege, G. </w:t>
            </w:r>
            <w:r>
              <w:rPr>
                <w:rFonts w:ascii="Times New Roman" w:hAnsi="Times New Roman" w:eastAsia="Times New Roman" w:cs="Times New Roman"/>
                <w:b/>
                <w:color w:val="000000"/>
              </w:rPr>
              <w:t>O pensamento</w:t>
            </w:r>
            <w:r>
              <w:rPr>
                <w:rFonts w:ascii="Times New Roman" w:hAnsi="Times New Roman" w:eastAsia="Times New Roman" w:cs="Times New Roman"/>
                <w:color w:val="000000"/>
              </w:rPr>
              <w:t>: </w:t>
            </w:r>
            <w:r>
              <w:rPr>
                <w:rFonts w:ascii="Times New Roman" w:hAnsi="Times New Roman" w:eastAsia="Times New Roman" w:cs="Times New Roman"/>
                <w:i/>
                <w:color w:val="000000"/>
              </w:rPr>
              <w:t>in: alcoforado</w:t>
            </w:r>
            <w:r>
              <w:rPr>
                <w:rFonts w:ascii="Times New Roman" w:hAnsi="Times New Roman" w:eastAsia="Times New Roman" w:cs="Times New Roman"/>
                <w:color w:val="000000"/>
              </w:rPr>
              <w:t>. São Paulo: Cultrix, 1978. </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Frege, Gottlob. </w:t>
            </w:r>
            <w:r>
              <w:rPr>
                <w:rFonts w:ascii="Times New Roman" w:hAnsi="Times New Roman" w:eastAsia="Times New Roman" w:cs="Times New Roman"/>
                <w:b/>
                <w:color w:val="000000"/>
              </w:rPr>
              <w:t>Investigações lógicas</w:t>
            </w:r>
            <w:r>
              <w:rPr>
                <w:rFonts w:ascii="Times New Roman" w:hAnsi="Times New Roman" w:eastAsia="Times New Roman" w:cs="Times New Roman"/>
                <w:color w:val="000000"/>
              </w:rPr>
              <w:t>. Porto Alegre, [RS]: EDIPUCRS, 2002. </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Frege, Gottlob. </w:t>
            </w:r>
            <w:r>
              <w:rPr>
                <w:rFonts w:ascii="Times New Roman" w:hAnsi="Times New Roman" w:eastAsia="Times New Roman" w:cs="Times New Roman"/>
                <w:b/>
                <w:color w:val="000000"/>
              </w:rPr>
              <w:t>Lógica e filosofia da linguagem</w:t>
            </w:r>
            <w:r>
              <w:rPr>
                <w:rFonts w:ascii="Times New Roman" w:hAnsi="Times New Roman" w:eastAsia="Times New Roman" w:cs="Times New Roman"/>
                <w:color w:val="000000"/>
              </w:rPr>
              <w:t>. 2ª. ed. ampl. e rev. São Paulo: Edusp, c2009. </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tradução e apresentação e edição brasileira de Danilo Marcondes de Souza Filho. </w:t>
            </w:r>
            <w:r>
              <w:rPr>
                <w:rFonts w:ascii="Times New Roman" w:hAnsi="Times New Roman" w:eastAsia="Times New Roman" w:cs="Times New Roman"/>
                <w:b/>
                <w:color w:val="000000"/>
              </w:rPr>
              <w:t>Quando dizer e fazer</w:t>
            </w:r>
            <w:r>
              <w:rPr>
                <w:rFonts w:ascii="Times New Roman" w:hAnsi="Times New Roman" w:eastAsia="Times New Roman" w:cs="Times New Roman"/>
                <w:color w:val="000000"/>
              </w:rPr>
              <w:t>: </w:t>
            </w:r>
            <w:r>
              <w:rPr>
                <w:rFonts w:ascii="Times New Roman" w:hAnsi="Times New Roman" w:eastAsia="Times New Roman" w:cs="Times New Roman"/>
                <w:i/>
                <w:color w:val="000000"/>
              </w:rPr>
              <w:t>palavras e ação</w:t>
            </w:r>
            <w:r>
              <w:rPr>
                <w:rFonts w:ascii="Times New Roman" w:hAnsi="Times New Roman" w:eastAsia="Times New Roman" w:cs="Times New Roman"/>
                <w:color w:val="000000"/>
              </w:rPr>
              <w:t>. Porto Alegre, [RS]: Artes Médicas, 1990.</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 Frege, Gottlob. </w:t>
            </w:r>
            <w:r>
              <w:rPr>
                <w:rFonts w:ascii="Times New Roman" w:hAnsi="Times New Roman" w:eastAsia="Times New Roman" w:cs="Times New Roman"/>
                <w:b/>
                <w:color w:val="000000"/>
              </w:rPr>
              <w:t>Lógica e filosofia da linguagem</w:t>
            </w:r>
            <w:r>
              <w:rPr>
                <w:rFonts w:ascii="Times New Roman" w:hAnsi="Times New Roman" w:eastAsia="Times New Roman" w:cs="Times New Roman"/>
                <w:color w:val="000000"/>
              </w:rPr>
              <w:t>. São Paulo: Cultrix.</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Times New Roman" w:cs="Times New Roman"/>
                <w:color w:val="000000"/>
              </w:rPr>
            </w:pPr>
          </w:p>
        </w:tc>
      </w:tr>
      <w:tr>
        <w:tblPrEx>
          <w:tblCellMar>
            <w:top w:w="0" w:type="dxa"/>
            <w:left w:w="22" w:type="dxa"/>
            <w:bottom w:w="0" w:type="dxa"/>
            <w:right w:w="22" w:type="dxa"/>
          </w:tblCellMar>
        </w:tblPrEx>
        <w:trPr>
          <w:trHeight w:val="1894" w:hRule="atLeast"/>
        </w:trPr>
        <w:tc>
          <w:tcPr>
            <w:tcW w:w="8738" w:type="dxa"/>
            <w:gridSpan w:val="4"/>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Marcondes, D. </w:t>
            </w:r>
            <w:r>
              <w:rPr>
                <w:rFonts w:ascii="Times New Roman" w:hAnsi="Times New Roman" w:eastAsia="Times New Roman" w:cs="Times New Roman"/>
                <w:b/>
                <w:color w:val="000000"/>
              </w:rPr>
              <w:t>Filosofia, linguagem e comunicação</w:t>
            </w:r>
            <w:r>
              <w:rPr>
                <w:rFonts w:ascii="Times New Roman" w:hAnsi="Times New Roman" w:eastAsia="Times New Roman" w:cs="Times New Roman"/>
                <w:color w:val="000000"/>
              </w:rPr>
              <w:t>. São Paulo: Cortez, 2000. </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seleção de Oswaldo Porchat de Assis Pereira da Silva; traduções de Balthazar Barbosa Filho... [et al.] </w:t>
            </w:r>
            <w:r>
              <w:rPr>
                <w:rFonts w:ascii="Times New Roman" w:hAnsi="Times New Roman" w:eastAsia="Times New Roman" w:cs="Times New Roman"/>
                <w:b/>
                <w:color w:val="000000"/>
              </w:rPr>
              <w:t>Ensaios </w:t>
            </w:r>
            <w:r>
              <w:rPr>
                <w:rFonts w:ascii="Times New Roman" w:hAnsi="Times New Roman" w:eastAsia="Times New Roman" w:cs="Times New Roman"/>
                <w:color w:val="000000"/>
              </w:rPr>
              <w:t>: </w:t>
            </w:r>
            <w:r>
              <w:rPr>
                <w:rFonts w:ascii="Times New Roman" w:hAnsi="Times New Roman" w:eastAsia="Times New Roman" w:cs="Times New Roman"/>
                <w:i/>
                <w:color w:val="000000"/>
              </w:rPr>
              <w:t>Gilbert Ryle, John Langshaw Austin, Willard Van Orman Quine, Peter Frederick Strawson</w:t>
            </w:r>
            <w:r>
              <w:rPr>
                <w:rFonts w:ascii="Times New Roman" w:hAnsi="Times New Roman" w:eastAsia="Times New Roman" w:cs="Times New Roman"/>
                <w:color w:val="000000"/>
              </w:rPr>
              <w:t>.2. ed.São Paulo : Abril Cultural, 1980. </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Dan Sperber, Deirdre Wilson; tradução de Helen Santos Alves ; revisão científica de Manuel Gomes da Torre. </w:t>
            </w:r>
            <w:r>
              <w:rPr>
                <w:rFonts w:ascii="Times New Roman" w:hAnsi="Times New Roman" w:eastAsia="Times New Roman" w:cs="Times New Roman"/>
                <w:b/>
                <w:color w:val="000000"/>
              </w:rPr>
              <w:t>Relevância </w:t>
            </w:r>
            <w:r>
              <w:rPr>
                <w:rFonts w:ascii="Times New Roman" w:hAnsi="Times New Roman" w:eastAsia="Times New Roman" w:cs="Times New Roman"/>
                <w:color w:val="000000"/>
              </w:rPr>
              <w:t>: </w:t>
            </w:r>
            <w:r>
              <w:rPr>
                <w:rFonts w:ascii="Times New Roman" w:hAnsi="Times New Roman" w:eastAsia="Times New Roman" w:cs="Times New Roman"/>
                <w:i/>
                <w:color w:val="000000"/>
              </w:rPr>
              <w:t>comunicação e cognição </w:t>
            </w:r>
            <w:r>
              <w:rPr>
                <w:rFonts w:ascii="Times New Roman" w:hAnsi="Times New Roman" w:eastAsia="Times New Roman" w:cs="Times New Roman"/>
                <w:color w:val="000000"/>
              </w:rPr>
              <w:t>.</w:t>
            </w:r>
            <w:r>
              <w:rPr>
                <w:rFonts w:ascii="Times New Roman" w:hAnsi="Times New Roman" w:eastAsia="Times New Roman" w:cs="Times New Roman"/>
                <w:color w:val="000000"/>
              </w:rPr>
              <w:br w:type="textWrapping"/>
            </w:r>
            <w:r>
              <w:rPr>
                <w:rFonts w:ascii="Times New Roman" w:hAnsi="Times New Roman" w:eastAsia="Times New Roman" w:cs="Times New Roman"/>
                <w:color w:val="000000"/>
              </w:rPr>
              <w:t>Lisboa : Fundação Calouste Gulbenkian, 2001. </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 </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 </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bl>
      <w:tblPr>
        <w:tblStyle w:val="661"/>
        <w:tblW w:w="8738" w:type="dxa"/>
        <w:tblInd w:w="22" w:type="dxa"/>
        <w:tblLayout w:type="fixed"/>
        <w:tblCellMar>
          <w:top w:w="0" w:type="dxa"/>
          <w:left w:w="22" w:type="dxa"/>
          <w:bottom w:w="0" w:type="dxa"/>
          <w:right w:w="22" w:type="dxa"/>
        </w:tblCellMar>
      </w:tblPr>
      <w:tblGrid>
        <w:gridCol w:w="2835"/>
        <w:gridCol w:w="3293"/>
        <w:gridCol w:w="2610"/>
      </w:tblGrid>
      <w:tr>
        <w:tblPrEx>
          <w:tblCellMar>
            <w:top w:w="0" w:type="dxa"/>
            <w:left w:w="22" w:type="dxa"/>
            <w:bottom w:w="0" w:type="dxa"/>
            <w:right w:w="22" w:type="dxa"/>
          </w:tblCellMar>
        </w:tblPrEx>
        <w:trPr>
          <w:trHeight w:val="1402" w:hRule="atLeast"/>
        </w:trPr>
        <w:tc>
          <w:tcPr>
            <w:tcW w:w="6128" w:type="dxa"/>
            <w:gridSpan w:val="2"/>
            <w:tcBorders>
              <w:top w:val="single" w:color="000000" w:sz="18"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português: Estética Geral</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do Componente Curricular em inglês: General Esthetics</w:t>
            </w:r>
          </w:p>
        </w:tc>
        <w:tc>
          <w:tcPr>
            <w:tcW w:w="2610" w:type="dxa"/>
            <w:tcBorders>
              <w:top w:val="single" w:color="000000" w:sz="18"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Código: FIL672</w:t>
            </w:r>
          </w:p>
        </w:tc>
      </w:tr>
      <w:tr>
        <w:tblPrEx>
          <w:tblCellMar>
            <w:top w:w="0" w:type="dxa"/>
            <w:left w:w="22" w:type="dxa"/>
            <w:bottom w:w="0" w:type="dxa"/>
            <w:right w:w="22" w:type="dxa"/>
          </w:tblCellMar>
        </w:tblPrEx>
        <w:trPr>
          <w:trHeight w:val="825" w:hRule="atLeast"/>
        </w:trPr>
        <w:tc>
          <w:tcPr>
            <w:tcW w:w="6128" w:type="dxa"/>
            <w:gridSpan w:val="2"/>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 e sigla do departamento: Departamento de</w:t>
            </w:r>
          </w:p>
          <w:p>
            <w:pPr>
              <w:widowControl w:val="0"/>
              <w:pBdr>
                <w:top w:val="none" w:color="auto" w:sz="0" w:space="0"/>
                <w:left w:val="none" w:color="auto" w:sz="0" w:space="0"/>
                <w:bottom w:val="none" w:color="auto" w:sz="0" w:space="0"/>
                <w:right w:val="none" w:color="auto" w:sz="0" w:space="0"/>
                <w:between w:val="none" w:color="auto" w:sz="0" w:space="0"/>
              </w:pBdr>
              <w:spacing w:before="137"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Filosofia - DEFIL</w:t>
            </w:r>
          </w:p>
        </w:tc>
        <w:tc>
          <w:tcPr>
            <w:tcW w:w="2610"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Unidade acadêmica: ICHS</w:t>
            </w:r>
          </w:p>
        </w:tc>
      </w:tr>
      <w:tr>
        <w:tblPrEx>
          <w:tblCellMar>
            <w:top w:w="0" w:type="dxa"/>
            <w:left w:w="22" w:type="dxa"/>
            <w:bottom w:w="0" w:type="dxa"/>
            <w:right w:w="22" w:type="dxa"/>
          </w:tblCellMar>
        </w:tblPrEx>
        <w:trPr>
          <w:trHeight w:val="1243" w:hRule="atLeast"/>
        </w:trPr>
        <w:tc>
          <w:tcPr>
            <w:tcW w:w="2835" w:type="dxa"/>
            <w:tcBorders>
              <w:top w:val="single" w:color="000000" w:sz="4" w:space="0"/>
              <w:left w:val="single" w:color="000000" w:sz="18"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46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Carga horária semestral</w:t>
            </w:r>
          </w:p>
          <w:p>
            <w:pPr>
              <w:widowControl w:val="0"/>
              <w:pBdr>
                <w:top w:val="none" w:color="auto" w:sz="0" w:space="0"/>
                <w:left w:val="none" w:color="auto" w:sz="0" w:space="0"/>
                <w:bottom w:val="none" w:color="auto" w:sz="0" w:space="0"/>
                <w:right w:val="none" w:color="auto" w:sz="0" w:space="0"/>
                <w:between w:val="none" w:color="auto" w:sz="0" w:space="0"/>
              </w:pBdr>
              <w:spacing w:before="7" w:line="360" w:lineRule="auto"/>
              <w:ind w:left="0" w:right="684"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60 horas</w:t>
            </w:r>
          </w:p>
        </w:tc>
        <w:tc>
          <w:tcPr>
            <w:tcW w:w="3293" w:type="dxa"/>
            <w:tcBorders>
              <w:top w:val="single" w:color="000000" w:sz="4" w:space="0"/>
              <w:left w:val="single" w:color="000000" w:sz="4" w:space="0"/>
              <w:bottom w:val="single" w:color="000000" w:sz="4"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teórica 03 horas/aula</w:t>
            </w:r>
          </w:p>
        </w:tc>
        <w:tc>
          <w:tcPr>
            <w:tcW w:w="2610" w:type="dxa"/>
            <w:tcBorders>
              <w:top w:val="single" w:color="000000" w:sz="4" w:space="0"/>
              <w:left w:val="single" w:color="000000" w:sz="4"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Carga horária semanal prática</w:t>
            </w:r>
          </w:p>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01 horas/aula</w:t>
            </w:r>
          </w:p>
        </w:tc>
      </w:tr>
      <w:tr>
        <w:tblPrEx>
          <w:tblCellMar>
            <w:top w:w="0" w:type="dxa"/>
            <w:left w:w="22" w:type="dxa"/>
            <w:bottom w:w="0" w:type="dxa"/>
            <w:right w:w="22" w:type="dxa"/>
          </w:tblCellMar>
        </w:tblPrEx>
        <w:trPr>
          <w:trHeight w:val="871" w:hRule="atLeast"/>
        </w:trPr>
        <w:tc>
          <w:tcPr>
            <w:tcW w:w="8738"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Ementa: Apresentaremos de forma expositiva, acompanhada pela leitura de textos, reflexões fundamentais para a compreensão tanto da constituição dos objetos da Estética, quanto do lugar próprio desse modo de pensamento, ao longo de seu processo histórico, desde a Grécia Clássica até o mundo contemporâneo.</w:t>
            </w:r>
          </w:p>
        </w:tc>
      </w:tr>
      <w:tr>
        <w:tblPrEx>
          <w:tblCellMar>
            <w:top w:w="0" w:type="dxa"/>
            <w:left w:w="22" w:type="dxa"/>
            <w:bottom w:w="0" w:type="dxa"/>
            <w:right w:w="22" w:type="dxa"/>
          </w:tblCellMar>
        </w:tblPrEx>
        <w:trPr>
          <w:trHeight w:val="985" w:hRule="atLeast"/>
        </w:trPr>
        <w:tc>
          <w:tcPr>
            <w:tcW w:w="8738"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Conteúdo programático:</w:t>
            </w:r>
          </w:p>
          <w:p>
            <w:pPr>
              <w:widowControl w:val="0"/>
              <w:numPr>
                <w:ilvl w:val="0"/>
                <w:numId w:val="129"/>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Introdução.</w:t>
            </w:r>
          </w:p>
          <w:p>
            <w:pPr>
              <w:widowControl w:val="0"/>
              <w:numPr>
                <w:ilvl w:val="0"/>
                <w:numId w:val="129"/>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Platão e a afecção sensível (aesthesis) nos diálogos Hipias Maior, Livros III e X de A república. </w:t>
            </w:r>
          </w:p>
          <w:p>
            <w:pPr>
              <w:widowControl w:val="0"/>
              <w:numPr>
                <w:ilvl w:val="0"/>
                <w:numId w:val="129"/>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Aristóteles e a afecção sensível (aesthesis) em trechos selecionados da Retórica. </w:t>
            </w:r>
          </w:p>
          <w:p>
            <w:pPr>
              <w:widowControl w:val="0"/>
              <w:numPr>
                <w:ilvl w:val="0"/>
                <w:numId w:val="129"/>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Umberto Eco e a estética medieval.</w:t>
            </w:r>
          </w:p>
          <w:p>
            <w:pPr>
              <w:widowControl w:val="0"/>
              <w:numPr>
                <w:ilvl w:val="0"/>
                <w:numId w:val="129"/>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Kant, o belo e o sublime. </w:t>
            </w:r>
          </w:p>
          <w:p>
            <w:pPr>
              <w:widowControl w:val="0"/>
              <w:numPr>
                <w:ilvl w:val="0"/>
                <w:numId w:val="129"/>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 educação estética, segundo Schiller.</w:t>
            </w:r>
          </w:p>
          <w:p>
            <w:pPr>
              <w:widowControl w:val="0"/>
              <w:numPr>
                <w:ilvl w:val="0"/>
                <w:numId w:val="129"/>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 estética hegeliana, a partir de trechos selecionados dos Cursos de estética.</w:t>
            </w:r>
          </w:p>
          <w:p>
            <w:pPr>
              <w:widowControl w:val="0"/>
              <w:numPr>
                <w:ilvl w:val="0"/>
                <w:numId w:val="129"/>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Estética e fantasia, de acordo com Freud.</w:t>
            </w:r>
          </w:p>
          <w:p>
            <w:pPr>
              <w:widowControl w:val="0"/>
              <w:numPr>
                <w:ilvl w:val="0"/>
                <w:numId w:val="129"/>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 surrealismo, apresentado por Walter Benjamin. </w:t>
            </w:r>
          </w:p>
          <w:p>
            <w:pPr>
              <w:widowControl w:val="0"/>
              <w:numPr>
                <w:ilvl w:val="0"/>
                <w:numId w:val="129"/>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 dimensão estética na filosofia de Herbert Marcuse.</w:t>
            </w:r>
          </w:p>
          <w:p>
            <w:pPr>
              <w:widowControl w:val="0"/>
              <w:numPr>
                <w:ilvl w:val="0"/>
                <w:numId w:val="129"/>
              </w:numPr>
              <w:pBdr>
                <w:top w:val="none" w:color="auto" w:sz="0" w:space="0"/>
                <w:left w:val="none" w:color="auto" w:sz="0" w:space="0"/>
                <w:bottom w:val="none" w:color="auto" w:sz="0" w:space="0"/>
                <w:right w:val="none" w:color="auto" w:sz="0" w:space="0"/>
                <w:between w:val="none" w:color="auto" w:sz="0" w:space="0"/>
              </w:pBdr>
              <w:spacing w:line="360" w:lineRule="auto"/>
              <w:ind w:left="0" w:right="216"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Estética e mundo real, nas reflexões de Slavoj Zizek. </w:t>
            </w:r>
          </w:p>
        </w:tc>
      </w:tr>
      <w:tr>
        <w:tblPrEx>
          <w:tblCellMar>
            <w:top w:w="0" w:type="dxa"/>
            <w:left w:w="22" w:type="dxa"/>
            <w:bottom w:w="0" w:type="dxa"/>
            <w:right w:w="22" w:type="dxa"/>
          </w:tblCellMar>
        </w:tblPrEx>
        <w:trPr>
          <w:trHeight w:val="1163" w:hRule="atLeast"/>
        </w:trPr>
        <w:tc>
          <w:tcPr>
            <w:tcW w:w="8738"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básica:</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Platão </w:t>
            </w:r>
            <w:r>
              <w:rPr>
                <w:rFonts w:ascii="Times New Roman" w:hAnsi="Times New Roman" w:eastAsia="Times New Roman" w:cs="Times New Roman"/>
                <w:b/>
                <w:color w:val="000000"/>
              </w:rPr>
              <w:t>A república</w:t>
            </w:r>
            <w:r>
              <w:rPr>
                <w:rFonts w:ascii="Times New Roman" w:hAnsi="Times New Roman" w:eastAsia="Times New Roman" w:cs="Times New Roman"/>
                <w:color w:val="000000"/>
              </w:rPr>
              <w:t>. Lisboa (Portugal): Calouste Gulbekian, 2008.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Kant, Immanuel. </w:t>
            </w:r>
            <w:r>
              <w:rPr>
                <w:rFonts w:ascii="Times New Roman" w:hAnsi="Times New Roman" w:eastAsia="Times New Roman" w:cs="Times New Roman"/>
                <w:b/>
                <w:color w:val="000000"/>
              </w:rPr>
              <w:t>Crítica da faculdade do juízo</w:t>
            </w:r>
            <w:r>
              <w:rPr>
                <w:rFonts w:ascii="Times New Roman" w:hAnsi="Times New Roman" w:eastAsia="Times New Roman" w:cs="Times New Roman"/>
                <w:color w:val="000000"/>
              </w:rPr>
              <w:t>. 2. ed.Rio de Janeiro : ForenseUniversitária, 1995.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Friedrich Schiller ; tradução de Roberto Schwarz e Marcio Suzuki ; introdução e notas de Marcio Suzuki. </w:t>
            </w:r>
            <w:r>
              <w:rPr>
                <w:rFonts w:ascii="Times New Roman" w:hAnsi="Times New Roman" w:eastAsia="Times New Roman" w:cs="Times New Roman"/>
                <w:b/>
                <w:color w:val="000000"/>
              </w:rPr>
              <w:t>A educação estética do homem </w:t>
            </w:r>
            <w:r>
              <w:rPr>
                <w:rFonts w:ascii="Times New Roman" w:hAnsi="Times New Roman" w:eastAsia="Times New Roman" w:cs="Times New Roman"/>
                <w:color w:val="000000"/>
              </w:rPr>
              <w:t>: </w:t>
            </w:r>
            <w:r>
              <w:rPr>
                <w:rFonts w:ascii="Times New Roman" w:hAnsi="Times New Roman" w:eastAsia="Times New Roman" w:cs="Times New Roman"/>
                <w:i/>
                <w:color w:val="000000"/>
              </w:rPr>
              <w:t>numa série de cartas </w:t>
            </w:r>
            <w:r>
              <w:rPr>
                <w:rFonts w:ascii="Times New Roman" w:hAnsi="Times New Roman" w:eastAsia="Times New Roman" w:cs="Times New Roman"/>
                <w:color w:val="000000"/>
              </w:rPr>
              <w:t>.São Paulo : Iluminuras, 1990.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Friedrich Schiller; tradução Roberto Schwarz e Márcio Suzuki; introdução e notas de Márcio Suzuki. </w:t>
            </w:r>
            <w:r>
              <w:rPr>
                <w:rFonts w:ascii="Times New Roman" w:hAnsi="Times New Roman" w:eastAsia="Times New Roman" w:cs="Times New Roman"/>
                <w:b/>
                <w:color w:val="000000"/>
              </w:rPr>
              <w:t>A educação estética do homem </w:t>
            </w:r>
            <w:r>
              <w:rPr>
                <w:rFonts w:ascii="Times New Roman" w:hAnsi="Times New Roman" w:eastAsia="Times New Roman" w:cs="Times New Roman"/>
                <w:color w:val="000000"/>
              </w:rPr>
              <w:t>: </w:t>
            </w:r>
            <w:r>
              <w:rPr>
                <w:rFonts w:ascii="Times New Roman" w:hAnsi="Times New Roman" w:eastAsia="Times New Roman" w:cs="Times New Roman"/>
                <w:i/>
                <w:color w:val="000000"/>
              </w:rPr>
              <w:t>numa série de cartas </w:t>
            </w:r>
            <w:r>
              <w:rPr>
                <w:rFonts w:ascii="Times New Roman" w:hAnsi="Times New Roman" w:eastAsia="Times New Roman" w:cs="Times New Roman"/>
                <w:color w:val="000000"/>
              </w:rPr>
              <w:t>.4.ed. São Paulo : Iluminuras, 2002.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Aristóteles. </w:t>
            </w:r>
            <w:r>
              <w:rPr>
                <w:rFonts w:ascii="Times New Roman" w:hAnsi="Times New Roman" w:eastAsia="Times New Roman" w:cs="Times New Roman"/>
                <w:b/>
                <w:color w:val="000000"/>
              </w:rPr>
              <w:t>Arte retórica e arte poética </w:t>
            </w:r>
            <w:r>
              <w:rPr>
                <w:rFonts w:ascii="Times New Roman" w:hAnsi="Times New Roman" w:eastAsia="Times New Roman" w:cs="Times New Roman"/>
                <w:color w:val="000000"/>
              </w:rPr>
              <w:t>. 15. ed.Rio de Janeiro : Ediouro, [20--].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Kant, Immanuel. </w:t>
            </w:r>
            <w:r>
              <w:rPr>
                <w:rFonts w:ascii="Times New Roman" w:hAnsi="Times New Roman" w:eastAsia="Times New Roman" w:cs="Times New Roman"/>
                <w:b/>
                <w:color w:val="000000"/>
              </w:rPr>
              <w:t>Crítica da faculdade do juízo</w:t>
            </w:r>
            <w:r>
              <w:rPr>
                <w:rFonts w:ascii="Times New Roman" w:hAnsi="Times New Roman" w:eastAsia="Times New Roman" w:cs="Times New Roman"/>
                <w:color w:val="000000"/>
              </w:rPr>
              <w:t>. Rio de Janeiro: Forense, [1993].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Platão. </w:t>
            </w:r>
            <w:r>
              <w:rPr>
                <w:rFonts w:ascii="Times New Roman" w:hAnsi="Times New Roman" w:eastAsia="Times New Roman" w:cs="Times New Roman"/>
                <w:b/>
                <w:color w:val="000000"/>
              </w:rPr>
              <w:t>A república </w:t>
            </w:r>
            <w:r>
              <w:rPr>
                <w:rFonts w:ascii="Times New Roman" w:hAnsi="Times New Roman" w:eastAsia="Times New Roman" w:cs="Times New Roman"/>
                <w:color w:val="000000"/>
              </w:rPr>
              <w:t>. 9. ed.Lisboa : Fundação Calouste Gulbenkian, 2001.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Platão. </w:t>
            </w:r>
            <w:r>
              <w:rPr>
                <w:rFonts w:ascii="Times New Roman" w:hAnsi="Times New Roman" w:eastAsia="Times New Roman" w:cs="Times New Roman"/>
                <w:b/>
                <w:color w:val="000000"/>
              </w:rPr>
              <w:t>A república </w:t>
            </w:r>
            <w:r>
              <w:rPr>
                <w:rFonts w:ascii="Times New Roman" w:hAnsi="Times New Roman" w:eastAsia="Times New Roman" w:cs="Times New Roman"/>
                <w:color w:val="000000"/>
              </w:rPr>
              <w:t>. 7. ed. Lisboa : Fundação Calouste Gulbenkian, 1993.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Schiller, Friedrich. </w:t>
            </w:r>
            <w:r>
              <w:rPr>
                <w:rFonts w:ascii="Times New Roman" w:hAnsi="Times New Roman" w:eastAsia="Times New Roman" w:cs="Times New Roman"/>
                <w:b/>
                <w:color w:val="000000"/>
              </w:rPr>
              <w:t>A educação estética do homem numa série de cartas </w:t>
            </w:r>
            <w:r>
              <w:rPr>
                <w:rFonts w:ascii="Times New Roman" w:hAnsi="Times New Roman" w:eastAsia="Times New Roman" w:cs="Times New Roman"/>
                <w:color w:val="000000"/>
              </w:rPr>
              <w:t>. 3. ed. São Paulo : Iluminuras, c1995.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Hegel, Georg Wilhelm Friedrich. </w:t>
            </w:r>
            <w:r>
              <w:rPr>
                <w:rFonts w:ascii="Times New Roman" w:hAnsi="Times New Roman" w:eastAsia="Times New Roman" w:cs="Times New Roman"/>
                <w:b/>
                <w:color w:val="000000"/>
              </w:rPr>
              <w:t>Cursos de estética </w:t>
            </w:r>
            <w:r>
              <w:rPr>
                <w:rFonts w:ascii="Times New Roman" w:hAnsi="Times New Roman" w:eastAsia="Times New Roman" w:cs="Times New Roman"/>
                <w:color w:val="000000"/>
              </w:rPr>
              <w:t>. 2. edSão Paulo : Edusp, 1999-2004.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Kant, Immanuel. </w:t>
            </w:r>
            <w:r>
              <w:rPr>
                <w:rFonts w:ascii="Times New Roman" w:hAnsi="Times New Roman" w:eastAsia="Times New Roman" w:cs="Times New Roman"/>
                <w:b/>
                <w:color w:val="000000"/>
              </w:rPr>
              <w:t>Crítica da faculdade do juízo</w:t>
            </w:r>
            <w:r>
              <w:rPr>
                <w:rFonts w:ascii="Times New Roman" w:hAnsi="Times New Roman" w:eastAsia="Times New Roman" w:cs="Times New Roman"/>
                <w:color w:val="000000"/>
              </w:rPr>
              <w:t>. 2. ed.Rio de Janeiro : Forense Universitária, 1995.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p>
        </w:tc>
      </w:tr>
      <w:tr>
        <w:tblPrEx>
          <w:tblCellMar>
            <w:top w:w="0" w:type="dxa"/>
            <w:left w:w="22" w:type="dxa"/>
            <w:bottom w:w="0" w:type="dxa"/>
            <w:right w:w="22" w:type="dxa"/>
          </w:tblCellMar>
        </w:tblPrEx>
        <w:trPr>
          <w:trHeight w:val="1894" w:hRule="atLeast"/>
        </w:trPr>
        <w:tc>
          <w:tcPr>
            <w:tcW w:w="8738" w:type="dxa"/>
            <w:gridSpan w:val="3"/>
            <w:tcBorders>
              <w:top w:val="single" w:color="000000" w:sz="4" w:space="0"/>
              <w:left w:val="single" w:color="000000" w:sz="18" w:space="0"/>
              <w:bottom w:val="single" w:color="000000" w:sz="4" w:space="0"/>
              <w:right w:val="single" w:color="000000" w:sz="18" w:space="0"/>
            </w:tcBorders>
          </w:tcPr>
          <w:p>
            <w:pPr>
              <w:widowControl w:val="0"/>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Bibliografia complementar:</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Marcuse, Herbert </w:t>
            </w:r>
            <w:r>
              <w:rPr>
                <w:rFonts w:ascii="Times New Roman" w:hAnsi="Times New Roman" w:eastAsia="Times New Roman" w:cs="Times New Roman"/>
                <w:b/>
                <w:color w:val="000000"/>
              </w:rPr>
              <w:t>A dimensão estética</w:t>
            </w:r>
            <w:r>
              <w:rPr>
                <w:rFonts w:ascii="Times New Roman" w:hAnsi="Times New Roman" w:eastAsia="Times New Roman" w:cs="Times New Roman"/>
                <w:color w:val="000000"/>
              </w:rPr>
              <w:t>. São Paulo: Martins Fontes, 1981.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Nietzsche, Friedrich Wilhelm </w:t>
            </w:r>
            <w:r>
              <w:rPr>
                <w:rFonts w:ascii="Times New Roman" w:hAnsi="Times New Roman" w:eastAsia="Times New Roman" w:cs="Times New Roman"/>
                <w:b/>
                <w:color w:val="000000"/>
              </w:rPr>
              <w:t>O nascimento da tragédia</w:t>
            </w:r>
            <w:r>
              <w:rPr>
                <w:rFonts w:ascii="Times New Roman" w:hAnsi="Times New Roman" w:eastAsia="Times New Roman" w:cs="Times New Roman"/>
                <w:color w:val="000000"/>
              </w:rPr>
              <w:t>. São Paulo: Cia das letras, 2007.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Platão </w:t>
            </w:r>
            <w:r>
              <w:rPr>
                <w:rFonts w:ascii="Times New Roman" w:hAnsi="Times New Roman" w:eastAsia="Times New Roman" w:cs="Times New Roman"/>
                <w:b/>
                <w:color w:val="000000"/>
              </w:rPr>
              <w:t>Hípias maior</w:t>
            </w:r>
            <w:r>
              <w:rPr>
                <w:rFonts w:ascii="Times New Roman" w:hAnsi="Times New Roman" w:eastAsia="Times New Roman" w:cs="Times New Roman"/>
                <w:color w:val="000000"/>
              </w:rPr>
              <w:t>. Belém (PA): Ed.UFPA, 1982.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Walter Benjamin; tradução: Sergio Paulo Rouanet ; prefacio: Jeanne MarieGagnebin. </w:t>
            </w:r>
            <w:r>
              <w:rPr>
                <w:rFonts w:ascii="Times New Roman" w:hAnsi="Times New Roman" w:eastAsia="Times New Roman" w:cs="Times New Roman"/>
                <w:b/>
                <w:color w:val="000000"/>
              </w:rPr>
              <w:t>Magia e técnica, arte e politica</w:t>
            </w:r>
            <w:r>
              <w:rPr>
                <w:rFonts w:ascii="Times New Roman" w:hAnsi="Times New Roman" w:eastAsia="Times New Roman" w:cs="Times New Roman"/>
                <w:color w:val="000000"/>
              </w:rPr>
              <w:t>: </w:t>
            </w:r>
            <w:r>
              <w:rPr>
                <w:rFonts w:ascii="Times New Roman" w:hAnsi="Times New Roman" w:eastAsia="Times New Roman" w:cs="Times New Roman"/>
                <w:i/>
                <w:color w:val="000000"/>
              </w:rPr>
              <w:t>ensaios sobre literatura e historia da cultura </w:t>
            </w:r>
            <w:r>
              <w:rPr>
                <w:rFonts w:ascii="Times New Roman" w:hAnsi="Times New Roman" w:eastAsia="Times New Roman" w:cs="Times New Roman"/>
                <w:color w:val="000000"/>
              </w:rPr>
              <w:t>.7. ed. São Paulo: Brasiliense, 1994.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Adorno, Theodor W. </w:t>
            </w:r>
            <w:r>
              <w:rPr>
                <w:rFonts w:ascii="Times New Roman" w:hAnsi="Times New Roman" w:eastAsia="Times New Roman" w:cs="Times New Roman"/>
                <w:b/>
                <w:color w:val="000000"/>
              </w:rPr>
              <w:t>Teoria estética</w:t>
            </w:r>
            <w:r>
              <w:rPr>
                <w:rFonts w:ascii="Times New Roman" w:hAnsi="Times New Roman" w:eastAsia="Times New Roman" w:cs="Times New Roman"/>
                <w:color w:val="000000"/>
              </w:rPr>
              <w:t>. Lisboa, Portugal: Edições 70, 2008.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Walter Benjamim; tradução de Sérgio Paulo Rouanet; revisão técnica Márcio Seligmann-Silva; prefácio de Jeanne Marie Gagnebin. </w:t>
            </w:r>
            <w:r>
              <w:rPr>
                <w:rFonts w:ascii="Times New Roman" w:hAnsi="Times New Roman" w:eastAsia="Times New Roman" w:cs="Times New Roman"/>
                <w:b/>
                <w:color w:val="000000"/>
              </w:rPr>
              <w:t>Magia e técnica, arte epolítica</w:t>
            </w:r>
            <w:r>
              <w:rPr>
                <w:rFonts w:ascii="Times New Roman" w:hAnsi="Times New Roman" w:eastAsia="Times New Roman" w:cs="Times New Roman"/>
                <w:color w:val="000000"/>
              </w:rPr>
              <w:t>: </w:t>
            </w:r>
            <w:r>
              <w:rPr>
                <w:rFonts w:ascii="Times New Roman" w:hAnsi="Times New Roman" w:eastAsia="Times New Roman" w:cs="Times New Roman"/>
                <w:i/>
                <w:color w:val="000000"/>
              </w:rPr>
              <w:t>ensaios sobre literatura e história da cultura.</w:t>
            </w:r>
            <w:r>
              <w:rPr>
                <w:rFonts w:ascii="Times New Roman" w:hAnsi="Times New Roman" w:eastAsia="Times New Roman" w:cs="Times New Roman"/>
                <w:color w:val="000000"/>
              </w:rPr>
              <w:t xml:space="preserve"> 8ª. ed. São Paulo: Brasiliense, 2012.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Liberation Serif" w:cs="Times New Roman"/>
                <w:color w:val="000000"/>
              </w:rPr>
            </w:pPr>
            <w:r>
              <w:rPr>
                <w:rFonts w:ascii="Times New Roman" w:hAnsi="Times New Roman" w:eastAsia="Times New Roman" w:cs="Times New Roman"/>
                <w:color w:val="000000"/>
              </w:rPr>
              <w:t>Heidegger, Martin. </w:t>
            </w:r>
            <w:r>
              <w:rPr>
                <w:rFonts w:ascii="Times New Roman" w:hAnsi="Times New Roman" w:eastAsia="Times New Roman" w:cs="Times New Roman"/>
                <w:b/>
                <w:color w:val="000000"/>
              </w:rPr>
              <w:t>A origem da obra de arte</w:t>
            </w:r>
            <w:r>
              <w:rPr>
                <w:rFonts w:ascii="Times New Roman" w:hAnsi="Times New Roman" w:eastAsia="Times New Roman" w:cs="Times New Roman"/>
                <w:color w:val="000000"/>
              </w:rPr>
              <w:t>. São Paulo: Edições 70, 2010.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 </w:t>
            </w:r>
          </w:p>
        </w:tc>
      </w:tr>
    </w:tbl>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leftChars="0" w:firstLine="0" w:firstLineChars="0"/>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leftChars="0" w:firstLine="0" w:firstLineChars="0"/>
        <w:rPr>
          <w:rFonts w:ascii="Times New Roman" w:hAnsi="Times New Roman" w:eastAsia="Times New Roman" w:cs="Times New Roman"/>
        </w:rPr>
      </w:pPr>
    </w:p>
    <w:p>
      <w:pPr>
        <w:pBdr>
          <w:top w:val="none" w:color="auto" w:sz="0" w:space="0"/>
          <w:left w:val="none" w:color="auto" w:sz="0" w:space="0"/>
          <w:bottom w:val="none" w:color="auto" w:sz="0" w:space="0"/>
          <w:right w:val="none" w:color="auto" w:sz="0" w:space="0"/>
          <w:between w:val="none" w:color="auto" w:sz="0" w:space="0"/>
        </w:pBdr>
        <w:spacing w:after="120"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b/>
          <w:color w:val="000000"/>
        </w:rPr>
        <w:t>Anexo 2:</w:t>
      </w:r>
    </w:p>
    <w:p>
      <w:pPr>
        <w:pBdr>
          <w:top w:val="none" w:color="auto" w:sz="0" w:space="0"/>
          <w:left w:val="none" w:color="auto" w:sz="0" w:space="0"/>
          <w:bottom w:val="none" w:color="auto" w:sz="0" w:space="0"/>
          <w:right w:val="none" w:color="auto" w:sz="0" w:space="0"/>
          <w:between w:val="none" w:color="auto" w:sz="0" w:space="0"/>
        </w:pBdr>
        <w:spacing w:after="120" w:line="24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MINISTÉRIO DA EDUCAÇÃO</w:t>
      </w:r>
    </w:p>
    <w:p>
      <w:pPr>
        <w:pBdr>
          <w:top w:val="none" w:color="auto" w:sz="0" w:space="0"/>
          <w:left w:val="none" w:color="auto" w:sz="0" w:space="0"/>
          <w:bottom w:val="none" w:color="auto" w:sz="0" w:space="0"/>
          <w:right w:val="none" w:color="auto" w:sz="0" w:space="0"/>
          <w:between w:val="none" w:color="auto" w:sz="0" w:space="0"/>
        </w:pBdr>
        <w:spacing w:after="120" w:line="24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UNIVERSIDADE FEDERAL DE OURO PRETO – UFOP</w:t>
      </w:r>
    </w:p>
    <w:p>
      <w:pPr>
        <w:pBdr>
          <w:top w:val="none" w:color="auto" w:sz="0" w:space="0"/>
          <w:left w:val="none" w:color="auto" w:sz="0" w:space="0"/>
          <w:bottom w:val="none" w:color="auto" w:sz="0" w:space="0"/>
          <w:right w:val="none" w:color="auto" w:sz="0" w:space="0"/>
          <w:between w:val="none" w:color="auto" w:sz="0" w:space="0"/>
        </w:pBdr>
        <w:spacing w:after="120" w:line="24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INSTITUTO DE CIÊNCIAS HUMANAS E SOCIAIS – ICHS</w:t>
      </w:r>
    </w:p>
    <w:p>
      <w:pPr>
        <w:pBdr>
          <w:top w:val="none" w:color="auto" w:sz="0" w:space="0"/>
          <w:left w:val="none" w:color="auto" w:sz="0" w:space="0"/>
          <w:bottom w:val="none" w:color="auto" w:sz="0" w:space="0"/>
          <w:right w:val="none" w:color="auto" w:sz="0" w:space="0"/>
          <w:between w:val="none" w:color="auto" w:sz="0" w:space="0"/>
        </w:pBdr>
        <w:spacing w:after="120" w:line="24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DEPARTAMENTO DE HISTÓRIA - DEHIS</w:t>
      </w:r>
    </w:p>
    <w:p>
      <w:pPr>
        <w:pBdr>
          <w:top w:val="none" w:color="auto" w:sz="0" w:space="0"/>
          <w:left w:val="none" w:color="auto" w:sz="0" w:space="0"/>
          <w:bottom w:val="none" w:color="auto" w:sz="0" w:space="0"/>
          <w:right w:val="none" w:color="auto" w:sz="0" w:space="0"/>
          <w:between w:val="none" w:color="auto" w:sz="0" w:space="0"/>
        </w:pBdr>
        <w:spacing w:after="120" w:line="240"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LICENCIATURA EM HISTÓRIA</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jc w:val="center"/>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jc w:val="center"/>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jc w:val="center"/>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jc w:val="center"/>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jc w:val="center"/>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jc w:val="center"/>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MANUAL DE ESTÁGIO SUPERVISIONADO</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Mariana, MG</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2018</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1.</w:t>
      </w:r>
      <w:r>
        <w:rPr>
          <w:rFonts w:ascii="Times New Roman" w:hAnsi="Times New Roman" w:eastAsia="Times New Roman" w:cs="Times New Roman"/>
          <w:color w:val="000000"/>
        </w:rPr>
        <w:tab/>
      </w:r>
      <w:r>
        <w:rPr>
          <w:rFonts w:ascii="Times New Roman" w:hAnsi="Times New Roman" w:eastAsia="Times New Roman" w:cs="Times New Roman"/>
          <w:color w:val="000000"/>
        </w:rPr>
        <w:t xml:space="preserve">APRESENTAÇÃO </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leftChars="0" w:firstLine="720" w:firstLineChars="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Este manual é tem como objetivo orientar o cumprimento das unidades curriculares do componente curricular “Estágio Supervisionado” do Curso de Licenciatura em História da Universidade Federal de Ouro Preto (UFOP). </w:t>
      </w: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leftChars="0" w:firstLine="720" w:firstLineChars="0"/>
        <w:jc w:val="both"/>
        <w:rPr>
          <w:rFonts w:ascii="Times New Roman" w:hAnsi="Times New Roman" w:eastAsia="Times New Roman" w:cs="Times New Roman"/>
          <w:color w:val="000000"/>
        </w:rPr>
      </w:pPr>
      <w:r>
        <w:rPr>
          <w:rFonts w:ascii="Times New Roman" w:hAnsi="Times New Roman" w:eastAsia="Times New Roman" w:cs="Times New Roman"/>
          <w:color w:val="000000"/>
        </w:rPr>
        <w:t>O Estágio Curricular Supervisionado é uma atividade obrigatória nos cursos de Licenciatura, conforme o Artigo 65 da Lei de Diretrizes e Bases da Educação Nacional (LDBEN/96), e busca garantir uma aprendizagem que contemple diversas dimensões do processo formativo da formação inicial do licenciando. Além disso, de acordo com a Resolução CNE/CES nº 02/2015, o estágio curricular supervisionado “é [...] uma atividade específica intrinsecamente articulada com a prática e com as demais atividades de trabalho acadêmico” (Resolução CNE/CP nº 02/2015, cap.5, art.13, § 6º).</w:t>
      </w: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leftChars="0" w:firstLine="720" w:firstLineChars="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 estágio supervisionado busca proporcionar aos estudantes inserções em espaço escolar em situações de ensino-aprendizagem sob supervisão pedagógica de profissionais experientes. O estágio define-se em momentos de acompanhamento, registro e atuação em contexto de ensino-aprendizagem, cuja ênfase é dada ao planejamento de ações concretas a serem desenvolvidas em espaços educativos escolares e não escolares, mediante convênio. </w:t>
      </w: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leftChars="0" w:firstLine="720" w:firstLineChars="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Durante o estágio prioriza-se a reflexão, o diálogo e práticas articuladas ao exercício profissional da docência (incluindo a regência), priorizando o contexto escolar e, especialmente, a sala de aula de história como dimensão microestrutural para o desenvolvimento de ações de iniciação à docência. São parte estruturante da experiência do estágio supervisionado, atividades de observação e regência de turma, além de ações relativas a planejamento, análise e avaliação do processo pedagógico, visando a ampliação a visão do licenciando acerca das múltiplas dimensões da prática docente. </w:t>
      </w: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leftChars="0" w:firstLine="720" w:firstLineChars="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Além da escola, o Estágio Supervisionado também explora a reflexão sobre os museus e o patrimônio como espaços e práticas onde a história é ensinada e aprendida, assim como outros elementos da cultura de história contemporânea, especialmente os meios digitais de difusão do conhecimento e entretenimento baseado em representações da história. </w:t>
      </w: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leftChars="0" w:firstLine="720" w:firstLineChars="0"/>
        <w:jc w:val="both"/>
        <w:rPr>
          <w:rFonts w:ascii="Times New Roman" w:hAnsi="Times New Roman" w:eastAsia="Times New Roman" w:cs="Times New Roman"/>
          <w:color w:val="000000"/>
        </w:rPr>
      </w:pPr>
      <w:r>
        <w:rPr>
          <w:rFonts w:ascii="Times New Roman" w:hAnsi="Times New Roman" w:eastAsia="Times New Roman" w:cs="Times New Roman"/>
          <w:color w:val="000000"/>
        </w:rPr>
        <w:t>O Estágio Supervisionado é fundamental para a formação do educador comprometido com a construção de uma nova prática pedagógica centrada na escola, mas atenta a relação entre os espaços formais de educação e outros meios, espaços e práticas.</w:t>
      </w: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leftChars="0" w:firstLine="720" w:firstLineChars="0"/>
        <w:jc w:val="both"/>
        <w:rPr>
          <w:rFonts w:ascii="Times New Roman" w:hAnsi="Times New Roman" w:eastAsia="Times New Roman" w:cs="Times New Roman"/>
          <w:color w:val="000000"/>
        </w:rPr>
      </w:pPr>
      <w:r>
        <w:rPr>
          <w:rFonts w:ascii="Times New Roman" w:hAnsi="Times New Roman" w:eastAsia="Times New Roman" w:cs="Times New Roman"/>
          <w:color w:val="000000"/>
        </w:rPr>
        <w:t>Esta atividade é realizada a partir da segunda metade do curso e se desenvolve sob a responsabilidade de um professor Orientador do Estágio, responsável por lecionar o componente curricular Estágio Supervisionado.</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2.</w:t>
      </w:r>
      <w:r>
        <w:rPr>
          <w:rFonts w:ascii="Times New Roman" w:hAnsi="Times New Roman" w:eastAsia="Times New Roman" w:cs="Times New Roman"/>
          <w:color w:val="000000"/>
        </w:rPr>
        <w:tab/>
      </w:r>
      <w:r>
        <w:rPr>
          <w:rFonts w:ascii="Times New Roman" w:hAnsi="Times New Roman" w:eastAsia="Times New Roman" w:cs="Times New Roman"/>
          <w:color w:val="000000"/>
        </w:rPr>
        <w:t>PRINCÍPIOS GERAIS</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leftChars="0" w:firstLine="720" w:firstLineChars="0"/>
        <w:jc w:val="both"/>
        <w:rPr>
          <w:rFonts w:ascii="Times New Roman" w:hAnsi="Times New Roman" w:eastAsia="Times New Roman" w:cs="Times New Roman"/>
          <w:color w:val="000000"/>
        </w:rPr>
      </w:pPr>
      <w:r>
        <w:rPr>
          <w:rFonts w:ascii="Times New Roman" w:hAnsi="Times New Roman" w:eastAsia="Times New Roman" w:cs="Times New Roman"/>
          <w:color w:val="000000"/>
        </w:rPr>
        <w:t>O Estágio Supervisionado é parte estruturante da proposta pedagógica do curso de Licenciatura em História e busca estabelecer diálogos com outras unidades curriculares do curso, tais como as demais disciplinas obrigatórias e eletivas da área de ensino de história, as disciplinas sobre o objeto de ensino, principalmente da área de teoria e história da historiografia, bem como ao conjunto das disciplinas de caráter pedagógico geral.</w:t>
      </w: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leftChars="0" w:firstLine="720" w:firstLineChars="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Durante o percurso formativo do Estágio Supervisionado, os estudantes estagiários são acompanhados pelos professores supervisores, no campo de estágio, e pelos professores orientadores, na universidade. </w:t>
      </w: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leftChars="0" w:firstLine="720" w:firstLineChars="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 curso de Licenciatura em História da UFOP, o estágio supervisionado está organizado em quatro momentos: Estágio I (125 horas), Estágio II (125 horas), Estágio III (125 horas) e Estágio IV (125 horas). Os quatro momentos totalizam 500 horas(Resolução CNE/CP nº 02/2015, cap. 5, art.13, § 2º) . De acordo com a Resolução CNE/CP Nº 2/ 2002, o estágio supervisionado deve ser registrado em horas ou seja, em 60 minutos, e não em horas\aulas.  </w:t>
      </w: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leftChars="0" w:firstLine="720" w:firstLineChars="0"/>
        <w:jc w:val="both"/>
        <w:rPr>
          <w:rFonts w:ascii="Times New Roman" w:hAnsi="Times New Roman" w:eastAsia="Times New Roman" w:cs="Times New Roman"/>
          <w:color w:val="000000"/>
        </w:rPr>
      </w:pPr>
      <w:r>
        <w:rPr>
          <w:rFonts w:ascii="Times New Roman" w:hAnsi="Times New Roman" w:eastAsia="Times New Roman" w:cs="Times New Roman"/>
          <w:color w:val="000000"/>
        </w:rPr>
        <w:t>O percurso formativo do componente curricular Estágio Supervisionado será composto por um conjunto de ações, tais como, encontros de orientação de estágio (individuais e/ou coletivos), diferentes práticas de letramento, práticas de registro, observação e atuação em contexto de aprendizagem histórica (escolares e não-escolares), produção de materiais didáticos e planos de aula que sustentem as atividades elaboradas, elaboração de relatórios com as atividades desenvolvidas nos campos de estágio, etc.</w:t>
      </w: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leftChars="0" w:firstLine="720" w:firstLineChars="0"/>
        <w:jc w:val="both"/>
        <w:rPr>
          <w:rFonts w:ascii="Times New Roman" w:hAnsi="Times New Roman" w:eastAsia="Times New Roman" w:cs="Times New Roman"/>
          <w:color w:val="000000"/>
        </w:rPr>
      </w:pPr>
      <w:r>
        <w:rPr>
          <w:rFonts w:ascii="Times New Roman" w:hAnsi="Times New Roman" w:eastAsia="Times New Roman" w:cs="Times New Roman"/>
          <w:color w:val="000000"/>
        </w:rPr>
        <w:t>A redução da carga horária de estágio poderá ocorrer, em caso seja solicitada, em conformidade com a legislação. Conforme define a Resolução CNE/CP nº 02/2015, a redução é possível somente para os discentes em situação de segunda licenciatura. “Os portadores de diploma de licenciatura com exercício comprovado no magistério e exercendo atividade docente regular na educação básica poderão ter redução da carga horária do estágio curricular supervisionado até o máximo de 100 (cem) horas” (Resolução CNE/CP nº 02/2015, cap. 5, art. 15, § 7º).</w:t>
      </w: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leftChars="0" w:firstLine="720" w:firstLineChars="0"/>
        <w:jc w:val="both"/>
        <w:rPr>
          <w:rFonts w:ascii="Times New Roman" w:hAnsi="Times New Roman" w:eastAsia="Times New Roman" w:cs="Times New Roman"/>
          <w:color w:val="000000"/>
        </w:rPr>
      </w:pPr>
      <w:r>
        <w:rPr>
          <w:rFonts w:ascii="Times New Roman" w:hAnsi="Times New Roman" w:eastAsia="Times New Roman" w:cs="Times New Roman"/>
          <w:color w:val="000000"/>
        </w:rPr>
        <w:t>A jornada diária, semanal, bem como de todo estágio, estágio será definida entre a instituição de ensino, as autoridades responsáveis pelo campo de estágio e o estudante estagiário, não ultrapassando a previsão legal de 6 (seis) horas diárias e 30 horas semanais para os estudantes do ensino superior (Lei 11.788, 2008).</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3.</w:t>
      </w:r>
      <w:r>
        <w:rPr>
          <w:rFonts w:ascii="Times New Roman" w:hAnsi="Times New Roman" w:eastAsia="Times New Roman" w:cs="Times New Roman"/>
          <w:color w:val="000000"/>
        </w:rPr>
        <w:tab/>
      </w:r>
      <w:r>
        <w:rPr>
          <w:rFonts w:ascii="Times New Roman" w:hAnsi="Times New Roman" w:eastAsia="Times New Roman" w:cs="Times New Roman"/>
          <w:color w:val="000000"/>
        </w:rPr>
        <w:t xml:space="preserve">PLANEJAMENTO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leftChars="0" w:firstLine="720" w:firstLineChars="0"/>
        <w:jc w:val="both"/>
        <w:rPr>
          <w:rFonts w:ascii="Times New Roman" w:hAnsi="Times New Roman" w:eastAsia="Times New Roman" w:cs="Times New Roman"/>
          <w:color w:val="000000"/>
        </w:rPr>
      </w:pPr>
      <w:r>
        <w:rPr>
          <w:rFonts w:ascii="Times New Roman" w:hAnsi="Times New Roman" w:eastAsia="Times New Roman" w:cs="Times New Roman"/>
          <w:color w:val="000000"/>
        </w:rPr>
        <w:t>O planejamento do Estágio Supervisionado é realizado pelo estudante-estagiário com o apoio do Professor Supervisor do campo de estágio e do professor orientador do curso de licenciatura em História da UFOP. O planejamento deve estar em consonância com os princípios do Projeto Pedagógico da escola de estágio e do Curso de Licenciatura em História da UFOP.</w:t>
      </w: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leftChars="0" w:firstLine="720" w:firstLineChars="0"/>
        <w:jc w:val="both"/>
        <w:rPr>
          <w:rFonts w:ascii="Times New Roman" w:hAnsi="Times New Roman" w:eastAsia="Times New Roman" w:cs="Times New Roman"/>
          <w:color w:val="000000"/>
        </w:rPr>
      </w:pPr>
      <w:r>
        <w:rPr>
          <w:rFonts w:ascii="Times New Roman" w:hAnsi="Times New Roman" w:eastAsia="Times New Roman" w:cs="Times New Roman"/>
          <w:color w:val="000000"/>
        </w:rPr>
        <w:t>As atividades planejadas para a efetivação do estágio voltam-se para ações de observação, registro, co-participação e regência, além de visitas e entrevistas em instituições de educação escolar, não escolar e vivências profissionais de magistério.</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4.</w:t>
      </w:r>
      <w:r>
        <w:rPr>
          <w:rFonts w:ascii="Times New Roman" w:hAnsi="Times New Roman" w:eastAsia="Times New Roman" w:cs="Times New Roman"/>
          <w:color w:val="000000"/>
        </w:rPr>
        <w:tab/>
      </w:r>
      <w:r>
        <w:rPr>
          <w:rFonts w:ascii="Times New Roman" w:hAnsi="Times New Roman" w:eastAsia="Times New Roman" w:cs="Times New Roman"/>
          <w:color w:val="000000"/>
        </w:rPr>
        <w:t>DO ENCAMINHAMENTO PARA O ESTÁGIO E AVALIAÇÃO DAS ATIVIDADES DESENVOLVIDAS</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leftChars="0" w:firstLine="720" w:firstLineChars="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Para a realização e conclusão do estágio deverão ser entregues, preenchidos e assinados, junto ao relatório de estágio os seguintes documentos: </w:t>
      </w: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 Termo de compromisso de Estágio (Anexo 2); </w:t>
      </w: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II – Plano de Atividades do Estágio a serem realizadas na Instituição concedente, aprovado pelos professores supervisor e orientador (Anexo 3); </w:t>
      </w: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III –Declaração de conclusão das atividades de estágio supervisionado, preenchida pelo supervisor de estágio da Instituição Concedente (Anexo 4); </w:t>
      </w: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IV – Ficha de frequência (Anexo 5);</w:t>
      </w: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V - Relatório de Estágio (Anexo 6);</w:t>
      </w: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VI - Ficha de avaliação do estagiário- Professor Supervisor (Anexo 7);</w:t>
      </w: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VII - Ficha de avaliação do estagiário- Professor Orientador (Anexo 8);</w:t>
      </w: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VIII – Ao final de cada etapa, o relatório será arquivado pela Coordenação de Estágio por um período de 05 (cinco) anos.</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5.</w:t>
      </w:r>
      <w:r>
        <w:rPr>
          <w:rFonts w:ascii="Times New Roman" w:hAnsi="Times New Roman" w:eastAsia="Times New Roman" w:cs="Times New Roman"/>
          <w:color w:val="000000"/>
        </w:rPr>
        <w:tab/>
      </w:r>
      <w:r>
        <w:rPr>
          <w:rFonts w:ascii="Times New Roman" w:hAnsi="Times New Roman" w:eastAsia="Times New Roman" w:cs="Times New Roman"/>
          <w:color w:val="000000"/>
        </w:rPr>
        <w:t xml:space="preserve">EMENTAS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5.1</w:t>
      </w:r>
      <w:r>
        <w:rPr>
          <w:rFonts w:ascii="Times New Roman" w:hAnsi="Times New Roman" w:eastAsia="Times New Roman" w:cs="Times New Roman"/>
          <w:color w:val="000000"/>
        </w:rPr>
        <w:tab/>
      </w:r>
      <w:r>
        <w:rPr>
          <w:rFonts w:ascii="Times New Roman" w:hAnsi="Times New Roman" w:eastAsia="Times New Roman" w:cs="Times New Roman"/>
          <w:color w:val="000000"/>
        </w:rPr>
        <w:t>ESTÁGIO SUPERVISIONADO I (125 H/A)</w:t>
      </w: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leftChars="0" w:firstLine="720" w:firstLineChars="0"/>
        <w:jc w:val="both"/>
        <w:rPr>
          <w:rFonts w:ascii="Times New Roman" w:hAnsi="Times New Roman" w:eastAsia="Times New Roman" w:cs="Times New Roman"/>
          <w:color w:val="000000"/>
        </w:rPr>
      </w:pPr>
      <w:r>
        <w:rPr>
          <w:rFonts w:ascii="Times New Roman" w:hAnsi="Times New Roman" w:eastAsia="Times New Roman" w:cs="Times New Roman"/>
          <w:color w:val="000000"/>
        </w:rPr>
        <w:t>Reflexão sobre a função social da escola e da escolarização a partir da observação, registro e reflexão de práticas pedagógicas em diferentes instituições educativas. Observação, registro e problematização do cotidiano escolar considerando os rituais, a arquitetura, os usos dos espaços e tempos, a organização do trabalho pedagógico, a memória dos sujeitos da educação. Produção de práticas de letramento. Elaboração de relatório de atividades desenvolvidas no campo de estágio.</w:t>
      </w: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5.2</w:t>
      </w:r>
      <w:r>
        <w:rPr>
          <w:rFonts w:ascii="Times New Roman" w:hAnsi="Times New Roman" w:eastAsia="Times New Roman" w:cs="Times New Roman"/>
          <w:color w:val="000000"/>
        </w:rPr>
        <w:tab/>
      </w:r>
      <w:r>
        <w:rPr>
          <w:rFonts w:ascii="Times New Roman" w:hAnsi="Times New Roman" w:eastAsia="Times New Roman" w:cs="Times New Roman"/>
          <w:color w:val="000000"/>
        </w:rPr>
        <w:t>ESTÁGIO SUPERVISIONADO II (125 H/A)</w:t>
      </w: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leftChars="0" w:firstLine="720" w:firstLineChars="0"/>
        <w:jc w:val="both"/>
        <w:rPr>
          <w:rFonts w:ascii="Times New Roman" w:hAnsi="Times New Roman" w:eastAsia="Times New Roman" w:cs="Times New Roman"/>
          <w:color w:val="000000"/>
        </w:rPr>
      </w:pPr>
      <w:r>
        <w:rPr>
          <w:rFonts w:ascii="Times New Roman" w:hAnsi="Times New Roman" w:eastAsia="Times New Roman" w:cs="Times New Roman"/>
          <w:color w:val="000000"/>
        </w:rPr>
        <w:t>Reflexão sobre a função social da aprendizagem e da cultura histórica a partir da observação, registro e reflexão de práticas pedagógicas em diferentes instituições educativas. Observação, registro e problematização do ensino-aprendizagem em história considerando os contextos escolares e não-escolares. Prática de produção pedagógica com elementos da cultura histórica. Elaboração de relatório de atividades desenvolvidas no campo de estágio.</w:t>
      </w: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hanging="2"/>
        <w:jc w:val="both"/>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5.3</w:t>
      </w:r>
      <w:r>
        <w:rPr>
          <w:rFonts w:ascii="Times New Roman" w:hAnsi="Times New Roman" w:eastAsia="Times New Roman" w:cs="Times New Roman"/>
          <w:color w:val="000000"/>
        </w:rPr>
        <w:tab/>
      </w:r>
      <w:r>
        <w:rPr>
          <w:rFonts w:ascii="Times New Roman" w:hAnsi="Times New Roman" w:eastAsia="Times New Roman" w:cs="Times New Roman"/>
          <w:color w:val="000000"/>
        </w:rPr>
        <w:t>ESTÁGIO SUPERVISIONADO III (125 H/A)</w:t>
      </w: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leftChars="0" w:firstLine="720" w:firstLineChars="0"/>
        <w:jc w:val="both"/>
        <w:rPr>
          <w:rFonts w:ascii="Times New Roman" w:hAnsi="Times New Roman" w:eastAsia="Times New Roman" w:cs="Times New Roman"/>
          <w:color w:val="000000"/>
        </w:rPr>
      </w:pPr>
      <w:r>
        <w:rPr>
          <w:rFonts w:ascii="Times New Roman" w:hAnsi="Times New Roman" w:eastAsia="Times New Roman" w:cs="Times New Roman"/>
          <w:color w:val="000000"/>
        </w:rPr>
        <w:t>Desenvolvimento de projetos de atuação pedagógica e regência em espaços educacionais que mantenham vínculo com o ensino de história, como escolas, museus e demais instituições patrimoniais e suas práticas. Reflexão acerca do processo de atuação pedagógica. Socialização das experiências vivenciadas nos diversos espaços educativos em que se realizaram os estágios. Práticas de Letramento. Elaboração de relatório de atividades desenvolvidas no campo de estágio.</w:t>
      </w: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hanging="2"/>
        <w:jc w:val="both"/>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5.4</w:t>
      </w:r>
      <w:r>
        <w:rPr>
          <w:rFonts w:ascii="Times New Roman" w:hAnsi="Times New Roman" w:eastAsia="Times New Roman" w:cs="Times New Roman"/>
          <w:color w:val="000000"/>
        </w:rPr>
        <w:tab/>
      </w:r>
      <w:r>
        <w:rPr>
          <w:rFonts w:ascii="Times New Roman" w:hAnsi="Times New Roman" w:eastAsia="Times New Roman" w:cs="Times New Roman"/>
          <w:color w:val="000000"/>
        </w:rPr>
        <w:t>ESTÁGIO SUPERVISIONADO IV (125 H/A)</w:t>
      </w: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leftChars="0" w:firstLine="720" w:firstLineChars="0"/>
        <w:jc w:val="both"/>
        <w:rPr>
          <w:rFonts w:ascii="Times New Roman" w:hAnsi="Times New Roman" w:eastAsia="Times New Roman" w:cs="Times New Roman"/>
          <w:color w:val="000000"/>
        </w:rPr>
      </w:pPr>
      <w:r>
        <w:rPr>
          <w:rFonts w:ascii="Times New Roman" w:hAnsi="Times New Roman" w:eastAsia="Times New Roman" w:cs="Times New Roman"/>
          <w:color w:val="000000"/>
        </w:rPr>
        <w:t>Desenvolvimento de projetos de atuação pedagógica e regência em espaços educacionais que mantenham vínculo com o ensino de história, como escolas, museus e demais instituições patrimoniais e suas práticas. Reflexão acerca do processo de atuação pedagógica. Prática de observação, registro e análise de espaço museal. Socialização das experiências vivenciadas nos diversos espaços educativos em que se realizaram os estágios. Elaboração de relatório de atividades desenvolvidas no campo de estágio.</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jc w:val="both"/>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6.</w:t>
      </w:r>
      <w:r>
        <w:rPr>
          <w:rFonts w:ascii="Times New Roman" w:hAnsi="Times New Roman" w:eastAsia="Times New Roman" w:cs="Times New Roman"/>
          <w:color w:val="000000"/>
        </w:rPr>
        <w:tab/>
      </w:r>
      <w:r>
        <w:rPr>
          <w:rFonts w:ascii="Times New Roman" w:hAnsi="Times New Roman" w:eastAsia="Times New Roman" w:cs="Times New Roman"/>
          <w:color w:val="000000"/>
        </w:rPr>
        <w:t>PLANO DE ATIVIDADES DO ESTÁGIO – ORIENTAÇÃO GERAL</w:t>
      </w: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leftChars="0" w:firstLine="720" w:firstLineChars="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Os planos de atividades dos Estágios Supervisionado I, II, III e IV deverão conter todas as atividades de trabalho desenvolvidas pelo estagiário e devem ser elaborados atendendo a realização das atividades obrigatórias presentes nas Tabelas 6.1 a 6.4. </w:t>
      </w: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TABELA 6.1 - PLANO DE ATIVIDADES: ESTÁGIO SUPERVISIONADO I (125 horas)</w:t>
      </w:r>
    </w:p>
    <w:tbl>
      <w:tblPr>
        <w:tblStyle w:val="662"/>
        <w:tblW w:w="7978" w:type="dxa"/>
        <w:jc w:val="center"/>
        <w:tblLayout w:type="fixed"/>
        <w:tblCellMar>
          <w:top w:w="100" w:type="dxa"/>
          <w:left w:w="100" w:type="dxa"/>
          <w:bottom w:w="100" w:type="dxa"/>
          <w:right w:w="100" w:type="dxa"/>
        </w:tblCellMar>
      </w:tblPr>
      <w:tblGrid>
        <w:gridCol w:w="5871"/>
        <w:gridCol w:w="2107"/>
      </w:tblGrid>
      <w:tr>
        <w:tblPrEx>
          <w:tblCellMar>
            <w:top w:w="100" w:type="dxa"/>
            <w:left w:w="100" w:type="dxa"/>
            <w:bottom w:w="100" w:type="dxa"/>
            <w:right w:w="100" w:type="dxa"/>
          </w:tblCellMar>
        </w:tblPrEx>
        <w:trPr>
          <w:jc w:val="center"/>
        </w:trPr>
        <w:tc>
          <w:tcPr>
            <w:tcW w:w="5871" w:type="dxa"/>
            <w:tcBorders>
              <w:top w:val="single" w:color="000000" w:sz="8" w:space="0"/>
              <w:left w:val="single" w:color="000000" w:sz="8" w:space="0"/>
              <w:bottom w:val="single" w:color="000000" w:sz="8" w:space="0"/>
            </w:tcBorders>
          </w:tcPr>
          <w:p>
            <w:pPr>
              <w:ind w:left="0" w:hanging="2"/>
              <w:rPr>
                <w:rFonts w:ascii="Times New Roman" w:hAnsi="Times New Roman" w:cs="Times New Roman"/>
              </w:rPr>
            </w:pPr>
            <w:r>
              <w:rPr>
                <w:rFonts w:ascii="Times New Roman" w:hAnsi="Times New Roman" w:eastAsia="Times New Roman" w:cs="Times New Roman"/>
                <w:b/>
              </w:rPr>
              <w:t>Atividade</w:t>
            </w:r>
          </w:p>
        </w:tc>
        <w:tc>
          <w:tcPr>
            <w:tcW w:w="2107" w:type="dxa"/>
            <w:tcBorders>
              <w:top w:val="single" w:color="000000" w:sz="8" w:space="0"/>
              <w:left w:val="single" w:color="000000" w:sz="8" w:space="0"/>
              <w:bottom w:val="single" w:color="000000" w:sz="8" w:space="0"/>
              <w:right w:val="single" w:color="000000" w:sz="8" w:space="0"/>
            </w:tcBorders>
          </w:tcPr>
          <w:p>
            <w:pPr>
              <w:ind w:left="0" w:hanging="2"/>
              <w:rPr>
                <w:rFonts w:ascii="Times New Roman" w:hAnsi="Times New Roman" w:cs="Times New Roman"/>
              </w:rPr>
            </w:pPr>
            <w:r>
              <w:rPr>
                <w:rFonts w:ascii="Times New Roman" w:hAnsi="Times New Roman" w:eastAsia="Times New Roman" w:cs="Times New Roman"/>
                <w:b/>
              </w:rPr>
              <w:t>Carga Horária</w:t>
            </w:r>
          </w:p>
        </w:tc>
      </w:tr>
      <w:tr>
        <w:tblPrEx>
          <w:tblCellMar>
            <w:top w:w="100" w:type="dxa"/>
            <w:left w:w="100" w:type="dxa"/>
            <w:bottom w:w="100" w:type="dxa"/>
            <w:right w:w="100" w:type="dxa"/>
          </w:tblCellMar>
        </w:tblPrEx>
        <w:trPr>
          <w:jc w:val="center"/>
        </w:trPr>
        <w:tc>
          <w:tcPr>
            <w:tcW w:w="5871" w:type="dxa"/>
            <w:tcBorders>
              <w:top w:val="single" w:color="000000" w:sz="8" w:space="0"/>
              <w:left w:val="single" w:color="000000" w:sz="8" w:space="0"/>
              <w:bottom w:val="single" w:color="000000" w:sz="8" w:space="0"/>
            </w:tcBorders>
          </w:tcPr>
          <w:p>
            <w:pPr>
              <w:ind w:left="0" w:hanging="2"/>
              <w:rPr>
                <w:rFonts w:ascii="Times New Roman" w:hAnsi="Times New Roman" w:cs="Times New Roman"/>
              </w:rPr>
            </w:pPr>
            <w:r>
              <w:rPr>
                <w:rFonts w:ascii="Times New Roman" w:hAnsi="Times New Roman" w:eastAsia="Times New Roman" w:cs="Times New Roman"/>
              </w:rPr>
              <w:t>Encontro de Orientação de Estágio (individual e coletivo)</w:t>
            </w:r>
          </w:p>
        </w:tc>
        <w:tc>
          <w:tcPr>
            <w:tcW w:w="2107" w:type="dxa"/>
            <w:tcBorders>
              <w:top w:val="single" w:color="000000" w:sz="8" w:space="0"/>
              <w:left w:val="single" w:color="000000" w:sz="8" w:space="0"/>
              <w:bottom w:val="single" w:color="000000" w:sz="8" w:space="0"/>
              <w:right w:val="single" w:color="000000" w:sz="8" w:space="0"/>
            </w:tcBorders>
          </w:tcPr>
          <w:p>
            <w:pPr>
              <w:ind w:left="0" w:hanging="2"/>
              <w:rPr>
                <w:rFonts w:ascii="Times New Roman" w:hAnsi="Times New Roman" w:cs="Times New Roman"/>
              </w:rPr>
            </w:pPr>
            <w:r>
              <w:rPr>
                <w:rFonts w:ascii="Times New Roman" w:hAnsi="Times New Roman" w:eastAsia="Times New Roman" w:cs="Times New Roman"/>
              </w:rPr>
              <w:t>30 horas</w:t>
            </w:r>
          </w:p>
        </w:tc>
      </w:tr>
      <w:tr>
        <w:tblPrEx>
          <w:tblCellMar>
            <w:top w:w="100" w:type="dxa"/>
            <w:left w:w="100" w:type="dxa"/>
            <w:bottom w:w="100" w:type="dxa"/>
            <w:right w:w="100" w:type="dxa"/>
          </w:tblCellMar>
        </w:tblPrEx>
        <w:trPr>
          <w:jc w:val="center"/>
        </w:trPr>
        <w:tc>
          <w:tcPr>
            <w:tcW w:w="5871" w:type="dxa"/>
            <w:tcBorders>
              <w:top w:val="single" w:color="000000" w:sz="8" w:space="0"/>
              <w:left w:val="single" w:color="000000" w:sz="8" w:space="0"/>
              <w:bottom w:val="single" w:color="000000" w:sz="8" w:space="0"/>
            </w:tcBorders>
          </w:tcPr>
          <w:p>
            <w:pPr>
              <w:ind w:left="0" w:hanging="2"/>
              <w:rPr>
                <w:rFonts w:ascii="Times New Roman" w:hAnsi="Times New Roman" w:cs="Times New Roman"/>
              </w:rPr>
            </w:pPr>
            <w:r>
              <w:rPr>
                <w:rFonts w:ascii="Times New Roman" w:hAnsi="Times New Roman" w:eastAsia="Times New Roman" w:cs="Times New Roman"/>
              </w:rPr>
              <w:t xml:space="preserve">Prática de Letramento: produção de memorial </w:t>
            </w:r>
          </w:p>
        </w:tc>
        <w:tc>
          <w:tcPr>
            <w:tcW w:w="2107" w:type="dxa"/>
            <w:tcBorders>
              <w:top w:val="single" w:color="000000" w:sz="8" w:space="0"/>
              <w:left w:val="single" w:color="000000" w:sz="8" w:space="0"/>
              <w:bottom w:val="single" w:color="000000" w:sz="8" w:space="0"/>
              <w:right w:val="single" w:color="000000" w:sz="8" w:space="0"/>
            </w:tcBorders>
          </w:tcPr>
          <w:p>
            <w:pPr>
              <w:ind w:left="0" w:hanging="2"/>
              <w:rPr>
                <w:rFonts w:ascii="Times New Roman" w:hAnsi="Times New Roman" w:cs="Times New Roman"/>
              </w:rPr>
            </w:pPr>
            <w:r>
              <w:rPr>
                <w:rFonts w:ascii="Times New Roman" w:hAnsi="Times New Roman" w:eastAsia="Times New Roman" w:cs="Times New Roman"/>
              </w:rPr>
              <w:t>15 horas</w:t>
            </w:r>
          </w:p>
        </w:tc>
      </w:tr>
      <w:tr>
        <w:tblPrEx>
          <w:tblCellMar>
            <w:top w:w="100" w:type="dxa"/>
            <w:left w:w="100" w:type="dxa"/>
            <w:bottom w:w="100" w:type="dxa"/>
            <w:right w:w="100" w:type="dxa"/>
          </w:tblCellMar>
        </w:tblPrEx>
        <w:trPr>
          <w:jc w:val="center"/>
        </w:trPr>
        <w:tc>
          <w:tcPr>
            <w:tcW w:w="5871" w:type="dxa"/>
            <w:tcBorders>
              <w:top w:val="single" w:color="000000" w:sz="8" w:space="0"/>
              <w:left w:val="single" w:color="000000" w:sz="8" w:space="0"/>
              <w:bottom w:val="single" w:color="000000" w:sz="8" w:space="0"/>
            </w:tcBorders>
          </w:tcPr>
          <w:p>
            <w:pPr>
              <w:ind w:left="0" w:hanging="2"/>
              <w:rPr>
                <w:rFonts w:ascii="Times New Roman" w:hAnsi="Times New Roman" w:cs="Times New Roman"/>
              </w:rPr>
            </w:pPr>
            <w:r>
              <w:rPr>
                <w:rFonts w:ascii="Times New Roman" w:hAnsi="Times New Roman" w:eastAsia="Times New Roman" w:cs="Times New Roman"/>
              </w:rPr>
              <w:t>Observação e registro da escola</w:t>
            </w:r>
          </w:p>
        </w:tc>
        <w:tc>
          <w:tcPr>
            <w:tcW w:w="2107" w:type="dxa"/>
            <w:tcBorders>
              <w:top w:val="single" w:color="000000" w:sz="8" w:space="0"/>
              <w:left w:val="single" w:color="000000" w:sz="8" w:space="0"/>
              <w:bottom w:val="single" w:color="000000" w:sz="8" w:space="0"/>
              <w:right w:val="single" w:color="000000" w:sz="8" w:space="0"/>
            </w:tcBorders>
          </w:tcPr>
          <w:p>
            <w:pPr>
              <w:ind w:left="0" w:hanging="2"/>
              <w:rPr>
                <w:rFonts w:ascii="Times New Roman" w:hAnsi="Times New Roman" w:cs="Times New Roman"/>
              </w:rPr>
            </w:pPr>
            <w:r>
              <w:rPr>
                <w:rFonts w:ascii="Times New Roman" w:hAnsi="Times New Roman" w:eastAsia="Times New Roman" w:cs="Times New Roman"/>
              </w:rPr>
              <w:t>10 horas</w:t>
            </w:r>
          </w:p>
        </w:tc>
      </w:tr>
      <w:tr>
        <w:tblPrEx>
          <w:tblCellMar>
            <w:top w:w="100" w:type="dxa"/>
            <w:left w:w="100" w:type="dxa"/>
            <w:bottom w:w="100" w:type="dxa"/>
            <w:right w:w="100" w:type="dxa"/>
          </w:tblCellMar>
        </w:tblPrEx>
        <w:trPr>
          <w:jc w:val="center"/>
        </w:trPr>
        <w:tc>
          <w:tcPr>
            <w:tcW w:w="5871" w:type="dxa"/>
            <w:tcBorders>
              <w:top w:val="single" w:color="000000" w:sz="8" w:space="0"/>
              <w:left w:val="single" w:color="000000" w:sz="8" w:space="0"/>
              <w:bottom w:val="single" w:color="000000" w:sz="8" w:space="0"/>
            </w:tcBorders>
          </w:tcPr>
          <w:p>
            <w:pPr>
              <w:ind w:left="0" w:hanging="2"/>
              <w:rPr>
                <w:rFonts w:ascii="Times New Roman" w:hAnsi="Times New Roman" w:cs="Times New Roman"/>
              </w:rPr>
            </w:pPr>
            <w:r>
              <w:rPr>
                <w:rFonts w:ascii="Times New Roman" w:hAnsi="Times New Roman" w:eastAsia="Times New Roman" w:cs="Times New Roman"/>
              </w:rPr>
              <w:t>Observação e registro da sala de aula</w:t>
            </w:r>
          </w:p>
        </w:tc>
        <w:tc>
          <w:tcPr>
            <w:tcW w:w="2107" w:type="dxa"/>
            <w:tcBorders>
              <w:top w:val="single" w:color="000000" w:sz="8" w:space="0"/>
              <w:left w:val="single" w:color="000000" w:sz="8" w:space="0"/>
              <w:bottom w:val="single" w:color="000000" w:sz="8" w:space="0"/>
              <w:right w:val="single" w:color="000000" w:sz="8" w:space="0"/>
            </w:tcBorders>
          </w:tcPr>
          <w:p>
            <w:pPr>
              <w:ind w:left="0" w:hanging="2"/>
              <w:rPr>
                <w:rFonts w:ascii="Times New Roman" w:hAnsi="Times New Roman" w:cs="Times New Roman"/>
              </w:rPr>
            </w:pPr>
            <w:r>
              <w:rPr>
                <w:rFonts w:ascii="Times New Roman" w:hAnsi="Times New Roman" w:eastAsia="Times New Roman" w:cs="Times New Roman"/>
              </w:rPr>
              <w:t>20 horas</w:t>
            </w:r>
          </w:p>
        </w:tc>
      </w:tr>
      <w:tr>
        <w:tblPrEx>
          <w:tblCellMar>
            <w:top w:w="100" w:type="dxa"/>
            <w:left w:w="100" w:type="dxa"/>
            <w:bottom w:w="100" w:type="dxa"/>
            <w:right w:w="100" w:type="dxa"/>
          </w:tblCellMar>
        </w:tblPrEx>
        <w:trPr>
          <w:jc w:val="center"/>
        </w:trPr>
        <w:tc>
          <w:tcPr>
            <w:tcW w:w="5871" w:type="dxa"/>
            <w:tcBorders>
              <w:top w:val="single" w:color="000000" w:sz="8" w:space="0"/>
              <w:left w:val="single" w:color="000000" w:sz="8" w:space="0"/>
              <w:bottom w:val="single" w:color="000000" w:sz="8" w:space="0"/>
            </w:tcBorders>
          </w:tcPr>
          <w:p>
            <w:pPr>
              <w:ind w:left="0" w:hanging="2"/>
              <w:rPr>
                <w:rFonts w:ascii="Times New Roman" w:hAnsi="Times New Roman" w:cs="Times New Roman"/>
              </w:rPr>
            </w:pPr>
            <w:r>
              <w:rPr>
                <w:rFonts w:ascii="Times New Roman" w:hAnsi="Times New Roman" w:eastAsia="Times New Roman" w:cs="Times New Roman"/>
              </w:rPr>
              <w:t>Confecção do Relatório de Estágio</w:t>
            </w:r>
          </w:p>
        </w:tc>
        <w:tc>
          <w:tcPr>
            <w:tcW w:w="2107" w:type="dxa"/>
            <w:tcBorders>
              <w:top w:val="single" w:color="000000" w:sz="8" w:space="0"/>
              <w:left w:val="single" w:color="000000" w:sz="8" w:space="0"/>
              <w:bottom w:val="single" w:color="000000" w:sz="8" w:space="0"/>
              <w:right w:val="single" w:color="000000" w:sz="8" w:space="0"/>
            </w:tcBorders>
          </w:tcPr>
          <w:p>
            <w:pPr>
              <w:ind w:left="0" w:hanging="2"/>
              <w:rPr>
                <w:rFonts w:ascii="Times New Roman" w:hAnsi="Times New Roman" w:cs="Times New Roman"/>
              </w:rPr>
            </w:pPr>
            <w:r>
              <w:rPr>
                <w:rFonts w:ascii="Times New Roman" w:hAnsi="Times New Roman" w:eastAsia="Times New Roman" w:cs="Times New Roman"/>
              </w:rPr>
              <w:t>35 horas</w:t>
            </w:r>
          </w:p>
        </w:tc>
      </w:tr>
      <w:tr>
        <w:tblPrEx>
          <w:tblCellMar>
            <w:top w:w="100" w:type="dxa"/>
            <w:left w:w="100" w:type="dxa"/>
            <w:bottom w:w="100" w:type="dxa"/>
            <w:right w:w="100" w:type="dxa"/>
          </w:tblCellMar>
        </w:tblPrEx>
        <w:trPr>
          <w:jc w:val="center"/>
        </w:trPr>
        <w:tc>
          <w:tcPr>
            <w:tcW w:w="5871" w:type="dxa"/>
            <w:tcBorders>
              <w:top w:val="single" w:color="000000" w:sz="8" w:space="0"/>
              <w:left w:val="single" w:color="000000" w:sz="8" w:space="0"/>
              <w:bottom w:val="single" w:color="000000" w:sz="8" w:space="0"/>
            </w:tcBorders>
          </w:tcPr>
          <w:p>
            <w:pPr>
              <w:ind w:left="0" w:hanging="2"/>
              <w:rPr>
                <w:rFonts w:ascii="Times New Roman" w:hAnsi="Times New Roman" w:cs="Times New Roman"/>
              </w:rPr>
            </w:pPr>
            <w:r>
              <w:rPr>
                <w:rFonts w:ascii="Times New Roman" w:hAnsi="Times New Roman" w:eastAsia="Times New Roman" w:cs="Times New Roman"/>
              </w:rPr>
              <w:t>Produção de pipoca pedagógica sobre cultura escolar</w:t>
            </w:r>
          </w:p>
        </w:tc>
        <w:tc>
          <w:tcPr>
            <w:tcW w:w="2107" w:type="dxa"/>
            <w:tcBorders>
              <w:top w:val="single" w:color="000000" w:sz="8" w:space="0"/>
              <w:left w:val="single" w:color="000000" w:sz="8" w:space="0"/>
              <w:bottom w:val="single" w:color="000000" w:sz="8" w:space="0"/>
              <w:right w:val="single" w:color="000000" w:sz="8" w:space="0"/>
            </w:tcBorders>
          </w:tcPr>
          <w:p>
            <w:pPr>
              <w:ind w:left="0" w:hanging="2"/>
              <w:rPr>
                <w:rFonts w:ascii="Times New Roman" w:hAnsi="Times New Roman" w:cs="Times New Roman"/>
              </w:rPr>
            </w:pPr>
            <w:r>
              <w:rPr>
                <w:rFonts w:ascii="Times New Roman" w:hAnsi="Times New Roman" w:eastAsia="Times New Roman" w:cs="Times New Roman"/>
              </w:rPr>
              <w:t>15 horas</w:t>
            </w:r>
          </w:p>
        </w:tc>
      </w:tr>
    </w:tbl>
    <w:p>
      <w:pPr>
        <w:pBdr>
          <w:top w:val="none" w:color="auto" w:sz="0" w:space="0"/>
          <w:left w:val="none" w:color="auto" w:sz="0" w:space="0"/>
          <w:bottom w:val="none" w:color="auto" w:sz="0" w:space="0"/>
          <w:right w:val="none" w:color="auto" w:sz="0" w:space="0"/>
          <w:between w:val="none" w:color="auto" w:sz="0" w:space="0"/>
        </w:pBdr>
        <w:spacing w:after="120" w:line="360" w:lineRule="auto"/>
        <w:ind w:left="0" w:hanging="2"/>
        <w:jc w:val="both"/>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TABELA 6.2 -PLANO DE ATIVIDADES: ESTÁGIO SUPERVISIONADO II (125 horas)</w:t>
      </w:r>
    </w:p>
    <w:tbl>
      <w:tblPr>
        <w:tblStyle w:val="663"/>
        <w:tblW w:w="7978" w:type="dxa"/>
        <w:jc w:val="center"/>
        <w:tblLayout w:type="fixed"/>
        <w:tblCellMar>
          <w:top w:w="100" w:type="dxa"/>
          <w:left w:w="100" w:type="dxa"/>
          <w:bottom w:w="100" w:type="dxa"/>
          <w:right w:w="100" w:type="dxa"/>
        </w:tblCellMar>
      </w:tblPr>
      <w:tblGrid>
        <w:gridCol w:w="6429"/>
        <w:gridCol w:w="1549"/>
      </w:tblGrid>
      <w:tr>
        <w:tblPrEx>
          <w:tblCellMar>
            <w:top w:w="100" w:type="dxa"/>
            <w:left w:w="100" w:type="dxa"/>
            <w:bottom w:w="100" w:type="dxa"/>
            <w:right w:w="100" w:type="dxa"/>
          </w:tblCellMar>
        </w:tblPrEx>
        <w:trPr>
          <w:trHeight w:val="560" w:hRule="atLeast"/>
          <w:jc w:val="center"/>
        </w:trPr>
        <w:tc>
          <w:tcPr>
            <w:tcW w:w="6429" w:type="dxa"/>
            <w:tcBorders>
              <w:top w:val="single" w:color="000000" w:sz="8" w:space="0"/>
              <w:left w:val="single" w:color="000000" w:sz="8" w:space="0"/>
              <w:bottom w:val="single" w:color="000000" w:sz="8" w:space="0"/>
            </w:tcBorders>
          </w:tcPr>
          <w:p>
            <w:pPr>
              <w:ind w:left="0" w:hanging="2"/>
              <w:rPr>
                <w:rFonts w:ascii="Times New Roman" w:hAnsi="Times New Roman" w:cs="Times New Roman"/>
              </w:rPr>
            </w:pPr>
            <w:r>
              <w:rPr>
                <w:rFonts w:ascii="Times New Roman" w:hAnsi="Times New Roman" w:eastAsia="Times New Roman" w:cs="Times New Roman"/>
                <w:b/>
              </w:rPr>
              <w:t>Atividade</w:t>
            </w:r>
          </w:p>
        </w:tc>
        <w:tc>
          <w:tcPr>
            <w:tcW w:w="1549" w:type="dxa"/>
            <w:tcBorders>
              <w:top w:val="single" w:color="000000" w:sz="8" w:space="0"/>
              <w:left w:val="single" w:color="000000" w:sz="8" w:space="0"/>
              <w:bottom w:val="single" w:color="000000" w:sz="8" w:space="0"/>
              <w:right w:val="single" w:color="000000" w:sz="8" w:space="0"/>
            </w:tcBorders>
          </w:tcPr>
          <w:p>
            <w:pPr>
              <w:ind w:left="0" w:hanging="2"/>
              <w:rPr>
                <w:rFonts w:ascii="Times New Roman" w:hAnsi="Times New Roman" w:cs="Times New Roman"/>
              </w:rPr>
            </w:pPr>
            <w:r>
              <w:rPr>
                <w:rFonts w:ascii="Times New Roman" w:hAnsi="Times New Roman" w:eastAsia="Times New Roman" w:cs="Times New Roman"/>
                <w:b/>
              </w:rPr>
              <w:t>Carga Horária</w:t>
            </w:r>
          </w:p>
        </w:tc>
      </w:tr>
      <w:tr>
        <w:tblPrEx>
          <w:tblCellMar>
            <w:top w:w="100" w:type="dxa"/>
            <w:left w:w="100" w:type="dxa"/>
            <w:bottom w:w="100" w:type="dxa"/>
            <w:right w:w="100" w:type="dxa"/>
          </w:tblCellMar>
        </w:tblPrEx>
        <w:trPr>
          <w:jc w:val="center"/>
        </w:trPr>
        <w:tc>
          <w:tcPr>
            <w:tcW w:w="6429" w:type="dxa"/>
            <w:tcBorders>
              <w:top w:val="single" w:color="000000" w:sz="8" w:space="0"/>
              <w:left w:val="single" w:color="000000" w:sz="8" w:space="0"/>
              <w:bottom w:val="single" w:color="000000" w:sz="8" w:space="0"/>
            </w:tcBorders>
          </w:tcPr>
          <w:p>
            <w:pPr>
              <w:ind w:left="0" w:hanging="2"/>
              <w:rPr>
                <w:rFonts w:ascii="Times New Roman" w:hAnsi="Times New Roman" w:cs="Times New Roman"/>
              </w:rPr>
            </w:pPr>
            <w:r>
              <w:rPr>
                <w:rFonts w:ascii="Times New Roman" w:hAnsi="Times New Roman" w:eastAsia="Times New Roman" w:cs="Times New Roman"/>
              </w:rPr>
              <w:t>Encontro de Orientação de Estágio (individual e coletivo)</w:t>
            </w:r>
          </w:p>
        </w:tc>
        <w:tc>
          <w:tcPr>
            <w:tcW w:w="1549" w:type="dxa"/>
            <w:tcBorders>
              <w:top w:val="single" w:color="000000" w:sz="8" w:space="0"/>
              <w:left w:val="single" w:color="000000" w:sz="8" w:space="0"/>
              <w:bottom w:val="single" w:color="000000" w:sz="8" w:space="0"/>
              <w:right w:val="single" w:color="000000" w:sz="8" w:space="0"/>
            </w:tcBorders>
          </w:tcPr>
          <w:p>
            <w:pPr>
              <w:ind w:left="0" w:hanging="2"/>
              <w:rPr>
                <w:rFonts w:ascii="Times New Roman" w:hAnsi="Times New Roman" w:cs="Times New Roman"/>
              </w:rPr>
            </w:pPr>
            <w:r>
              <w:rPr>
                <w:rFonts w:ascii="Times New Roman" w:hAnsi="Times New Roman" w:eastAsia="Times New Roman" w:cs="Times New Roman"/>
              </w:rPr>
              <w:t>30 horas</w:t>
            </w:r>
          </w:p>
        </w:tc>
      </w:tr>
      <w:tr>
        <w:tblPrEx>
          <w:tblCellMar>
            <w:top w:w="100" w:type="dxa"/>
            <w:left w:w="100" w:type="dxa"/>
            <w:bottom w:w="100" w:type="dxa"/>
            <w:right w:w="100" w:type="dxa"/>
          </w:tblCellMar>
        </w:tblPrEx>
        <w:trPr>
          <w:jc w:val="center"/>
        </w:trPr>
        <w:tc>
          <w:tcPr>
            <w:tcW w:w="6429" w:type="dxa"/>
            <w:tcBorders>
              <w:top w:val="single" w:color="000000" w:sz="8" w:space="0"/>
              <w:left w:val="single" w:color="000000" w:sz="8" w:space="0"/>
              <w:bottom w:val="single" w:color="000000" w:sz="8" w:space="0"/>
            </w:tcBorders>
          </w:tcPr>
          <w:p>
            <w:pPr>
              <w:ind w:left="0" w:hanging="2"/>
              <w:rPr>
                <w:rFonts w:ascii="Times New Roman" w:hAnsi="Times New Roman" w:cs="Times New Roman"/>
              </w:rPr>
            </w:pPr>
            <w:r>
              <w:rPr>
                <w:rFonts w:ascii="Times New Roman" w:hAnsi="Times New Roman" w:eastAsia="Times New Roman" w:cs="Times New Roman"/>
              </w:rPr>
              <w:t xml:space="preserve">Confecção do Plano de aula </w:t>
            </w:r>
          </w:p>
        </w:tc>
        <w:tc>
          <w:tcPr>
            <w:tcW w:w="1549" w:type="dxa"/>
            <w:tcBorders>
              <w:top w:val="single" w:color="000000" w:sz="8" w:space="0"/>
              <w:left w:val="single" w:color="000000" w:sz="8" w:space="0"/>
              <w:bottom w:val="single" w:color="000000" w:sz="8" w:space="0"/>
              <w:right w:val="single" w:color="000000" w:sz="8" w:space="0"/>
            </w:tcBorders>
          </w:tcPr>
          <w:p>
            <w:pPr>
              <w:ind w:left="0" w:hanging="2"/>
              <w:rPr>
                <w:rFonts w:ascii="Times New Roman" w:hAnsi="Times New Roman" w:cs="Times New Roman"/>
              </w:rPr>
            </w:pPr>
            <w:r>
              <w:rPr>
                <w:rFonts w:ascii="Times New Roman" w:hAnsi="Times New Roman" w:eastAsia="Times New Roman" w:cs="Times New Roman"/>
              </w:rPr>
              <w:t>15 horas</w:t>
            </w:r>
          </w:p>
        </w:tc>
      </w:tr>
      <w:tr>
        <w:tblPrEx>
          <w:tblCellMar>
            <w:top w:w="100" w:type="dxa"/>
            <w:left w:w="100" w:type="dxa"/>
            <w:bottom w:w="100" w:type="dxa"/>
            <w:right w:w="100" w:type="dxa"/>
          </w:tblCellMar>
        </w:tblPrEx>
        <w:trPr>
          <w:jc w:val="center"/>
        </w:trPr>
        <w:tc>
          <w:tcPr>
            <w:tcW w:w="6429" w:type="dxa"/>
            <w:tcBorders>
              <w:top w:val="single" w:color="000000" w:sz="8" w:space="0"/>
              <w:left w:val="single" w:color="000000" w:sz="8" w:space="0"/>
              <w:bottom w:val="single" w:color="000000" w:sz="8" w:space="0"/>
            </w:tcBorders>
          </w:tcPr>
          <w:p>
            <w:pPr>
              <w:spacing w:after="120"/>
              <w:ind w:left="0" w:hanging="2"/>
              <w:jc w:val="both"/>
              <w:rPr>
                <w:rFonts w:ascii="Times New Roman" w:hAnsi="Times New Roman" w:cs="Times New Roman"/>
              </w:rPr>
            </w:pPr>
            <w:r>
              <w:rPr>
                <w:rFonts w:ascii="Times New Roman" w:hAnsi="Times New Roman" w:eastAsia="Times New Roman" w:cs="Times New Roman"/>
              </w:rPr>
              <w:t>Prática de produção pedagógica - produção de sequência didática/material didático com elementos da cultura histórica</w:t>
            </w:r>
          </w:p>
        </w:tc>
        <w:tc>
          <w:tcPr>
            <w:tcW w:w="1549" w:type="dxa"/>
            <w:tcBorders>
              <w:top w:val="single" w:color="000000" w:sz="8" w:space="0"/>
              <w:left w:val="single" w:color="000000" w:sz="8" w:space="0"/>
              <w:bottom w:val="single" w:color="000000" w:sz="8" w:space="0"/>
              <w:right w:val="single" w:color="000000" w:sz="8" w:space="0"/>
            </w:tcBorders>
          </w:tcPr>
          <w:p>
            <w:pPr>
              <w:ind w:left="0" w:hanging="2"/>
              <w:rPr>
                <w:rFonts w:ascii="Times New Roman" w:hAnsi="Times New Roman" w:cs="Times New Roman"/>
              </w:rPr>
            </w:pPr>
            <w:r>
              <w:rPr>
                <w:rFonts w:ascii="Times New Roman" w:hAnsi="Times New Roman" w:eastAsia="Times New Roman" w:cs="Times New Roman"/>
              </w:rPr>
              <w:t>15 horas</w:t>
            </w:r>
          </w:p>
        </w:tc>
      </w:tr>
      <w:tr>
        <w:tblPrEx>
          <w:tblCellMar>
            <w:top w:w="100" w:type="dxa"/>
            <w:left w:w="100" w:type="dxa"/>
            <w:bottom w:w="100" w:type="dxa"/>
            <w:right w:w="100" w:type="dxa"/>
          </w:tblCellMar>
        </w:tblPrEx>
        <w:trPr>
          <w:jc w:val="center"/>
        </w:trPr>
        <w:tc>
          <w:tcPr>
            <w:tcW w:w="6429" w:type="dxa"/>
            <w:tcBorders>
              <w:top w:val="single" w:color="000000" w:sz="8" w:space="0"/>
              <w:left w:val="single" w:color="000000" w:sz="8" w:space="0"/>
              <w:bottom w:val="single" w:color="000000" w:sz="8" w:space="0"/>
            </w:tcBorders>
          </w:tcPr>
          <w:p>
            <w:pPr>
              <w:ind w:left="0" w:hanging="2"/>
              <w:rPr>
                <w:rFonts w:ascii="Times New Roman" w:hAnsi="Times New Roman" w:cs="Times New Roman"/>
              </w:rPr>
            </w:pPr>
            <w:r>
              <w:rPr>
                <w:rFonts w:ascii="Times New Roman" w:hAnsi="Times New Roman" w:eastAsia="Times New Roman" w:cs="Times New Roman"/>
              </w:rPr>
              <w:t xml:space="preserve">Observação e registro da sala de aula </w:t>
            </w:r>
          </w:p>
        </w:tc>
        <w:tc>
          <w:tcPr>
            <w:tcW w:w="1549" w:type="dxa"/>
            <w:tcBorders>
              <w:top w:val="single" w:color="000000" w:sz="8" w:space="0"/>
              <w:left w:val="single" w:color="000000" w:sz="8" w:space="0"/>
              <w:bottom w:val="single" w:color="000000" w:sz="8" w:space="0"/>
              <w:right w:val="single" w:color="000000" w:sz="8" w:space="0"/>
            </w:tcBorders>
          </w:tcPr>
          <w:p>
            <w:pPr>
              <w:ind w:left="0" w:hanging="2"/>
              <w:rPr>
                <w:rFonts w:ascii="Times New Roman" w:hAnsi="Times New Roman" w:cs="Times New Roman"/>
              </w:rPr>
            </w:pPr>
            <w:r>
              <w:rPr>
                <w:rFonts w:ascii="Times New Roman" w:hAnsi="Times New Roman" w:eastAsia="Times New Roman" w:cs="Times New Roman"/>
              </w:rPr>
              <w:t>15 horas</w:t>
            </w:r>
          </w:p>
        </w:tc>
      </w:tr>
      <w:tr>
        <w:tblPrEx>
          <w:tblCellMar>
            <w:top w:w="100" w:type="dxa"/>
            <w:left w:w="100" w:type="dxa"/>
            <w:bottom w:w="100" w:type="dxa"/>
            <w:right w:w="100" w:type="dxa"/>
          </w:tblCellMar>
        </w:tblPrEx>
        <w:trPr>
          <w:jc w:val="center"/>
        </w:trPr>
        <w:tc>
          <w:tcPr>
            <w:tcW w:w="6429" w:type="dxa"/>
            <w:tcBorders>
              <w:top w:val="single" w:color="000000" w:sz="8" w:space="0"/>
              <w:left w:val="single" w:color="000000" w:sz="8" w:space="0"/>
              <w:bottom w:val="single" w:color="000000" w:sz="8" w:space="0"/>
            </w:tcBorders>
          </w:tcPr>
          <w:p>
            <w:pPr>
              <w:ind w:left="0" w:hanging="2"/>
              <w:rPr>
                <w:rFonts w:ascii="Times New Roman" w:hAnsi="Times New Roman" w:cs="Times New Roman"/>
              </w:rPr>
            </w:pPr>
            <w:r>
              <w:rPr>
                <w:rFonts w:ascii="Times New Roman" w:hAnsi="Times New Roman" w:eastAsia="Times New Roman" w:cs="Times New Roman"/>
              </w:rPr>
              <w:t>Confecção do Relatório de Estágio</w:t>
            </w:r>
          </w:p>
        </w:tc>
        <w:tc>
          <w:tcPr>
            <w:tcW w:w="1549" w:type="dxa"/>
            <w:tcBorders>
              <w:top w:val="single" w:color="000000" w:sz="8" w:space="0"/>
              <w:left w:val="single" w:color="000000" w:sz="8" w:space="0"/>
              <w:bottom w:val="single" w:color="000000" w:sz="8" w:space="0"/>
              <w:right w:val="single" w:color="000000" w:sz="8" w:space="0"/>
            </w:tcBorders>
          </w:tcPr>
          <w:p>
            <w:pPr>
              <w:ind w:left="0" w:hanging="2"/>
              <w:rPr>
                <w:rFonts w:ascii="Times New Roman" w:hAnsi="Times New Roman" w:cs="Times New Roman"/>
              </w:rPr>
            </w:pPr>
            <w:r>
              <w:rPr>
                <w:rFonts w:ascii="Times New Roman" w:hAnsi="Times New Roman" w:eastAsia="Times New Roman" w:cs="Times New Roman"/>
              </w:rPr>
              <w:t>35 horas</w:t>
            </w:r>
          </w:p>
        </w:tc>
      </w:tr>
      <w:tr>
        <w:tblPrEx>
          <w:tblCellMar>
            <w:top w:w="100" w:type="dxa"/>
            <w:left w:w="100" w:type="dxa"/>
            <w:bottom w:w="100" w:type="dxa"/>
            <w:right w:w="100" w:type="dxa"/>
          </w:tblCellMar>
        </w:tblPrEx>
        <w:trPr>
          <w:jc w:val="center"/>
        </w:trPr>
        <w:tc>
          <w:tcPr>
            <w:tcW w:w="6429" w:type="dxa"/>
            <w:tcBorders>
              <w:top w:val="single" w:color="000000" w:sz="8" w:space="0"/>
              <w:left w:val="single" w:color="000000" w:sz="8" w:space="0"/>
              <w:bottom w:val="single" w:color="000000" w:sz="8" w:space="0"/>
            </w:tcBorders>
          </w:tcPr>
          <w:p>
            <w:pPr>
              <w:ind w:left="0" w:hanging="2"/>
              <w:rPr>
                <w:rFonts w:ascii="Times New Roman" w:hAnsi="Times New Roman" w:cs="Times New Roman"/>
              </w:rPr>
            </w:pPr>
            <w:r>
              <w:rPr>
                <w:rFonts w:ascii="Times New Roman" w:hAnsi="Times New Roman" w:eastAsia="Times New Roman" w:cs="Times New Roman"/>
              </w:rPr>
              <w:t>Produção de pipoca pedagógica sobre cultura histórica</w:t>
            </w:r>
          </w:p>
        </w:tc>
        <w:tc>
          <w:tcPr>
            <w:tcW w:w="1549" w:type="dxa"/>
            <w:tcBorders>
              <w:top w:val="single" w:color="000000" w:sz="8" w:space="0"/>
              <w:left w:val="single" w:color="000000" w:sz="8" w:space="0"/>
              <w:bottom w:val="single" w:color="000000" w:sz="8" w:space="0"/>
              <w:right w:val="single" w:color="000000" w:sz="8" w:space="0"/>
            </w:tcBorders>
          </w:tcPr>
          <w:p>
            <w:pPr>
              <w:ind w:left="0" w:hanging="2"/>
              <w:rPr>
                <w:rFonts w:ascii="Times New Roman" w:hAnsi="Times New Roman" w:cs="Times New Roman"/>
              </w:rPr>
            </w:pPr>
            <w:r>
              <w:rPr>
                <w:rFonts w:ascii="Times New Roman" w:hAnsi="Times New Roman" w:eastAsia="Times New Roman" w:cs="Times New Roman"/>
              </w:rPr>
              <w:t>15 horas</w:t>
            </w:r>
          </w:p>
        </w:tc>
      </w:tr>
    </w:tbl>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TABELA 6.3 - PLANO DE ATIVIDADES: ESTÁGIO SUPERVISIONADO III (125 horas)</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tbl>
      <w:tblPr>
        <w:tblStyle w:val="664"/>
        <w:tblW w:w="7978" w:type="dxa"/>
        <w:jc w:val="center"/>
        <w:tblLayout w:type="fixed"/>
        <w:tblCellMar>
          <w:top w:w="100" w:type="dxa"/>
          <w:left w:w="100" w:type="dxa"/>
          <w:bottom w:w="100" w:type="dxa"/>
          <w:right w:w="100" w:type="dxa"/>
        </w:tblCellMar>
      </w:tblPr>
      <w:tblGrid>
        <w:gridCol w:w="6297"/>
        <w:gridCol w:w="1681"/>
      </w:tblGrid>
      <w:tr>
        <w:trPr>
          <w:trHeight w:val="560" w:hRule="atLeast"/>
          <w:jc w:val="center"/>
        </w:trPr>
        <w:tc>
          <w:tcPr>
            <w:tcW w:w="6297" w:type="dxa"/>
            <w:tcBorders>
              <w:top w:val="single" w:color="000000" w:sz="8" w:space="0"/>
              <w:left w:val="single" w:color="000000" w:sz="8" w:space="0"/>
              <w:bottom w:val="single" w:color="000000" w:sz="8" w:space="0"/>
            </w:tcBorders>
          </w:tcPr>
          <w:p>
            <w:pPr>
              <w:ind w:left="0" w:hanging="2"/>
              <w:jc w:val="center"/>
              <w:rPr>
                <w:rFonts w:ascii="Times New Roman" w:hAnsi="Times New Roman" w:cs="Times New Roman"/>
              </w:rPr>
            </w:pPr>
            <w:r>
              <w:rPr>
                <w:rFonts w:ascii="Times New Roman" w:hAnsi="Times New Roman" w:eastAsia="Times New Roman" w:cs="Times New Roman"/>
                <w:b/>
              </w:rPr>
              <w:t>Atividade</w:t>
            </w:r>
          </w:p>
        </w:tc>
        <w:tc>
          <w:tcPr>
            <w:tcW w:w="1681" w:type="dxa"/>
            <w:tcBorders>
              <w:top w:val="single" w:color="000000" w:sz="8" w:space="0"/>
              <w:left w:val="single" w:color="000000" w:sz="8" w:space="0"/>
              <w:bottom w:val="single" w:color="000000" w:sz="8" w:space="0"/>
              <w:right w:val="single" w:color="000000" w:sz="8" w:space="0"/>
            </w:tcBorders>
          </w:tcPr>
          <w:p>
            <w:pPr>
              <w:ind w:left="0" w:hanging="2"/>
              <w:rPr>
                <w:rFonts w:ascii="Times New Roman" w:hAnsi="Times New Roman" w:cs="Times New Roman"/>
              </w:rPr>
            </w:pPr>
            <w:r>
              <w:rPr>
                <w:rFonts w:ascii="Times New Roman" w:hAnsi="Times New Roman" w:eastAsia="Times New Roman" w:cs="Times New Roman"/>
                <w:b/>
              </w:rPr>
              <w:t>Carga Horária</w:t>
            </w:r>
          </w:p>
        </w:tc>
      </w:tr>
      <w:tr>
        <w:tblPrEx>
          <w:tblCellMar>
            <w:top w:w="100" w:type="dxa"/>
            <w:left w:w="100" w:type="dxa"/>
            <w:bottom w:w="100" w:type="dxa"/>
            <w:right w:w="100" w:type="dxa"/>
          </w:tblCellMar>
        </w:tblPrEx>
        <w:trPr>
          <w:jc w:val="center"/>
        </w:trPr>
        <w:tc>
          <w:tcPr>
            <w:tcW w:w="6297" w:type="dxa"/>
            <w:tcBorders>
              <w:top w:val="single" w:color="000000" w:sz="8" w:space="0"/>
              <w:left w:val="single" w:color="000000" w:sz="8" w:space="0"/>
              <w:bottom w:val="single" w:color="000000" w:sz="8" w:space="0"/>
            </w:tcBorders>
          </w:tcPr>
          <w:p>
            <w:pPr>
              <w:ind w:left="0" w:hanging="2"/>
              <w:jc w:val="center"/>
              <w:rPr>
                <w:rFonts w:ascii="Times New Roman" w:hAnsi="Times New Roman" w:cs="Times New Roman"/>
              </w:rPr>
            </w:pPr>
            <w:r>
              <w:rPr>
                <w:rFonts w:ascii="Times New Roman" w:hAnsi="Times New Roman" w:eastAsia="Times New Roman" w:cs="Times New Roman"/>
              </w:rPr>
              <w:t>Encontro de Orientação de Estágio (individual e coletivo)</w:t>
            </w:r>
          </w:p>
        </w:tc>
        <w:tc>
          <w:tcPr>
            <w:tcW w:w="1681" w:type="dxa"/>
            <w:tcBorders>
              <w:top w:val="single" w:color="000000" w:sz="8" w:space="0"/>
              <w:left w:val="single" w:color="000000" w:sz="8" w:space="0"/>
              <w:bottom w:val="single" w:color="000000" w:sz="8" w:space="0"/>
              <w:right w:val="single" w:color="000000" w:sz="8" w:space="0"/>
            </w:tcBorders>
          </w:tcPr>
          <w:p>
            <w:pPr>
              <w:ind w:left="0" w:hanging="2"/>
              <w:rPr>
                <w:rFonts w:ascii="Times New Roman" w:hAnsi="Times New Roman" w:cs="Times New Roman"/>
              </w:rPr>
            </w:pPr>
            <w:r>
              <w:rPr>
                <w:rFonts w:ascii="Times New Roman" w:hAnsi="Times New Roman" w:eastAsia="Times New Roman" w:cs="Times New Roman"/>
              </w:rPr>
              <w:t>30 horas</w:t>
            </w:r>
          </w:p>
        </w:tc>
      </w:tr>
      <w:tr>
        <w:tblPrEx>
          <w:tblCellMar>
            <w:top w:w="100" w:type="dxa"/>
            <w:left w:w="100" w:type="dxa"/>
            <w:bottom w:w="100" w:type="dxa"/>
            <w:right w:w="100" w:type="dxa"/>
          </w:tblCellMar>
        </w:tblPrEx>
        <w:trPr>
          <w:jc w:val="center"/>
        </w:trPr>
        <w:tc>
          <w:tcPr>
            <w:tcW w:w="6297" w:type="dxa"/>
            <w:tcBorders>
              <w:top w:val="single" w:color="000000" w:sz="8" w:space="0"/>
              <w:left w:val="single" w:color="000000" w:sz="8" w:space="0"/>
              <w:bottom w:val="single" w:color="000000" w:sz="8" w:space="0"/>
            </w:tcBorders>
          </w:tcPr>
          <w:p>
            <w:pPr>
              <w:ind w:left="0" w:hanging="2"/>
              <w:jc w:val="center"/>
              <w:rPr>
                <w:rFonts w:ascii="Times New Roman" w:hAnsi="Times New Roman" w:cs="Times New Roman"/>
              </w:rPr>
            </w:pPr>
            <w:r>
              <w:rPr>
                <w:rFonts w:ascii="Times New Roman" w:hAnsi="Times New Roman" w:eastAsia="Times New Roman" w:cs="Times New Roman"/>
              </w:rPr>
              <w:t>Confecção do Plano de Regência</w:t>
            </w:r>
          </w:p>
        </w:tc>
        <w:tc>
          <w:tcPr>
            <w:tcW w:w="1681" w:type="dxa"/>
            <w:tcBorders>
              <w:top w:val="single" w:color="000000" w:sz="8" w:space="0"/>
              <w:left w:val="single" w:color="000000" w:sz="8" w:space="0"/>
              <w:bottom w:val="single" w:color="000000" w:sz="8" w:space="0"/>
              <w:right w:val="single" w:color="000000" w:sz="8" w:space="0"/>
            </w:tcBorders>
          </w:tcPr>
          <w:p>
            <w:pPr>
              <w:ind w:left="0" w:hanging="2"/>
              <w:rPr>
                <w:rFonts w:ascii="Times New Roman" w:hAnsi="Times New Roman" w:cs="Times New Roman"/>
              </w:rPr>
            </w:pPr>
            <w:r>
              <w:rPr>
                <w:rFonts w:ascii="Times New Roman" w:hAnsi="Times New Roman" w:eastAsia="Times New Roman" w:cs="Times New Roman"/>
              </w:rPr>
              <w:t>15 horas</w:t>
            </w:r>
          </w:p>
        </w:tc>
      </w:tr>
      <w:tr>
        <w:tblPrEx>
          <w:tblCellMar>
            <w:top w:w="100" w:type="dxa"/>
            <w:left w:w="100" w:type="dxa"/>
            <w:bottom w:w="100" w:type="dxa"/>
            <w:right w:w="100" w:type="dxa"/>
          </w:tblCellMar>
        </w:tblPrEx>
        <w:trPr>
          <w:jc w:val="center"/>
        </w:trPr>
        <w:tc>
          <w:tcPr>
            <w:tcW w:w="6297" w:type="dxa"/>
            <w:tcBorders>
              <w:top w:val="single" w:color="000000" w:sz="8" w:space="0"/>
              <w:left w:val="single" w:color="000000" w:sz="8" w:space="0"/>
              <w:bottom w:val="single" w:color="000000" w:sz="8" w:space="0"/>
            </w:tcBorders>
          </w:tcPr>
          <w:p>
            <w:pPr>
              <w:ind w:left="0" w:hanging="2"/>
              <w:jc w:val="center"/>
              <w:rPr>
                <w:rFonts w:ascii="Times New Roman" w:hAnsi="Times New Roman" w:cs="Times New Roman"/>
              </w:rPr>
            </w:pPr>
            <w:r>
              <w:rPr>
                <w:rFonts w:ascii="Times New Roman" w:hAnsi="Times New Roman" w:eastAsia="Times New Roman" w:cs="Times New Roman"/>
              </w:rPr>
              <w:t>Regência</w:t>
            </w:r>
          </w:p>
        </w:tc>
        <w:tc>
          <w:tcPr>
            <w:tcW w:w="1681" w:type="dxa"/>
            <w:tcBorders>
              <w:top w:val="single" w:color="000000" w:sz="8" w:space="0"/>
              <w:left w:val="single" w:color="000000" w:sz="8" w:space="0"/>
              <w:bottom w:val="single" w:color="000000" w:sz="8" w:space="0"/>
              <w:right w:val="single" w:color="000000" w:sz="8" w:space="0"/>
            </w:tcBorders>
          </w:tcPr>
          <w:p>
            <w:pPr>
              <w:ind w:left="0" w:hanging="2"/>
              <w:rPr>
                <w:rFonts w:ascii="Times New Roman" w:hAnsi="Times New Roman" w:cs="Times New Roman"/>
              </w:rPr>
            </w:pPr>
            <w:r>
              <w:rPr>
                <w:rFonts w:ascii="Times New Roman" w:hAnsi="Times New Roman" w:eastAsia="Times New Roman" w:cs="Times New Roman"/>
              </w:rPr>
              <w:t>3 horas</w:t>
            </w:r>
          </w:p>
        </w:tc>
      </w:tr>
      <w:tr>
        <w:tblPrEx>
          <w:tblCellMar>
            <w:top w:w="100" w:type="dxa"/>
            <w:left w:w="100" w:type="dxa"/>
            <w:bottom w:w="100" w:type="dxa"/>
            <w:right w:w="100" w:type="dxa"/>
          </w:tblCellMar>
        </w:tblPrEx>
        <w:trPr>
          <w:jc w:val="center"/>
        </w:trPr>
        <w:tc>
          <w:tcPr>
            <w:tcW w:w="6297" w:type="dxa"/>
            <w:tcBorders>
              <w:top w:val="single" w:color="000000" w:sz="8" w:space="0"/>
              <w:left w:val="single" w:color="000000" w:sz="8" w:space="0"/>
              <w:bottom w:val="single" w:color="000000" w:sz="8" w:space="0"/>
            </w:tcBorders>
          </w:tcPr>
          <w:p>
            <w:pPr>
              <w:spacing w:after="120"/>
              <w:ind w:left="0" w:hanging="2"/>
              <w:jc w:val="center"/>
              <w:rPr>
                <w:rFonts w:ascii="Times New Roman" w:hAnsi="Times New Roman" w:cs="Times New Roman"/>
              </w:rPr>
            </w:pPr>
            <w:r>
              <w:rPr>
                <w:rFonts w:ascii="Times New Roman" w:hAnsi="Times New Roman" w:eastAsia="Times New Roman" w:cs="Times New Roman"/>
              </w:rPr>
              <w:t>Prática de letramento – produção de aulas de história a partir de artefatos artístico-culturais</w:t>
            </w:r>
          </w:p>
        </w:tc>
        <w:tc>
          <w:tcPr>
            <w:tcW w:w="1681" w:type="dxa"/>
            <w:tcBorders>
              <w:top w:val="single" w:color="000000" w:sz="8" w:space="0"/>
              <w:left w:val="single" w:color="000000" w:sz="8" w:space="0"/>
              <w:bottom w:val="single" w:color="000000" w:sz="8" w:space="0"/>
              <w:right w:val="single" w:color="000000" w:sz="8" w:space="0"/>
            </w:tcBorders>
          </w:tcPr>
          <w:p>
            <w:pPr>
              <w:ind w:left="0" w:hanging="2"/>
              <w:rPr>
                <w:rFonts w:ascii="Times New Roman" w:hAnsi="Times New Roman" w:cs="Times New Roman"/>
              </w:rPr>
            </w:pPr>
            <w:r>
              <w:rPr>
                <w:rFonts w:ascii="Times New Roman" w:hAnsi="Times New Roman" w:eastAsia="Times New Roman" w:cs="Times New Roman"/>
              </w:rPr>
              <w:t>15 horas</w:t>
            </w:r>
          </w:p>
        </w:tc>
      </w:tr>
      <w:tr>
        <w:tblPrEx>
          <w:tblCellMar>
            <w:top w:w="100" w:type="dxa"/>
            <w:left w:w="100" w:type="dxa"/>
            <w:bottom w:w="100" w:type="dxa"/>
            <w:right w:w="100" w:type="dxa"/>
          </w:tblCellMar>
        </w:tblPrEx>
        <w:trPr>
          <w:jc w:val="center"/>
        </w:trPr>
        <w:tc>
          <w:tcPr>
            <w:tcW w:w="6297" w:type="dxa"/>
            <w:tcBorders>
              <w:top w:val="single" w:color="000000" w:sz="8" w:space="0"/>
              <w:left w:val="single" w:color="000000" w:sz="8" w:space="0"/>
              <w:bottom w:val="single" w:color="000000" w:sz="8" w:space="0"/>
            </w:tcBorders>
          </w:tcPr>
          <w:p>
            <w:pPr>
              <w:ind w:left="0" w:hanging="2"/>
              <w:jc w:val="center"/>
              <w:rPr>
                <w:rFonts w:ascii="Times New Roman" w:hAnsi="Times New Roman" w:cs="Times New Roman"/>
              </w:rPr>
            </w:pPr>
            <w:r>
              <w:rPr>
                <w:rFonts w:ascii="Times New Roman" w:hAnsi="Times New Roman" w:eastAsia="Times New Roman" w:cs="Times New Roman"/>
              </w:rPr>
              <w:t>Observação e registro da sala de aula ou outras situações educativas</w:t>
            </w:r>
          </w:p>
          <w:p>
            <w:pPr>
              <w:ind w:left="0" w:hanging="2"/>
              <w:jc w:val="center"/>
              <w:rPr>
                <w:rFonts w:ascii="Times New Roman" w:hAnsi="Times New Roman" w:eastAsia="Times New Roman" w:cs="Times New Roman"/>
              </w:rPr>
            </w:pPr>
          </w:p>
        </w:tc>
        <w:tc>
          <w:tcPr>
            <w:tcW w:w="1681" w:type="dxa"/>
            <w:tcBorders>
              <w:top w:val="single" w:color="000000" w:sz="8" w:space="0"/>
              <w:left w:val="single" w:color="000000" w:sz="8" w:space="0"/>
              <w:bottom w:val="single" w:color="000000" w:sz="8" w:space="0"/>
              <w:right w:val="single" w:color="000000" w:sz="8" w:space="0"/>
            </w:tcBorders>
          </w:tcPr>
          <w:p>
            <w:pPr>
              <w:ind w:left="0" w:hanging="2"/>
              <w:rPr>
                <w:rFonts w:ascii="Times New Roman" w:hAnsi="Times New Roman" w:cs="Times New Roman"/>
              </w:rPr>
            </w:pPr>
            <w:r>
              <w:rPr>
                <w:rFonts w:ascii="Times New Roman" w:hAnsi="Times New Roman" w:eastAsia="Times New Roman" w:cs="Times New Roman"/>
              </w:rPr>
              <w:t>12 horas</w:t>
            </w:r>
          </w:p>
        </w:tc>
      </w:tr>
      <w:tr>
        <w:tblPrEx>
          <w:tblCellMar>
            <w:top w:w="100" w:type="dxa"/>
            <w:left w:w="100" w:type="dxa"/>
            <w:bottom w:w="100" w:type="dxa"/>
            <w:right w:w="100" w:type="dxa"/>
          </w:tblCellMar>
        </w:tblPrEx>
        <w:trPr>
          <w:jc w:val="center"/>
        </w:trPr>
        <w:tc>
          <w:tcPr>
            <w:tcW w:w="6297" w:type="dxa"/>
            <w:tcBorders>
              <w:top w:val="single" w:color="000000" w:sz="8" w:space="0"/>
              <w:left w:val="single" w:color="000000" w:sz="8" w:space="0"/>
              <w:bottom w:val="single" w:color="000000" w:sz="8" w:space="0"/>
            </w:tcBorders>
          </w:tcPr>
          <w:p>
            <w:pPr>
              <w:ind w:left="0" w:hanging="2"/>
              <w:jc w:val="center"/>
              <w:rPr>
                <w:rFonts w:ascii="Times New Roman" w:hAnsi="Times New Roman" w:cs="Times New Roman"/>
              </w:rPr>
            </w:pPr>
            <w:r>
              <w:rPr>
                <w:rFonts w:ascii="Times New Roman" w:hAnsi="Times New Roman" w:eastAsia="Times New Roman" w:cs="Times New Roman"/>
              </w:rPr>
              <w:t>Confecção do Relatório de Estágio</w:t>
            </w:r>
          </w:p>
        </w:tc>
        <w:tc>
          <w:tcPr>
            <w:tcW w:w="1681" w:type="dxa"/>
            <w:tcBorders>
              <w:top w:val="single" w:color="000000" w:sz="8" w:space="0"/>
              <w:left w:val="single" w:color="000000" w:sz="8" w:space="0"/>
              <w:bottom w:val="single" w:color="000000" w:sz="8" w:space="0"/>
              <w:right w:val="single" w:color="000000" w:sz="8" w:space="0"/>
            </w:tcBorders>
          </w:tcPr>
          <w:p>
            <w:pPr>
              <w:ind w:left="0" w:hanging="2"/>
              <w:rPr>
                <w:rFonts w:ascii="Times New Roman" w:hAnsi="Times New Roman" w:cs="Times New Roman"/>
              </w:rPr>
            </w:pPr>
            <w:r>
              <w:rPr>
                <w:rFonts w:ascii="Times New Roman" w:hAnsi="Times New Roman" w:eastAsia="Times New Roman" w:cs="Times New Roman"/>
              </w:rPr>
              <w:t>35 horas</w:t>
            </w:r>
          </w:p>
        </w:tc>
      </w:tr>
      <w:tr>
        <w:tblPrEx>
          <w:tblCellMar>
            <w:top w:w="100" w:type="dxa"/>
            <w:left w:w="100" w:type="dxa"/>
            <w:bottom w:w="100" w:type="dxa"/>
            <w:right w:w="100" w:type="dxa"/>
          </w:tblCellMar>
        </w:tblPrEx>
        <w:trPr>
          <w:jc w:val="center"/>
        </w:trPr>
        <w:tc>
          <w:tcPr>
            <w:tcW w:w="6297" w:type="dxa"/>
            <w:tcBorders>
              <w:top w:val="single" w:color="000000" w:sz="8" w:space="0"/>
              <w:left w:val="single" w:color="000000" w:sz="8" w:space="0"/>
              <w:bottom w:val="single" w:color="000000" w:sz="8" w:space="0"/>
            </w:tcBorders>
          </w:tcPr>
          <w:p>
            <w:pPr>
              <w:ind w:left="0" w:hanging="2"/>
              <w:jc w:val="center"/>
              <w:rPr>
                <w:rFonts w:ascii="Times New Roman" w:hAnsi="Times New Roman" w:cs="Times New Roman"/>
              </w:rPr>
            </w:pPr>
            <w:r>
              <w:rPr>
                <w:rFonts w:ascii="Times New Roman" w:hAnsi="Times New Roman" w:eastAsia="Times New Roman" w:cs="Times New Roman"/>
              </w:rPr>
              <w:t>Produção de pipoca pedagógica sobre sobre sensibilidades no ensino de história</w:t>
            </w:r>
          </w:p>
        </w:tc>
        <w:tc>
          <w:tcPr>
            <w:tcW w:w="1681" w:type="dxa"/>
            <w:tcBorders>
              <w:top w:val="single" w:color="000000" w:sz="8" w:space="0"/>
              <w:left w:val="single" w:color="000000" w:sz="8" w:space="0"/>
              <w:bottom w:val="single" w:color="000000" w:sz="8" w:space="0"/>
              <w:right w:val="single" w:color="000000" w:sz="8" w:space="0"/>
            </w:tcBorders>
          </w:tcPr>
          <w:p>
            <w:pPr>
              <w:ind w:left="0" w:hanging="2"/>
              <w:rPr>
                <w:rFonts w:ascii="Times New Roman" w:hAnsi="Times New Roman" w:cs="Times New Roman"/>
              </w:rPr>
            </w:pPr>
            <w:r>
              <w:rPr>
                <w:rFonts w:ascii="Times New Roman" w:hAnsi="Times New Roman" w:eastAsia="Times New Roman" w:cs="Times New Roman"/>
              </w:rPr>
              <w:t>15 horas</w:t>
            </w:r>
          </w:p>
        </w:tc>
      </w:tr>
    </w:tbl>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TABELA 6.4 -PLANO DE ATIVIDADES: ESTÁGIO SUPERVISIONADO IV (125 horas)</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tbl>
      <w:tblPr>
        <w:tblStyle w:val="665"/>
        <w:tblW w:w="7978" w:type="dxa"/>
        <w:jc w:val="center"/>
        <w:tblLayout w:type="fixed"/>
        <w:tblCellMar>
          <w:top w:w="100" w:type="dxa"/>
          <w:left w:w="100" w:type="dxa"/>
          <w:bottom w:w="100" w:type="dxa"/>
          <w:right w:w="100" w:type="dxa"/>
        </w:tblCellMar>
      </w:tblPr>
      <w:tblGrid>
        <w:gridCol w:w="6297"/>
        <w:gridCol w:w="1681"/>
      </w:tblGrid>
      <w:tr>
        <w:tblPrEx>
          <w:tblCellMar>
            <w:top w:w="100" w:type="dxa"/>
            <w:left w:w="100" w:type="dxa"/>
            <w:bottom w:w="100" w:type="dxa"/>
            <w:right w:w="100" w:type="dxa"/>
          </w:tblCellMar>
        </w:tblPrEx>
        <w:trPr>
          <w:trHeight w:val="560" w:hRule="atLeast"/>
          <w:jc w:val="center"/>
        </w:trPr>
        <w:tc>
          <w:tcPr>
            <w:tcW w:w="6297" w:type="dxa"/>
            <w:tcBorders>
              <w:top w:val="single" w:color="000000" w:sz="8" w:space="0"/>
              <w:left w:val="single" w:color="000000" w:sz="8" w:space="0"/>
              <w:bottom w:val="single" w:color="000000" w:sz="8" w:space="0"/>
            </w:tcBorders>
          </w:tcPr>
          <w:p>
            <w:pPr>
              <w:ind w:left="0" w:hanging="2"/>
              <w:rPr>
                <w:rFonts w:ascii="Times New Roman" w:hAnsi="Times New Roman" w:cs="Times New Roman"/>
              </w:rPr>
            </w:pPr>
            <w:r>
              <w:rPr>
                <w:rFonts w:ascii="Times New Roman" w:hAnsi="Times New Roman" w:eastAsia="Times New Roman" w:cs="Times New Roman"/>
                <w:b/>
              </w:rPr>
              <w:t>Atividade</w:t>
            </w:r>
          </w:p>
        </w:tc>
        <w:tc>
          <w:tcPr>
            <w:tcW w:w="1681" w:type="dxa"/>
            <w:tcBorders>
              <w:top w:val="single" w:color="000000" w:sz="8" w:space="0"/>
              <w:left w:val="single" w:color="000000" w:sz="8" w:space="0"/>
              <w:bottom w:val="single" w:color="000000" w:sz="8" w:space="0"/>
              <w:right w:val="single" w:color="000000" w:sz="8" w:space="0"/>
            </w:tcBorders>
          </w:tcPr>
          <w:p>
            <w:pPr>
              <w:ind w:left="0" w:hanging="2"/>
              <w:rPr>
                <w:rFonts w:ascii="Times New Roman" w:hAnsi="Times New Roman" w:cs="Times New Roman"/>
              </w:rPr>
            </w:pPr>
            <w:r>
              <w:rPr>
                <w:rFonts w:ascii="Times New Roman" w:hAnsi="Times New Roman" w:eastAsia="Times New Roman" w:cs="Times New Roman"/>
                <w:b/>
              </w:rPr>
              <w:t>Carga Horária</w:t>
            </w:r>
          </w:p>
        </w:tc>
      </w:tr>
      <w:tr>
        <w:tblPrEx>
          <w:tblCellMar>
            <w:top w:w="100" w:type="dxa"/>
            <w:left w:w="100" w:type="dxa"/>
            <w:bottom w:w="100" w:type="dxa"/>
            <w:right w:w="100" w:type="dxa"/>
          </w:tblCellMar>
        </w:tblPrEx>
        <w:trPr>
          <w:jc w:val="center"/>
        </w:trPr>
        <w:tc>
          <w:tcPr>
            <w:tcW w:w="6297" w:type="dxa"/>
            <w:tcBorders>
              <w:top w:val="single" w:color="000000" w:sz="8" w:space="0"/>
              <w:left w:val="single" w:color="000000" w:sz="8" w:space="0"/>
              <w:bottom w:val="single" w:color="000000" w:sz="8" w:space="0"/>
            </w:tcBorders>
          </w:tcPr>
          <w:p>
            <w:pPr>
              <w:ind w:left="0" w:hanging="2"/>
              <w:rPr>
                <w:rFonts w:ascii="Times New Roman" w:hAnsi="Times New Roman" w:cs="Times New Roman"/>
              </w:rPr>
            </w:pPr>
            <w:r>
              <w:rPr>
                <w:rFonts w:ascii="Times New Roman" w:hAnsi="Times New Roman" w:eastAsia="Times New Roman" w:cs="Times New Roman"/>
              </w:rPr>
              <w:t>Encontro de Orientação de Estágio (individual e coletivo)</w:t>
            </w:r>
          </w:p>
        </w:tc>
        <w:tc>
          <w:tcPr>
            <w:tcW w:w="1681" w:type="dxa"/>
            <w:tcBorders>
              <w:top w:val="single" w:color="000000" w:sz="8" w:space="0"/>
              <w:left w:val="single" w:color="000000" w:sz="8" w:space="0"/>
              <w:bottom w:val="single" w:color="000000" w:sz="8" w:space="0"/>
              <w:right w:val="single" w:color="000000" w:sz="8" w:space="0"/>
            </w:tcBorders>
          </w:tcPr>
          <w:p>
            <w:pPr>
              <w:ind w:left="0" w:hanging="2"/>
              <w:rPr>
                <w:rFonts w:ascii="Times New Roman" w:hAnsi="Times New Roman" w:cs="Times New Roman"/>
              </w:rPr>
            </w:pPr>
            <w:r>
              <w:rPr>
                <w:rFonts w:ascii="Times New Roman" w:hAnsi="Times New Roman" w:eastAsia="Times New Roman" w:cs="Times New Roman"/>
              </w:rPr>
              <w:t>30 horas</w:t>
            </w:r>
          </w:p>
        </w:tc>
      </w:tr>
      <w:tr>
        <w:tblPrEx>
          <w:tblCellMar>
            <w:top w:w="100" w:type="dxa"/>
            <w:left w:w="100" w:type="dxa"/>
            <w:bottom w:w="100" w:type="dxa"/>
            <w:right w:w="100" w:type="dxa"/>
          </w:tblCellMar>
        </w:tblPrEx>
        <w:trPr>
          <w:jc w:val="center"/>
        </w:trPr>
        <w:tc>
          <w:tcPr>
            <w:tcW w:w="6297" w:type="dxa"/>
            <w:tcBorders>
              <w:top w:val="single" w:color="000000" w:sz="8" w:space="0"/>
              <w:left w:val="single" w:color="000000" w:sz="8" w:space="0"/>
              <w:bottom w:val="single" w:color="000000" w:sz="8" w:space="0"/>
            </w:tcBorders>
          </w:tcPr>
          <w:p>
            <w:pPr>
              <w:ind w:left="0" w:hanging="2"/>
              <w:rPr>
                <w:rFonts w:ascii="Times New Roman" w:hAnsi="Times New Roman" w:cs="Times New Roman"/>
              </w:rPr>
            </w:pPr>
            <w:r>
              <w:rPr>
                <w:rFonts w:ascii="Times New Roman" w:hAnsi="Times New Roman" w:eastAsia="Times New Roman" w:cs="Times New Roman"/>
              </w:rPr>
              <w:t>Confecção do Plano de Regência</w:t>
            </w:r>
          </w:p>
        </w:tc>
        <w:tc>
          <w:tcPr>
            <w:tcW w:w="1681" w:type="dxa"/>
            <w:tcBorders>
              <w:top w:val="single" w:color="000000" w:sz="8" w:space="0"/>
              <w:left w:val="single" w:color="000000" w:sz="8" w:space="0"/>
              <w:bottom w:val="single" w:color="000000" w:sz="8" w:space="0"/>
              <w:right w:val="single" w:color="000000" w:sz="8" w:space="0"/>
            </w:tcBorders>
          </w:tcPr>
          <w:p>
            <w:pPr>
              <w:ind w:left="0" w:hanging="2"/>
              <w:rPr>
                <w:rFonts w:ascii="Times New Roman" w:hAnsi="Times New Roman" w:cs="Times New Roman"/>
              </w:rPr>
            </w:pPr>
            <w:r>
              <w:rPr>
                <w:rFonts w:ascii="Times New Roman" w:hAnsi="Times New Roman" w:eastAsia="Times New Roman" w:cs="Times New Roman"/>
              </w:rPr>
              <w:t>15 horas</w:t>
            </w:r>
          </w:p>
        </w:tc>
      </w:tr>
      <w:tr>
        <w:tblPrEx>
          <w:tblCellMar>
            <w:top w:w="100" w:type="dxa"/>
            <w:left w:w="100" w:type="dxa"/>
            <w:bottom w:w="100" w:type="dxa"/>
            <w:right w:w="100" w:type="dxa"/>
          </w:tblCellMar>
        </w:tblPrEx>
        <w:trPr>
          <w:jc w:val="center"/>
        </w:trPr>
        <w:tc>
          <w:tcPr>
            <w:tcW w:w="6297" w:type="dxa"/>
            <w:tcBorders>
              <w:top w:val="single" w:color="000000" w:sz="8" w:space="0"/>
              <w:left w:val="single" w:color="000000" w:sz="8" w:space="0"/>
              <w:bottom w:val="single" w:color="000000" w:sz="8" w:space="0"/>
            </w:tcBorders>
          </w:tcPr>
          <w:p>
            <w:pPr>
              <w:ind w:left="0" w:hanging="2"/>
              <w:rPr>
                <w:rFonts w:ascii="Times New Roman" w:hAnsi="Times New Roman" w:cs="Times New Roman"/>
              </w:rPr>
            </w:pPr>
            <w:r>
              <w:rPr>
                <w:rFonts w:ascii="Times New Roman" w:hAnsi="Times New Roman" w:eastAsia="Times New Roman" w:cs="Times New Roman"/>
              </w:rPr>
              <w:t>Regência</w:t>
            </w:r>
          </w:p>
        </w:tc>
        <w:tc>
          <w:tcPr>
            <w:tcW w:w="1681" w:type="dxa"/>
            <w:tcBorders>
              <w:top w:val="single" w:color="000000" w:sz="8" w:space="0"/>
              <w:left w:val="single" w:color="000000" w:sz="8" w:space="0"/>
              <w:bottom w:val="single" w:color="000000" w:sz="8" w:space="0"/>
              <w:right w:val="single" w:color="000000" w:sz="8" w:space="0"/>
            </w:tcBorders>
          </w:tcPr>
          <w:p>
            <w:pPr>
              <w:ind w:left="0" w:hanging="2"/>
              <w:rPr>
                <w:rFonts w:ascii="Times New Roman" w:hAnsi="Times New Roman" w:cs="Times New Roman"/>
              </w:rPr>
            </w:pPr>
            <w:r>
              <w:rPr>
                <w:rFonts w:ascii="Times New Roman" w:hAnsi="Times New Roman" w:eastAsia="Times New Roman" w:cs="Times New Roman"/>
              </w:rPr>
              <w:t>3 horas</w:t>
            </w:r>
          </w:p>
        </w:tc>
      </w:tr>
      <w:tr>
        <w:tblPrEx>
          <w:tblCellMar>
            <w:top w:w="100" w:type="dxa"/>
            <w:left w:w="100" w:type="dxa"/>
            <w:bottom w:w="100" w:type="dxa"/>
            <w:right w:w="100" w:type="dxa"/>
          </w:tblCellMar>
        </w:tblPrEx>
        <w:trPr>
          <w:jc w:val="center"/>
        </w:trPr>
        <w:tc>
          <w:tcPr>
            <w:tcW w:w="6297" w:type="dxa"/>
            <w:tcBorders>
              <w:top w:val="single" w:color="000000" w:sz="8" w:space="0"/>
              <w:left w:val="single" w:color="000000" w:sz="8" w:space="0"/>
              <w:bottom w:val="single" w:color="000000" w:sz="8" w:space="0"/>
            </w:tcBorders>
          </w:tcPr>
          <w:p>
            <w:pPr>
              <w:spacing w:after="120"/>
              <w:ind w:left="0" w:hanging="2"/>
              <w:jc w:val="both"/>
              <w:rPr>
                <w:rFonts w:ascii="Times New Roman" w:hAnsi="Times New Roman" w:cs="Times New Roman"/>
              </w:rPr>
            </w:pPr>
            <w:r>
              <w:rPr>
                <w:rFonts w:ascii="Times New Roman" w:hAnsi="Times New Roman" w:eastAsia="Times New Roman" w:cs="Times New Roman"/>
              </w:rPr>
              <w:t>Prática de letramento – produção de aulas de história a partir de artefatos artístico-culturais</w:t>
            </w:r>
          </w:p>
        </w:tc>
        <w:tc>
          <w:tcPr>
            <w:tcW w:w="1681" w:type="dxa"/>
            <w:tcBorders>
              <w:top w:val="single" w:color="000000" w:sz="8" w:space="0"/>
              <w:left w:val="single" w:color="000000" w:sz="8" w:space="0"/>
              <w:bottom w:val="single" w:color="000000" w:sz="8" w:space="0"/>
              <w:right w:val="single" w:color="000000" w:sz="8" w:space="0"/>
            </w:tcBorders>
          </w:tcPr>
          <w:p>
            <w:pPr>
              <w:ind w:left="0" w:hanging="2"/>
              <w:rPr>
                <w:rFonts w:ascii="Times New Roman" w:hAnsi="Times New Roman" w:cs="Times New Roman"/>
              </w:rPr>
            </w:pPr>
            <w:r>
              <w:rPr>
                <w:rFonts w:ascii="Times New Roman" w:hAnsi="Times New Roman" w:eastAsia="Times New Roman" w:cs="Times New Roman"/>
              </w:rPr>
              <w:t>15 horas</w:t>
            </w:r>
          </w:p>
        </w:tc>
      </w:tr>
      <w:tr>
        <w:tblPrEx>
          <w:tblCellMar>
            <w:top w:w="100" w:type="dxa"/>
            <w:left w:w="100" w:type="dxa"/>
            <w:bottom w:w="100" w:type="dxa"/>
            <w:right w:w="100" w:type="dxa"/>
          </w:tblCellMar>
        </w:tblPrEx>
        <w:trPr>
          <w:jc w:val="center"/>
        </w:trPr>
        <w:tc>
          <w:tcPr>
            <w:tcW w:w="6297" w:type="dxa"/>
            <w:tcBorders>
              <w:top w:val="single" w:color="000000" w:sz="8" w:space="0"/>
              <w:left w:val="single" w:color="000000" w:sz="8" w:space="0"/>
              <w:bottom w:val="single" w:color="000000" w:sz="8" w:space="0"/>
            </w:tcBorders>
          </w:tcPr>
          <w:p>
            <w:pPr>
              <w:ind w:left="0" w:hanging="2"/>
              <w:rPr>
                <w:rFonts w:ascii="Times New Roman" w:hAnsi="Times New Roman" w:cs="Times New Roman"/>
              </w:rPr>
            </w:pPr>
            <w:r>
              <w:rPr>
                <w:rFonts w:ascii="Times New Roman" w:hAnsi="Times New Roman" w:eastAsia="Times New Roman" w:cs="Times New Roman"/>
              </w:rPr>
              <w:t>Observação e registro da sala de aula ou outras situações educativas</w:t>
            </w:r>
          </w:p>
          <w:p>
            <w:pPr>
              <w:ind w:left="0" w:hanging="2"/>
              <w:rPr>
                <w:rFonts w:ascii="Times New Roman" w:hAnsi="Times New Roman" w:eastAsia="Times New Roman" w:cs="Times New Roman"/>
              </w:rPr>
            </w:pPr>
          </w:p>
        </w:tc>
        <w:tc>
          <w:tcPr>
            <w:tcW w:w="1681" w:type="dxa"/>
            <w:tcBorders>
              <w:top w:val="single" w:color="000000" w:sz="8" w:space="0"/>
              <w:left w:val="single" w:color="000000" w:sz="8" w:space="0"/>
              <w:bottom w:val="single" w:color="000000" w:sz="8" w:space="0"/>
              <w:right w:val="single" w:color="000000" w:sz="8" w:space="0"/>
            </w:tcBorders>
          </w:tcPr>
          <w:p>
            <w:pPr>
              <w:ind w:left="0" w:hanging="2"/>
              <w:rPr>
                <w:rFonts w:ascii="Times New Roman" w:hAnsi="Times New Roman" w:cs="Times New Roman"/>
              </w:rPr>
            </w:pPr>
            <w:r>
              <w:rPr>
                <w:rFonts w:ascii="Times New Roman" w:hAnsi="Times New Roman" w:eastAsia="Times New Roman" w:cs="Times New Roman"/>
              </w:rPr>
              <w:t>12 horas</w:t>
            </w:r>
          </w:p>
        </w:tc>
      </w:tr>
      <w:tr>
        <w:tblPrEx>
          <w:tblCellMar>
            <w:top w:w="100" w:type="dxa"/>
            <w:left w:w="100" w:type="dxa"/>
            <w:bottom w:w="100" w:type="dxa"/>
            <w:right w:w="100" w:type="dxa"/>
          </w:tblCellMar>
        </w:tblPrEx>
        <w:trPr>
          <w:jc w:val="center"/>
        </w:trPr>
        <w:tc>
          <w:tcPr>
            <w:tcW w:w="6297" w:type="dxa"/>
            <w:tcBorders>
              <w:top w:val="single" w:color="000000" w:sz="8" w:space="0"/>
              <w:left w:val="single" w:color="000000" w:sz="8" w:space="0"/>
              <w:bottom w:val="single" w:color="000000" w:sz="8" w:space="0"/>
            </w:tcBorders>
          </w:tcPr>
          <w:p>
            <w:pPr>
              <w:ind w:left="0" w:hanging="2"/>
              <w:rPr>
                <w:rFonts w:ascii="Times New Roman" w:hAnsi="Times New Roman" w:cs="Times New Roman"/>
              </w:rPr>
            </w:pPr>
            <w:r>
              <w:rPr>
                <w:rFonts w:ascii="Times New Roman" w:hAnsi="Times New Roman" w:eastAsia="Times New Roman" w:cs="Times New Roman"/>
              </w:rPr>
              <w:t>Confecção do Relatório de Estágio</w:t>
            </w:r>
          </w:p>
        </w:tc>
        <w:tc>
          <w:tcPr>
            <w:tcW w:w="1681" w:type="dxa"/>
            <w:tcBorders>
              <w:top w:val="single" w:color="000000" w:sz="8" w:space="0"/>
              <w:left w:val="single" w:color="000000" w:sz="8" w:space="0"/>
              <w:bottom w:val="single" w:color="000000" w:sz="8" w:space="0"/>
              <w:right w:val="single" w:color="000000" w:sz="8" w:space="0"/>
            </w:tcBorders>
          </w:tcPr>
          <w:p>
            <w:pPr>
              <w:ind w:left="0" w:hanging="2"/>
              <w:rPr>
                <w:rFonts w:ascii="Times New Roman" w:hAnsi="Times New Roman" w:cs="Times New Roman"/>
              </w:rPr>
            </w:pPr>
            <w:r>
              <w:rPr>
                <w:rFonts w:ascii="Times New Roman" w:hAnsi="Times New Roman" w:eastAsia="Times New Roman" w:cs="Times New Roman"/>
              </w:rPr>
              <w:t>35 horas</w:t>
            </w:r>
          </w:p>
        </w:tc>
      </w:tr>
      <w:tr>
        <w:tblPrEx>
          <w:tblCellMar>
            <w:top w:w="100" w:type="dxa"/>
            <w:left w:w="100" w:type="dxa"/>
            <w:bottom w:w="100" w:type="dxa"/>
            <w:right w:w="100" w:type="dxa"/>
          </w:tblCellMar>
        </w:tblPrEx>
        <w:trPr>
          <w:jc w:val="center"/>
        </w:trPr>
        <w:tc>
          <w:tcPr>
            <w:tcW w:w="6297" w:type="dxa"/>
            <w:tcBorders>
              <w:top w:val="single" w:color="000000" w:sz="8" w:space="0"/>
              <w:left w:val="single" w:color="000000" w:sz="8" w:space="0"/>
              <w:bottom w:val="single" w:color="000000" w:sz="8" w:space="0"/>
            </w:tcBorders>
          </w:tcPr>
          <w:p>
            <w:pPr>
              <w:ind w:left="0" w:hanging="2"/>
              <w:rPr>
                <w:rFonts w:ascii="Times New Roman" w:hAnsi="Times New Roman" w:cs="Times New Roman"/>
              </w:rPr>
            </w:pPr>
            <w:r>
              <w:rPr>
                <w:rFonts w:ascii="Times New Roman" w:hAnsi="Times New Roman" w:eastAsia="Times New Roman" w:cs="Times New Roman"/>
              </w:rPr>
              <w:t>Produção de pipoca pedagógica sobre sobre sensibilidades no ensino de história  </w:t>
            </w:r>
          </w:p>
        </w:tc>
        <w:tc>
          <w:tcPr>
            <w:tcW w:w="1681" w:type="dxa"/>
            <w:tcBorders>
              <w:top w:val="single" w:color="000000" w:sz="8" w:space="0"/>
              <w:left w:val="single" w:color="000000" w:sz="8" w:space="0"/>
              <w:bottom w:val="single" w:color="000000" w:sz="8" w:space="0"/>
              <w:right w:val="single" w:color="000000" w:sz="8" w:space="0"/>
            </w:tcBorders>
          </w:tcPr>
          <w:p>
            <w:pPr>
              <w:ind w:left="0" w:hanging="2"/>
              <w:rPr>
                <w:rFonts w:ascii="Times New Roman" w:hAnsi="Times New Roman" w:cs="Times New Roman"/>
              </w:rPr>
            </w:pPr>
            <w:r>
              <w:rPr>
                <w:rFonts w:ascii="Times New Roman" w:hAnsi="Times New Roman" w:eastAsia="Times New Roman" w:cs="Times New Roman"/>
              </w:rPr>
              <w:t>15 horas</w:t>
            </w:r>
          </w:p>
        </w:tc>
      </w:tr>
    </w:tbl>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REFERÊNCIAS:</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BRASIL. Lei nº. 9.394 de 20 de dezembro de 1996. Estabelece as Diretrizes e Bases da Educação Nacional. Diário Oficial [da] República Federativa do Brasil, Poder Legislativo, Brasília, DF, 23 dez. 1996, seção 1, p. 27.833. Disponível em: http://www.planalto.gov.br/ccivil_ 03/Leis/L9394.htm. Acesso em: 12 ago. 2018.</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BRASIL. Congresso Nacional. Lei nº. 11.788, de 25 de setembro de 2008. Dispõe sobre o estágio de estudantes. Diário Oficial [da] República Federativa do Brasil, Poder Legislativo, Brasília, DF, 26 set. 2008, Seção 1, p. 3-4. . Disponível em: http://www.planalto.gov.br/ccivil_03/_ato2007-2010/2008/lei/l11788.htm. Disponível em 08 ago.2013. Acesso em 13 ago. 2018.</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BRASIL. Conselho Nacional de Educação- CNE. Parecer CNE/CES 492/2001, de 03 de Abril de 2001. Diretrizes Curriculares Nacionais dos cursos de Filosofia, História, Geografia, Serviço Social, Comunicação Social, Ciências Sociais, Letras, Biblioteconomia, Arquivologia e Museologia. Disponível em: http://portal.mec.gov.br/cne/arquivos/pdf/CES0492.pdf. Acesso em 08 set. 2018.</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BRASIL. Conselho Nacional de Educação- CNE. Resolução CNE/CES 13, DE 13 de Março de 2002. Estabelece as Diretrizes Curriculares para os cursos de História. Disponível em: http://portal.mec.gov.br/cne/arquivos/pdf/CES132002.pdf. Acesso em 10 out. 2018.</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BRASIL. Conselho Nacional de Educação. Secretaria de Educação Superior. Resolução no. 2 de 1º de julho de 2015. Define as Diretrizes Curriculares Nacionais para a formação inicial em nível superior (cursos de licenciatura, cursos de formação pedagógica para graduados e cursos de segunda licenciatura) e para a formação continuada. Disponível em: http://portal.mec.gov.br/index.php?option=com_docman&amp;view=download&amp;alias=17719 -res-cne-cp-002-03072015&amp;category_slug=julho-2015-pdf&amp;Itemid=30192. Acesso em: 15 ago. 2018.  </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UNIVERSIDADE FEDERAL DE OURO PRETO. Política Institucional de Formação de Professores. Diretrizes da UFOP para os cursos de Licenciatura. Ouro Preto, 2018.</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jc w:val="both"/>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7. MODELO DE CARTA DE APRESENTAÇÃO</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_____________________, ______de _________________de 20__</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Prezado(a) Sr.(a) Diretor(a),</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Apresentamos-lhe o(a) aluno(a) ______________________________________________ ,</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que deseja realizar o estágio supervisionado na disciplina ______________________________, no nível _______________________, nesse Campo de Estágio.</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Para sua efetivação, o aluno cumprirá o Plano de Atividades no Campo de Estágio, que deverá ser previamente acordado entre ele(a), seu professor(a) orientador(a) da UFOP e um(a) professor(a) supervisor(a) desse Campo de Estágio.</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Solicitamos que, ao finalizar-se o período de estágio, o Coordenador Pedagógico da Escola emita uma AVALIAÇÃO geral, conforme o modelo em anexo, que contribuirá para o aprimoramento das atividades realizadas pelos estagiários da disciplina Estágio Supervisionado das licenciaturas da UFOP. Será solicitada ainda a ciência deste mesmo Pedagogo nos seguintes documentos, que deverão estar previamente assinados pelo(a) professor(a) supervisor(a) da escola: FREQUÊNCIA do estagiário e DECLARAÇÃO de realização de estágio.</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 aceitação de nossa solicitação por sua parte e por parte do corpo docente e administrativo desse Campo de Estágio contribuirá para uma melhor realização do trabalho de formação de professores para Educação Básica brasileira.</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Desde já, agradecemos sua colaboração e nos colocamos a sua disposição para quaisquer esclarecimentos que se fizerem necessários.</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Atenciosamente,</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____________________________</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(nome)</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Prof.-orientador(a) responsável pela disciplina de Estágio Supervisionado</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Universidade Federal de Ouro Preto</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Depto. ___________________________</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E-mail ___________________________</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8.TERMO DE COMPROMISSO DE ESTÁGIO</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MINISTÉRIO DA EDUCAÇÃO</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UNIVERSIDADE FEDERAL DE OURO PRETO – UFOP</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COORDENADORIA DE ESTÁGIO</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ind w:left="0" w:hanging="2"/>
        <w:jc w:val="center"/>
        <w:rPr>
          <w:rFonts w:ascii="Times New Roman" w:hAnsi="Times New Roman" w:cs="Times New Roman"/>
        </w:rPr>
      </w:pPr>
      <w:r>
        <w:rPr>
          <w:rFonts w:ascii="Times New Roman" w:hAnsi="Times New Roman" w:eastAsia="Times New Roman" w:cs="Times New Roman"/>
        </w:rPr>
        <w:t>TERMO DE COMPROMISSO DE ESTÁGIO SUPERVISIONADO DE LICENCIATURA</w:t>
      </w:r>
    </w:p>
    <w:p>
      <w:pPr>
        <w:ind w:left="0" w:hanging="2"/>
        <w:jc w:val="center"/>
        <w:rPr>
          <w:rFonts w:ascii="Times New Roman" w:hAnsi="Times New Roman" w:eastAsia="Times New Roman" w:cs="Times New Roman"/>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Firmam o presente Termo de Compromisso, para realização de Estágio Supervisionado Obrigatório, o ESTAGIÁRIO, o CAMPO DE ESTÁGIO e a INSTITUIÇÃO DE ENSINO, todos abaixo identificados, ficando estabelecido nos termos da Lei 11.788 de 25 de setembro de 2008:</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tbl>
      <w:tblPr>
        <w:tblStyle w:val="666"/>
        <w:tblW w:w="7602" w:type="dxa"/>
        <w:jc w:val="center"/>
        <w:tblLayout w:type="fixed"/>
        <w:tblCellMar>
          <w:top w:w="100" w:type="dxa"/>
          <w:left w:w="100" w:type="dxa"/>
          <w:bottom w:w="100" w:type="dxa"/>
          <w:right w:w="100" w:type="dxa"/>
        </w:tblCellMar>
      </w:tblPr>
      <w:tblGrid>
        <w:gridCol w:w="4023"/>
        <w:gridCol w:w="3579"/>
      </w:tblGrid>
      <w:tr>
        <w:tblPrEx>
          <w:tblCellMar>
            <w:top w:w="100" w:type="dxa"/>
            <w:left w:w="100" w:type="dxa"/>
            <w:bottom w:w="100" w:type="dxa"/>
            <w:right w:w="100" w:type="dxa"/>
          </w:tblCellMar>
        </w:tblPrEx>
        <w:trPr>
          <w:trHeight w:val="389" w:hRule="atLeast"/>
          <w:jc w:val="center"/>
        </w:trPr>
        <w:tc>
          <w:tcPr>
            <w:tcW w:w="7602" w:type="dxa"/>
            <w:gridSpan w:val="2"/>
            <w:tcBorders>
              <w:top w:val="single" w:color="000000" w:sz="8" w:space="0"/>
              <w:left w:val="single" w:color="000000" w:sz="8" w:space="0"/>
              <w:bottom w:val="single" w:color="000000" w:sz="8" w:space="0"/>
              <w:right w:val="single" w:color="000000" w:sz="8" w:space="0"/>
            </w:tcBorders>
            <w:shd w:val="clear" w:color="auto" w:fill="EEECE1"/>
          </w:tcPr>
          <w:p>
            <w:pPr>
              <w:ind w:left="0" w:hanging="2"/>
              <w:jc w:val="center"/>
              <w:rPr>
                <w:rFonts w:ascii="Times New Roman" w:hAnsi="Times New Roman" w:cs="Times New Roman"/>
              </w:rPr>
            </w:pPr>
            <w:r>
              <w:rPr>
                <w:rFonts w:ascii="Times New Roman" w:hAnsi="Times New Roman" w:eastAsia="Times New Roman" w:cs="Times New Roman"/>
              </w:rPr>
              <w:t>INSTITUIÇÃO DE ENSINO</w:t>
            </w:r>
          </w:p>
        </w:tc>
      </w:tr>
      <w:tr>
        <w:tblPrEx>
          <w:tblCellMar>
            <w:top w:w="100" w:type="dxa"/>
            <w:left w:w="100" w:type="dxa"/>
            <w:bottom w:w="100" w:type="dxa"/>
            <w:right w:w="100" w:type="dxa"/>
          </w:tblCellMar>
        </w:tblPrEx>
        <w:trPr>
          <w:trHeight w:val="389" w:hRule="atLeast"/>
          <w:jc w:val="center"/>
        </w:trPr>
        <w:tc>
          <w:tcPr>
            <w:tcW w:w="4023" w:type="dxa"/>
            <w:tcBorders>
              <w:top w:val="single" w:color="000000" w:sz="8" w:space="0"/>
              <w:left w:val="single" w:color="000000" w:sz="8" w:space="0"/>
              <w:bottom w:val="single" w:color="000000" w:sz="8" w:space="0"/>
            </w:tcBorders>
          </w:tcPr>
          <w:p>
            <w:pPr>
              <w:ind w:left="0" w:hanging="2"/>
              <w:jc w:val="both"/>
              <w:rPr>
                <w:rFonts w:ascii="Times New Roman" w:hAnsi="Times New Roman" w:cs="Times New Roman"/>
              </w:rPr>
            </w:pPr>
            <w:r>
              <w:rPr>
                <w:rFonts w:ascii="Times New Roman" w:hAnsi="Times New Roman" w:eastAsia="Times New Roman" w:cs="Times New Roman"/>
              </w:rPr>
              <w:t>Nome: Universidade Federal de Ouro Preto</w:t>
            </w:r>
          </w:p>
        </w:tc>
        <w:tc>
          <w:tcPr>
            <w:tcW w:w="3579" w:type="dxa"/>
            <w:tcBorders>
              <w:top w:val="single" w:color="000000" w:sz="8" w:space="0"/>
              <w:left w:val="single" w:color="000000" w:sz="8" w:space="0"/>
              <w:bottom w:val="single" w:color="000000" w:sz="8" w:space="0"/>
              <w:right w:val="single" w:color="000000" w:sz="8" w:space="0"/>
            </w:tcBorders>
          </w:tcPr>
          <w:p>
            <w:pPr>
              <w:ind w:left="0" w:hanging="2"/>
              <w:jc w:val="both"/>
              <w:rPr>
                <w:rFonts w:ascii="Times New Roman" w:hAnsi="Times New Roman" w:cs="Times New Roman"/>
              </w:rPr>
            </w:pPr>
            <w:r>
              <w:rPr>
                <w:rFonts w:ascii="Times New Roman" w:hAnsi="Times New Roman" w:eastAsia="Times New Roman" w:cs="Times New Roman"/>
              </w:rPr>
              <w:t>CNPJ: 23.070.659/0001-10</w:t>
            </w:r>
          </w:p>
        </w:tc>
      </w:tr>
      <w:tr>
        <w:tblPrEx>
          <w:tblCellMar>
            <w:top w:w="100" w:type="dxa"/>
            <w:left w:w="100" w:type="dxa"/>
            <w:bottom w:w="100" w:type="dxa"/>
            <w:right w:w="100" w:type="dxa"/>
          </w:tblCellMar>
        </w:tblPrEx>
        <w:trPr>
          <w:trHeight w:val="623" w:hRule="atLeast"/>
          <w:jc w:val="center"/>
        </w:trPr>
        <w:tc>
          <w:tcPr>
            <w:tcW w:w="4023" w:type="dxa"/>
            <w:tcBorders>
              <w:top w:val="single" w:color="000000" w:sz="8" w:space="0"/>
              <w:left w:val="single" w:color="000000" w:sz="8" w:space="0"/>
              <w:bottom w:val="single" w:color="000000" w:sz="8" w:space="0"/>
            </w:tcBorders>
          </w:tcPr>
          <w:p>
            <w:pPr>
              <w:ind w:left="0" w:hanging="2"/>
              <w:jc w:val="both"/>
              <w:rPr>
                <w:rFonts w:ascii="Times New Roman" w:hAnsi="Times New Roman" w:cs="Times New Roman"/>
              </w:rPr>
            </w:pPr>
            <w:r>
              <w:rPr>
                <w:rFonts w:ascii="Times New Roman" w:hAnsi="Times New Roman" w:eastAsia="Times New Roman" w:cs="Times New Roman"/>
              </w:rPr>
              <w:t>Representante legal: Profa. Dra. Cláudia Aparecida Marliére de Lima</w:t>
            </w:r>
          </w:p>
        </w:tc>
        <w:tc>
          <w:tcPr>
            <w:tcW w:w="3579" w:type="dxa"/>
            <w:tcBorders>
              <w:top w:val="single" w:color="000000" w:sz="8" w:space="0"/>
              <w:left w:val="single" w:color="000000" w:sz="8" w:space="0"/>
              <w:bottom w:val="single" w:color="000000" w:sz="8" w:space="0"/>
              <w:right w:val="single" w:color="000000" w:sz="8" w:space="0"/>
            </w:tcBorders>
          </w:tcPr>
          <w:p>
            <w:pPr>
              <w:ind w:left="0" w:hanging="2"/>
              <w:jc w:val="both"/>
              <w:rPr>
                <w:rFonts w:ascii="Times New Roman" w:hAnsi="Times New Roman" w:cs="Times New Roman"/>
              </w:rPr>
            </w:pPr>
            <w:r>
              <w:rPr>
                <w:rFonts w:ascii="Times New Roman" w:hAnsi="Times New Roman" w:eastAsia="Times New Roman" w:cs="Times New Roman"/>
              </w:rPr>
              <w:t>Cargo: Reitora</w:t>
            </w:r>
          </w:p>
        </w:tc>
      </w:tr>
      <w:tr>
        <w:tblPrEx>
          <w:tblCellMar>
            <w:top w:w="100" w:type="dxa"/>
            <w:left w:w="100" w:type="dxa"/>
            <w:bottom w:w="100" w:type="dxa"/>
            <w:right w:w="100" w:type="dxa"/>
          </w:tblCellMar>
        </w:tblPrEx>
        <w:trPr>
          <w:trHeight w:val="389" w:hRule="atLeast"/>
          <w:jc w:val="center"/>
        </w:trPr>
        <w:tc>
          <w:tcPr>
            <w:tcW w:w="4023" w:type="dxa"/>
            <w:tcBorders>
              <w:top w:val="single" w:color="000000" w:sz="8" w:space="0"/>
              <w:left w:val="single" w:color="000000" w:sz="8" w:space="0"/>
              <w:bottom w:val="single" w:color="000000" w:sz="8" w:space="0"/>
            </w:tcBorders>
          </w:tcPr>
          <w:p>
            <w:pPr>
              <w:ind w:left="0" w:hanging="2"/>
              <w:jc w:val="both"/>
              <w:rPr>
                <w:rFonts w:ascii="Times New Roman" w:hAnsi="Times New Roman" w:eastAsia="Times New Roman" w:cs="Times New Roman"/>
              </w:rPr>
            </w:pPr>
            <w:r>
              <w:rPr>
                <w:rFonts w:ascii="Times New Roman" w:hAnsi="Times New Roman" w:eastAsia="Times New Roman" w:cs="Times New Roman"/>
              </w:rPr>
              <w:t xml:space="preserve">Email: </w:t>
            </w:r>
            <w:r>
              <w:fldChar w:fldCharType="begin"/>
            </w:r>
            <w:r>
              <w:instrText xml:space="preserve"> HYPERLINK "mailto:coordenadoriaestagio@prograd.ufop.br" \h </w:instrText>
            </w:r>
            <w:r>
              <w:fldChar w:fldCharType="separate"/>
            </w:r>
            <w:r>
              <w:rPr>
                <w:rFonts w:ascii="Times New Roman" w:hAnsi="Times New Roman" w:eastAsia="Times New Roman" w:cs="Times New Roman"/>
                <w:color w:val="0000FF"/>
                <w:u w:val="single"/>
              </w:rPr>
              <w:t>coordenadoriaestagio@prograd.ufop.br</w:t>
            </w:r>
            <w:r>
              <w:rPr>
                <w:rFonts w:ascii="Times New Roman" w:hAnsi="Times New Roman" w:eastAsia="Times New Roman" w:cs="Times New Roman"/>
                <w:color w:val="0000FF"/>
                <w:u w:val="single"/>
              </w:rPr>
              <w:fldChar w:fldCharType="end"/>
            </w:r>
          </w:p>
        </w:tc>
        <w:tc>
          <w:tcPr>
            <w:tcW w:w="3579" w:type="dxa"/>
            <w:tcBorders>
              <w:top w:val="single" w:color="000000" w:sz="8" w:space="0"/>
              <w:left w:val="single" w:color="000000" w:sz="8" w:space="0"/>
              <w:bottom w:val="single" w:color="000000" w:sz="8" w:space="0"/>
              <w:right w:val="single" w:color="000000" w:sz="8" w:space="0"/>
            </w:tcBorders>
          </w:tcPr>
          <w:p>
            <w:pPr>
              <w:ind w:left="0" w:hanging="2"/>
              <w:jc w:val="both"/>
              <w:rPr>
                <w:rFonts w:ascii="Times New Roman" w:hAnsi="Times New Roman" w:cs="Times New Roman"/>
              </w:rPr>
            </w:pPr>
            <w:r>
              <w:rPr>
                <w:rFonts w:ascii="Times New Roman" w:hAnsi="Times New Roman" w:eastAsia="Times New Roman" w:cs="Times New Roman"/>
              </w:rPr>
              <w:t>Telefone: (31) 3559-1322</w:t>
            </w:r>
          </w:p>
        </w:tc>
      </w:tr>
      <w:tr>
        <w:tblPrEx>
          <w:tblCellMar>
            <w:top w:w="100" w:type="dxa"/>
            <w:left w:w="100" w:type="dxa"/>
            <w:bottom w:w="100" w:type="dxa"/>
            <w:right w:w="100" w:type="dxa"/>
          </w:tblCellMar>
        </w:tblPrEx>
        <w:trPr>
          <w:trHeight w:val="389" w:hRule="atLeast"/>
          <w:jc w:val="center"/>
        </w:trPr>
        <w:tc>
          <w:tcPr>
            <w:tcW w:w="7602" w:type="dxa"/>
            <w:gridSpan w:val="2"/>
            <w:tcBorders>
              <w:top w:val="single" w:color="000000" w:sz="8" w:space="0"/>
              <w:left w:val="single" w:color="000000" w:sz="8" w:space="0"/>
              <w:bottom w:val="single" w:color="000000" w:sz="8" w:space="0"/>
              <w:right w:val="single" w:color="000000" w:sz="8" w:space="0"/>
            </w:tcBorders>
          </w:tcPr>
          <w:p>
            <w:pPr>
              <w:ind w:left="0" w:hanging="2"/>
              <w:jc w:val="both"/>
              <w:rPr>
                <w:rFonts w:ascii="Times New Roman" w:hAnsi="Times New Roman" w:cs="Times New Roman"/>
              </w:rPr>
            </w:pPr>
            <w:r>
              <w:rPr>
                <w:rFonts w:ascii="Times New Roman" w:hAnsi="Times New Roman" w:eastAsia="Times New Roman" w:cs="Times New Roman"/>
              </w:rPr>
              <w:t>Endereço: Rua Diogo de Vasconcelos 122</w:t>
            </w:r>
          </w:p>
        </w:tc>
      </w:tr>
      <w:tr>
        <w:tblPrEx>
          <w:tblCellMar>
            <w:top w:w="100" w:type="dxa"/>
            <w:left w:w="100" w:type="dxa"/>
            <w:bottom w:w="100" w:type="dxa"/>
            <w:right w:w="100" w:type="dxa"/>
          </w:tblCellMar>
        </w:tblPrEx>
        <w:trPr>
          <w:trHeight w:val="389" w:hRule="atLeast"/>
          <w:jc w:val="center"/>
        </w:trPr>
        <w:tc>
          <w:tcPr>
            <w:tcW w:w="4023" w:type="dxa"/>
            <w:tcBorders>
              <w:top w:val="single" w:color="000000" w:sz="8" w:space="0"/>
              <w:left w:val="single" w:color="000000" w:sz="8" w:space="0"/>
              <w:bottom w:val="single" w:color="000000" w:sz="8" w:space="0"/>
            </w:tcBorders>
          </w:tcPr>
          <w:p>
            <w:pPr>
              <w:ind w:left="0" w:hanging="2"/>
              <w:jc w:val="both"/>
              <w:rPr>
                <w:rFonts w:ascii="Times New Roman" w:hAnsi="Times New Roman" w:cs="Times New Roman"/>
              </w:rPr>
            </w:pPr>
            <w:r>
              <w:rPr>
                <w:rFonts w:ascii="Times New Roman" w:hAnsi="Times New Roman" w:eastAsia="Times New Roman" w:cs="Times New Roman"/>
              </w:rPr>
              <w:t>Bairro: Pilar</w:t>
            </w:r>
          </w:p>
        </w:tc>
        <w:tc>
          <w:tcPr>
            <w:tcW w:w="3579" w:type="dxa"/>
            <w:tcBorders>
              <w:top w:val="single" w:color="000000" w:sz="8" w:space="0"/>
              <w:left w:val="single" w:color="000000" w:sz="8" w:space="0"/>
              <w:bottom w:val="single" w:color="000000" w:sz="8" w:space="0"/>
              <w:right w:val="single" w:color="000000" w:sz="8" w:space="0"/>
            </w:tcBorders>
          </w:tcPr>
          <w:p>
            <w:pPr>
              <w:ind w:left="0" w:hanging="2"/>
              <w:jc w:val="both"/>
              <w:rPr>
                <w:rFonts w:ascii="Times New Roman" w:hAnsi="Times New Roman" w:cs="Times New Roman"/>
              </w:rPr>
            </w:pPr>
            <w:r>
              <w:rPr>
                <w:rFonts w:ascii="Times New Roman" w:hAnsi="Times New Roman" w:eastAsia="Times New Roman" w:cs="Times New Roman"/>
              </w:rPr>
              <w:t>CEP: 35400-000</w:t>
            </w:r>
          </w:p>
        </w:tc>
      </w:tr>
      <w:tr>
        <w:tblPrEx>
          <w:tblCellMar>
            <w:top w:w="100" w:type="dxa"/>
            <w:left w:w="100" w:type="dxa"/>
            <w:bottom w:w="100" w:type="dxa"/>
            <w:right w:w="100" w:type="dxa"/>
          </w:tblCellMar>
        </w:tblPrEx>
        <w:trPr>
          <w:trHeight w:val="389" w:hRule="atLeast"/>
          <w:jc w:val="center"/>
        </w:trPr>
        <w:tc>
          <w:tcPr>
            <w:tcW w:w="4023" w:type="dxa"/>
            <w:tcBorders>
              <w:top w:val="single" w:color="000000" w:sz="8" w:space="0"/>
              <w:left w:val="single" w:color="000000" w:sz="8" w:space="0"/>
              <w:bottom w:val="single" w:color="000000" w:sz="8" w:space="0"/>
            </w:tcBorders>
          </w:tcPr>
          <w:p>
            <w:pPr>
              <w:ind w:left="0" w:hanging="2"/>
              <w:jc w:val="both"/>
              <w:rPr>
                <w:rFonts w:ascii="Times New Roman" w:hAnsi="Times New Roman" w:cs="Times New Roman"/>
              </w:rPr>
            </w:pPr>
            <w:r>
              <w:rPr>
                <w:rFonts w:ascii="Times New Roman" w:hAnsi="Times New Roman" w:eastAsia="Times New Roman" w:cs="Times New Roman"/>
              </w:rPr>
              <w:t>Cidade: Ouro Preto</w:t>
            </w:r>
          </w:p>
        </w:tc>
        <w:tc>
          <w:tcPr>
            <w:tcW w:w="3579" w:type="dxa"/>
            <w:tcBorders>
              <w:top w:val="single" w:color="000000" w:sz="8" w:space="0"/>
              <w:left w:val="single" w:color="000000" w:sz="8" w:space="0"/>
              <w:bottom w:val="single" w:color="000000" w:sz="8" w:space="0"/>
              <w:right w:val="single" w:color="000000" w:sz="8" w:space="0"/>
            </w:tcBorders>
          </w:tcPr>
          <w:p>
            <w:pPr>
              <w:ind w:left="0" w:hanging="2"/>
              <w:jc w:val="both"/>
              <w:rPr>
                <w:rFonts w:ascii="Times New Roman" w:hAnsi="Times New Roman" w:cs="Times New Roman"/>
              </w:rPr>
            </w:pPr>
            <w:r>
              <w:rPr>
                <w:rFonts w:ascii="Times New Roman" w:hAnsi="Times New Roman" w:eastAsia="Times New Roman" w:cs="Times New Roman"/>
              </w:rPr>
              <w:t>Estado: MG</w:t>
            </w:r>
          </w:p>
        </w:tc>
      </w:tr>
      <w:tr>
        <w:tblPrEx>
          <w:tblCellMar>
            <w:top w:w="100" w:type="dxa"/>
            <w:left w:w="100" w:type="dxa"/>
            <w:bottom w:w="100" w:type="dxa"/>
            <w:right w:w="100" w:type="dxa"/>
          </w:tblCellMar>
        </w:tblPrEx>
        <w:trPr>
          <w:trHeight w:val="389" w:hRule="atLeast"/>
          <w:jc w:val="center"/>
        </w:trPr>
        <w:tc>
          <w:tcPr>
            <w:tcW w:w="7602" w:type="dxa"/>
            <w:gridSpan w:val="2"/>
            <w:tcBorders>
              <w:top w:val="single" w:color="000000" w:sz="8" w:space="0"/>
              <w:left w:val="single" w:color="000000" w:sz="8" w:space="0"/>
              <w:bottom w:val="single" w:color="000000" w:sz="8" w:space="0"/>
              <w:right w:val="single" w:color="000000" w:sz="8" w:space="0"/>
            </w:tcBorders>
          </w:tcPr>
          <w:p>
            <w:pPr>
              <w:ind w:left="0" w:hanging="2"/>
              <w:jc w:val="both"/>
              <w:rPr>
                <w:rFonts w:ascii="Times New Roman" w:hAnsi="Times New Roman" w:cs="Times New Roman"/>
              </w:rPr>
            </w:pPr>
            <w:r>
              <w:rPr>
                <w:rFonts w:ascii="Times New Roman" w:hAnsi="Times New Roman" w:eastAsia="Times New Roman" w:cs="Times New Roman"/>
              </w:rPr>
              <w:t>Professor Orientador de Estágio:</w:t>
            </w:r>
          </w:p>
        </w:tc>
      </w:tr>
    </w:tbl>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tbl>
      <w:tblPr>
        <w:tblStyle w:val="667"/>
        <w:tblW w:w="8000" w:type="dxa"/>
        <w:jc w:val="center"/>
        <w:tblLayout w:type="fixed"/>
        <w:tblCellMar>
          <w:top w:w="100" w:type="dxa"/>
          <w:left w:w="100" w:type="dxa"/>
          <w:bottom w:w="100" w:type="dxa"/>
          <w:right w:w="100" w:type="dxa"/>
        </w:tblCellMar>
      </w:tblPr>
      <w:tblGrid>
        <w:gridCol w:w="3980"/>
        <w:gridCol w:w="4020"/>
      </w:tblGrid>
      <w:tr>
        <w:tblPrEx>
          <w:tblCellMar>
            <w:top w:w="100" w:type="dxa"/>
            <w:left w:w="100" w:type="dxa"/>
            <w:bottom w:w="100" w:type="dxa"/>
            <w:right w:w="100" w:type="dxa"/>
          </w:tblCellMar>
        </w:tblPrEx>
        <w:trPr>
          <w:trHeight w:val="389" w:hRule="atLeast"/>
          <w:jc w:val="center"/>
        </w:trPr>
        <w:tc>
          <w:tcPr>
            <w:tcW w:w="8000" w:type="dxa"/>
            <w:gridSpan w:val="2"/>
            <w:tcBorders>
              <w:top w:val="single" w:color="000000" w:sz="8" w:space="0"/>
              <w:left w:val="single" w:color="000000" w:sz="8" w:space="0"/>
              <w:bottom w:val="single" w:color="000000" w:sz="8" w:space="0"/>
              <w:right w:val="single" w:color="000000" w:sz="8" w:space="0"/>
            </w:tcBorders>
            <w:shd w:val="clear" w:color="auto" w:fill="EEECE1"/>
          </w:tcPr>
          <w:p>
            <w:pPr>
              <w:ind w:left="0" w:hanging="2"/>
              <w:jc w:val="center"/>
              <w:rPr>
                <w:rFonts w:ascii="Times New Roman" w:hAnsi="Times New Roman" w:cs="Times New Roman"/>
              </w:rPr>
            </w:pPr>
            <w:r>
              <w:rPr>
                <w:rFonts w:ascii="Times New Roman" w:hAnsi="Times New Roman" w:eastAsia="Times New Roman" w:cs="Times New Roman"/>
              </w:rPr>
              <w:t>INSTITUIÇÃO DE ENSINO</w:t>
            </w:r>
          </w:p>
        </w:tc>
      </w:tr>
      <w:tr>
        <w:tblPrEx>
          <w:tblCellMar>
            <w:top w:w="100" w:type="dxa"/>
            <w:left w:w="100" w:type="dxa"/>
            <w:bottom w:w="100" w:type="dxa"/>
            <w:right w:w="100" w:type="dxa"/>
          </w:tblCellMar>
        </w:tblPrEx>
        <w:trPr>
          <w:trHeight w:val="389" w:hRule="atLeast"/>
          <w:jc w:val="center"/>
        </w:trPr>
        <w:tc>
          <w:tcPr>
            <w:tcW w:w="8000" w:type="dxa"/>
            <w:gridSpan w:val="2"/>
            <w:tcBorders>
              <w:top w:val="single" w:color="000000" w:sz="8" w:space="0"/>
              <w:left w:val="single" w:color="000000" w:sz="8" w:space="0"/>
              <w:bottom w:val="single" w:color="000000" w:sz="8" w:space="0"/>
              <w:right w:val="single" w:color="000000" w:sz="8" w:space="0"/>
            </w:tcBorders>
          </w:tcPr>
          <w:p>
            <w:pPr>
              <w:ind w:left="0" w:hanging="2"/>
              <w:jc w:val="both"/>
              <w:rPr>
                <w:rFonts w:ascii="Times New Roman" w:hAnsi="Times New Roman" w:cs="Times New Roman"/>
              </w:rPr>
            </w:pPr>
            <w:r>
              <w:rPr>
                <w:rFonts w:ascii="Times New Roman" w:hAnsi="Times New Roman" w:eastAsia="Times New Roman" w:cs="Times New Roman"/>
              </w:rPr>
              <w:t>Nome: Universidade Federal de Ouro Preto</w:t>
            </w:r>
          </w:p>
        </w:tc>
      </w:tr>
      <w:tr>
        <w:tblPrEx>
          <w:tblCellMar>
            <w:top w:w="100" w:type="dxa"/>
            <w:left w:w="100" w:type="dxa"/>
            <w:bottom w:w="100" w:type="dxa"/>
            <w:right w:w="100" w:type="dxa"/>
          </w:tblCellMar>
        </w:tblPrEx>
        <w:trPr>
          <w:trHeight w:val="623" w:hRule="atLeast"/>
          <w:jc w:val="center"/>
        </w:trPr>
        <w:tc>
          <w:tcPr>
            <w:tcW w:w="8000" w:type="dxa"/>
            <w:gridSpan w:val="2"/>
            <w:tcBorders>
              <w:top w:val="single" w:color="000000" w:sz="8" w:space="0"/>
              <w:left w:val="single" w:color="000000" w:sz="8" w:space="0"/>
              <w:bottom w:val="single" w:color="000000" w:sz="8" w:space="0"/>
              <w:right w:val="single" w:color="000000" w:sz="8" w:space="0"/>
            </w:tcBorders>
          </w:tcPr>
          <w:p>
            <w:pPr>
              <w:ind w:left="0" w:hanging="2"/>
              <w:jc w:val="both"/>
              <w:rPr>
                <w:rFonts w:ascii="Times New Roman" w:hAnsi="Times New Roman" w:cs="Times New Roman"/>
              </w:rPr>
            </w:pPr>
            <w:r>
              <w:rPr>
                <w:rFonts w:ascii="Times New Roman" w:hAnsi="Times New Roman" w:eastAsia="Times New Roman" w:cs="Times New Roman"/>
              </w:rPr>
              <w:t>Representante legal: Profa. Dra. Cláudia Aparecida Marliére de Lima</w:t>
            </w:r>
          </w:p>
        </w:tc>
      </w:tr>
      <w:tr>
        <w:tblPrEx>
          <w:tblCellMar>
            <w:top w:w="100" w:type="dxa"/>
            <w:left w:w="100" w:type="dxa"/>
            <w:bottom w:w="100" w:type="dxa"/>
            <w:right w:w="100" w:type="dxa"/>
          </w:tblCellMar>
        </w:tblPrEx>
        <w:trPr>
          <w:trHeight w:val="389" w:hRule="atLeast"/>
          <w:jc w:val="center"/>
        </w:trPr>
        <w:tc>
          <w:tcPr>
            <w:tcW w:w="3980" w:type="dxa"/>
            <w:tcBorders>
              <w:top w:val="single" w:color="000000" w:sz="8" w:space="0"/>
              <w:left w:val="single" w:color="000000" w:sz="8" w:space="0"/>
              <w:bottom w:val="single" w:color="000000" w:sz="8" w:space="0"/>
            </w:tcBorders>
          </w:tcPr>
          <w:p>
            <w:pPr>
              <w:ind w:left="0" w:hanging="2"/>
              <w:jc w:val="both"/>
              <w:rPr>
                <w:rFonts w:ascii="Times New Roman" w:hAnsi="Times New Roman" w:eastAsia="Times New Roman" w:cs="Times New Roman"/>
              </w:rPr>
            </w:pPr>
            <w:r>
              <w:rPr>
                <w:rFonts w:ascii="Times New Roman" w:hAnsi="Times New Roman" w:eastAsia="Times New Roman" w:cs="Times New Roman"/>
              </w:rPr>
              <w:t xml:space="preserve">Email: </w:t>
            </w:r>
            <w:r>
              <w:fldChar w:fldCharType="begin"/>
            </w:r>
            <w:r>
              <w:instrText xml:space="preserve"> HYPERLINK "mailto:coordenadoriaestagio@prograd.ufop.br" \h </w:instrText>
            </w:r>
            <w:r>
              <w:fldChar w:fldCharType="separate"/>
            </w:r>
            <w:r>
              <w:rPr>
                <w:rFonts w:ascii="Times New Roman" w:hAnsi="Times New Roman" w:eastAsia="Times New Roman" w:cs="Times New Roman"/>
                <w:color w:val="0000FF"/>
                <w:u w:val="single"/>
              </w:rPr>
              <w:t>coordenadoriaestagio@prograd.ufop.br</w:t>
            </w:r>
            <w:r>
              <w:rPr>
                <w:rFonts w:ascii="Times New Roman" w:hAnsi="Times New Roman" w:eastAsia="Times New Roman" w:cs="Times New Roman"/>
                <w:color w:val="0000FF"/>
                <w:u w:val="single"/>
              </w:rPr>
              <w:fldChar w:fldCharType="end"/>
            </w:r>
          </w:p>
        </w:tc>
        <w:tc>
          <w:tcPr>
            <w:tcW w:w="4020" w:type="dxa"/>
            <w:tcBorders>
              <w:top w:val="single" w:color="000000" w:sz="8" w:space="0"/>
              <w:left w:val="single" w:color="000000" w:sz="8" w:space="0"/>
              <w:bottom w:val="single" w:color="000000" w:sz="8" w:space="0"/>
              <w:right w:val="single" w:color="000000" w:sz="8" w:space="0"/>
            </w:tcBorders>
          </w:tcPr>
          <w:p>
            <w:pPr>
              <w:ind w:left="0" w:hanging="2"/>
              <w:jc w:val="both"/>
              <w:rPr>
                <w:rFonts w:ascii="Times New Roman" w:hAnsi="Times New Roman" w:eastAsia="Times New Roman" w:cs="Times New Roman"/>
              </w:rPr>
            </w:pPr>
            <w:r>
              <w:rPr>
                <w:rFonts w:ascii="Times New Roman" w:hAnsi="Times New Roman" w:eastAsia="Times New Roman" w:cs="Times New Roman"/>
              </w:rPr>
              <w:t xml:space="preserve">Email: </w:t>
            </w:r>
            <w:r>
              <w:fldChar w:fldCharType="begin"/>
            </w:r>
            <w:r>
              <w:instrText xml:space="preserve"> HYPERLINK "mailto:coordenadoriaestagio@prograd.ufop.br" \h </w:instrText>
            </w:r>
            <w:r>
              <w:fldChar w:fldCharType="separate"/>
            </w:r>
            <w:r>
              <w:rPr>
                <w:rFonts w:ascii="Times New Roman" w:hAnsi="Times New Roman" w:eastAsia="Times New Roman" w:cs="Times New Roman"/>
                <w:color w:val="0000FF"/>
                <w:u w:val="single"/>
              </w:rPr>
              <w:t>coordenadoriaestagio@prograd.ufop.br</w:t>
            </w:r>
            <w:r>
              <w:rPr>
                <w:rFonts w:ascii="Times New Roman" w:hAnsi="Times New Roman" w:eastAsia="Times New Roman" w:cs="Times New Roman"/>
                <w:color w:val="0000FF"/>
                <w:u w:val="single"/>
              </w:rPr>
              <w:fldChar w:fldCharType="end"/>
            </w:r>
          </w:p>
        </w:tc>
      </w:tr>
      <w:tr>
        <w:tblPrEx>
          <w:tblCellMar>
            <w:top w:w="100" w:type="dxa"/>
            <w:left w:w="100" w:type="dxa"/>
            <w:bottom w:w="100" w:type="dxa"/>
            <w:right w:w="100" w:type="dxa"/>
          </w:tblCellMar>
        </w:tblPrEx>
        <w:trPr>
          <w:trHeight w:val="389" w:hRule="atLeast"/>
          <w:jc w:val="center"/>
        </w:trPr>
        <w:tc>
          <w:tcPr>
            <w:tcW w:w="3980" w:type="dxa"/>
            <w:tcBorders>
              <w:top w:val="single" w:color="000000" w:sz="8" w:space="0"/>
              <w:left w:val="single" w:color="000000" w:sz="8" w:space="0"/>
              <w:bottom w:val="single" w:color="000000" w:sz="8" w:space="0"/>
            </w:tcBorders>
          </w:tcPr>
          <w:p>
            <w:pPr>
              <w:ind w:left="0" w:hanging="2"/>
              <w:jc w:val="both"/>
              <w:rPr>
                <w:rFonts w:ascii="Times New Roman" w:hAnsi="Times New Roman" w:cs="Times New Roman"/>
              </w:rPr>
            </w:pPr>
            <w:r>
              <w:rPr>
                <w:rFonts w:ascii="Times New Roman" w:hAnsi="Times New Roman" w:eastAsia="Times New Roman" w:cs="Times New Roman"/>
              </w:rPr>
              <w:t>Endereço: Rua Diogo de Vasconcelos 122</w:t>
            </w:r>
          </w:p>
        </w:tc>
        <w:tc>
          <w:tcPr>
            <w:tcW w:w="4020" w:type="dxa"/>
            <w:tcBorders>
              <w:top w:val="single" w:color="000000" w:sz="8" w:space="0"/>
              <w:left w:val="single" w:color="000000" w:sz="8" w:space="0"/>
              <w:bottom w:val="single" w:color="000000" w:sz="8" w:space="0"/>
              <w:right w:val="single" w:color="000000" w:sz="8" w:space="0"/>
            </w:tcBorders>
          </w:tcPr>
          <w:p>
            <w:pPr>
              <w:ind w:left="0" w:hanging="2"/>
              <w:jc w:val="both"/>
              <w:rPr>
                <w:rFonts w:ascii="Times New Roman" w:hAnsi="Times New Roman" w:cs="Times New Roman"/>
              </w:rPr>
            </w:pPr>
            <w:r>
              <w:rPr>
                <w:rFonts w:ascii="Times New Roman" w:hAnsi="Times New Roman" w:eastAsia="Times New Roman" w:cs="Times New Roman"/>
              </w:rPr>
              <w:t>Endereço: Rua Diogo de Vasconcelos 122</w:t>
            </w:r>
          </w:p>
        </w:tc>
      </w:tr>
      <w:tr>
        <w:tblPrEx>
          <w:tblCellMar>
            <w:top w:w="100" w:type="dxa"/>
            <w:left w:w="100" w:type="dxa"/>
            <w:bottom w:w="100" w:type="dxa"/>
            <w:right w:w="100" w:type="dxa"/>
          </w:tblCellMar>
        </w:tblPrEx>
        <w:trPr>
          <w:trHeight w:val="389" w:hRule="atLeast"/>
          <w:jc w:val="center"/>
        </w:trPr>
        <w:tc>
          <w:tcPr>
            <w:tcW w:w="8000" w:type="dxa"/>
            <w:gridSpan w:val="2"/>
            <w:tcBorders>
              <w:top w:val="single" w:color="000000" w:sz="8" w:space="0"/>
              <w:left w:val="single" w:color="000000" w:sz="8" w:space="0"/>
              <w:bottom w:val="single" w:color="000000" w:sz="8" w:space="0"/>
              <w:right w:val="single" w:color="000000" w:sz="8" w:space="0"/>
            </w:tcBorders>
          </w:tcPr>
          <w:p>
            <w:pPr>
              <w:ind w:left="0" w:hanging="2"/>
              <w:jc w:val="both"/>
              <w:rPr>
                <w:rFonts w:ascii="Times New Roman" w:hAnsi="Times New Roman" w:cs="Times New Roman"/>
              </w:rPr>
            </w:pPr>
            <w:r>
              <w:rPr>
                <w:rFonts w:ascii="Times New Roman" w:hAnsi="Times New Roman" w:eastAsia="Times New Roman" w:cs="Times New Roman"/>
              </w:rPr>
              <w:t>Bairro: Pilar</w:t>
            </w:r>
          </w:p>
        </w:tc>
      </w:tr>
      <w:tr>
        <w:tblPrEx>
          <w:tblCellMar>
            <w:top w:w="100" w:type="dxa"/>
            <w:left w:w="100" w:type="dxa"/>
            <w:bottom w:w="100" w:type="dxa"/>
            <w:right w:w="100" w:type="dxa"/>
          </w:tblCellMar>
        </w:tblPrEx>
        <w:trPr>
          <w:trHeight w:val="389" w:hRule="atLeast"/>
          <w:jc w:val="center"/>
        </w:trPr>
        <w:tc>
          <w:tcPr>
            <w:tcW w:w="3980" w:type="dxa"/>
            <w:tcBorders>
              <w:top w:val="single" w:color="000000" w:sz="8" w:space="0"/>
              <w:left w:val="single" w:color="000000" w:sz="8" w:space="0"/>
              <w:bottom w:val="single" w:color="000000" w:sz="8" w:space="0"/>
            </w:tcBorders>
          </w:tcPr>
          <w:p>
            <w:pPr>
              <w:ind w:left="0" w:hanging="2"/>
              <w:jc w:val="both"/>
              <w:rPr>
                <w:rFonts w:ascii="Times New Roman" w:hAnsi="Times New Roman" w:cs="Times New Roman"/>
              </w:rPr>
            </w:pPr>
            <w:r>
              <w:rPr>
                <w:rFonts w:ascii="Times New Roman" w:hAnsi="Times New Roman" w:eastAsia="Times New Roman" w:cs="Times New Roman"/>
              </w:rPr>
              <w:t>Cidade: Ouro Preto</w:t>
            </w:r>
          </w:p>
        </w:tc>
        <w:tc>
          <w:tcPr>
            <w:tcW w:w="4020" w:type="dxa"/>
            <w:tcBorders>
              <w:top w:val="single" w:color="000000" w:sz="8" w:space="0"/>
              <w:left w:val="single" w:color="000000" w:sz="8" w:space="0"/>
              <w:bottom w:val="single" w:color="000000" w:sz="8" w:space="0"/>
              <w:right w:val="single" w:color="000000" w:sz="8" w:space="0"/>
            </w:tcBorders>
          </w:tcPr>
          <w:p>
            <w:pPr>
              <w:ind w:left="0" w:hanging="2"/>
              <w:jc w:val="both"/>
              <w:rPr>
                <w:rFonts w:ascii="Times New Roman" w:hAnsi="Times New Roman" w:cs="Times New Roman"/>
              </w:rPr>
            </w:pPr>
            <w:r>
              <w:rPr>
                <w:rFonts w:ascii="Times New Roman" w:hAnsi="Times New Roman" w:eastAsia="Times New Roman" w:cs="Times New Roman"/>
              </w:rPr>
              <w:t>Cidade: Ouro Preto</w:t>
            </w:r>
          </w:p>
        </w:tc>
      </w:tr>
      <w:tr>
        <w:tblPrEx>
          <w:tblCellMar>
            <w:top w:w="100" w:type="dxa"/>
            <w:left w:w="100" w:type="dxa"/>
            <w:bottom w:w="100" w:type="dxa"/>
            <w:right w:w="100" w:type="dxa"/>
          </w:tblCellMar>
        </w:tblPrEx>
        <w:trPr>
          <w:trHeight w:val="389" w:hRule="atLeast"/>
          <w:jc w:val="center"/>
        </w:trPr>
        <w:tc>
          <w:tcPr>
            <w:tcW w:w="3980" w:type="dxa"/>
            <w:tcBorders>
              <w:top w:val="single" w:color="000000" w:sz="8" w:space="0"/>
              <w:left w:val="single" w:color="000000" w:sz="8" w:space="0"/>
              <w:bottom w:val="single" w:color="000000" w:sz="8" w:space="0"/>
            </w:tcBorders>
          </w:tcPr>
          <w:p>
            <w:pPr>
              <w:ind w:left="0" w:hanging="2"/>
              <w:jc w:val="both"/>
              <w:rPr>
                <w:rFonts w:ascii="Times New Roman" w:hAnsi="Times New Roman" w:cs="Times New Roman"/>
              </w:rPr>
            </w:pPr>
            <w:r>
              <w:rPr>
                <w:rFonts w:ascii="Times New Roman" w:hAnsi="Times New Roman" w:eastAsia="Times New Roman" w:cs="Times New Roman"/>
              </w:rPr>
              <w:t>Professor Orientador de Estágio:</w:t>
            </w:r>
          </w:p>
        </w:tc>
        <w:tc>
          <w:tcPr>
            <w:tcW w:w="4020" w:type="dxa"/>
            <w:tcBorders>
              <w:top w:val="single" w:color="000000" w:sz="8" w:space="0"/>
              <w:left w:val="single" w:color="000000" w:sz="8" w:space="0"/>
              <w:bottom w:val="single" w:color="000000" w:sz="8" w:space="0"/>
              <w:right w:val="single" w:color="000000" w:sz="8" w:space="0"/>
            </w:tcBorders>
          </w:tcPr>
          <w:p>
            <w:pPr>
              <w:ind w:left="0" w:hanging="2"/>
              <w:jc w:val="both"/>
              <w:rPr>
                <w:rFonts w:ascii="Times New Roman" w:hAnsi="Times New Roman" w:cs="Times New Roman"/>
              </w:rPr>
            </w:pPr>
            <w:r>
              <w:rPr>
                <w:rFonts w:ascii="Times New Roman" w:hAnsi="Times New Roman" w:eastAsia="Times New Roman" w:cs="Times New Roman"/>
              </w:rPr>
              <w:t>Professor Orientador de Estágio:</w:t>
            </w:r>
          </w:p>
        </w:tc>
      </w:tr>
    </w:tbl>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tbl>
      <w:tblPr>
        <w:tblStyle w:val="668"/>
        <w:tblW w:w="8000" w:type="dxa"/>
        <w:jc w:val="center"/>
        <w:tblLayout w:type="fixed"/>
        <w:tblCellMar>
          <w:top w:w="100" w:type="dxa"/>
          <w:left w:w="100" w:type="dxa"/>
          <w:bottom w:w="100" w:type="dxa"/>
          <w:right w:w="100" w:type="dxa"/>
        </w:tblCellMar>
      </w:tblPr>
      <w:tblGrid>
        <w:gridCol w:w="3980"/>
        <w:gridCol w:w="4020"/>
      </w:tblGrid>
      <w:tr>
        <w:tblPrEx>
          <w:tblCellMar>
            <w:top w:w="100" w:type="dxa"/>
            <w:left w:w="100" w:type="dxa"/>
            <w:bottom w:w="100" w:type="dxa"/>
            <w:right w:w="100" w:type="dxa"/>
          </w:tblCellMar>
        </w:tblPrEx>
        <w:trPr>
          <w:trHeight w:val="389" w:hRule="atLeast"/>
          <w:jc w:val="center"/>
        </w:trPr>
        <w:tc>
          <w:tcPr>
            <w:tcW w:w="8000" w:type="dxa"/>
            <w:gridSpan w:val="2"/>
            <w:tcBorders>
              <w:top w:val="single" w:color="000000" w:sz="8" w:space="0"/>
              <w:left w:val="single" w:color="000000" w:sz="8" w:space="0"/>
              <w:bottom w:val="single" w:color="000000" w:sz="8" w:space="0"/>
              <w:right w:val="single" w:color="000000" w:sz="8" w:space="0"/>
            </w:tcBorders>
            <w:shd w:val="clear" w:color="auto" w:fill="EEECE1"/>
          </w:tcPr>
          <w:p>
            <w:pPr>
              <w:ind w:left="0" w:hanging="2"/>
              <w:jc w:val="center"/>
              <w:rPr>
                <w:rFonts w:ascii="Times New Roman" w:hAnsi="Times New Roman" w:cs="Times New Roman"/>
              </w:rPr>
            </w:pPr>
            <w:r>
              <w:rPr>
                <w:rFonts w:ascii="Times New Roman" w:hAnsi="Times New Roman" w:eastAsia="Times New Roman" w:cs="Times New Roman"/>
              </w:rPr>
              <w:t>INSTITUIÇÃO DE ENSINO</w:t>
            </w:r>
          </w:p>
        </w:tc>
      </w:tr>
      <w:tr>
        <w:tblPrEx>
          <w:tblCellMar>
            <w:top w:w="100" w:type="dxa"/>
            <w:left w:w="100" w:type="dxa"/>
            <w:bottom w:w="100" w:type="dxa"/>
            <w:right w:w="100" w:type="dxa"/>
          </w:tblCellMar>
        </w:tblPrEx>
        <w:trPr>
          <w:trHeight w:val="389" w:hRule="atLeast"/>
          <w:jc w:val="center"/>
        </w:trPr>
        <w:tc>
          <w:tcPr>
            <w:tcW w:w="3980" w:type="dxa"/>
            <w:tcBorders>
              <w:top w:val="single" w:color="000000" w:sz="8" w:space="0"/>
              <w:left w:val="single" w:color="000000" w:sz="8" w:space="0"/>
              <w:bottom w:val="single" w:color="000000" w:sz="8" w:space="0"/>
            </w:tcBorders>
          </w:tcPr>
          <w:p>
            <w:pPr>
              <w:ind w:left="0" w:hanging="2"/>
              <w:jc w:val="both"/>
              <w:rPr>
                <w:rFonts w:ascii="Times New Roman" w:hAnsi="Times New Roman" w:cs="Times New Roman"/>
              </w:rPr>
            </w:pPr>
            <w:r>
              <w:rPr>
                <w:rFonts w:ascii="Times New Roman" w:hAnsi="Times New Roman" w:eastAsia="Times New Roman" w:cs="Times New Roman"/>
              </w:rPr>
              <w:t>Nome: Universidade Federal de Ouro Preto</w:t>
            </w:r>
          </w:p>
        </w:tc>
        <w:tc>
          <w:tcPr>
            <w:tcW w:w="4020" w:type="dxa"/>
            <w:tcBorders>
              <w:top w:val="single" w:color="000000" w:sz="8" w:space="0"/>
              <w:left w:val="single" w:color="000000" w:sz="8" w:space="0"/>
              <w:bottom w:val="single" w:color="000000" w:sz="8" w:space="0"/>
              <w:right w:val="single" w:color="000000" w:sz="8" w:space="0"/>
            </w:tcBorders>
          </w:tcPr>
          <w:p>
            <w:pPr>
              <w:ind w:left="0" w:hanging="2"/>
              <w:jc w:val="both"/>
              <w:rPr>
                <w:rFonts w:ascii="Times New Roman" w:hAnsi="Times New Roman" w:cs="Times New Roman"/>
              </w:rPr>
            </w:pPr>
            <w:r>
              <w:rPr>
                <w:rFonts w:ascii="Times New Roman" w:hAnsi="Times New Roman" w:eastAsia="Times New Roman" w:cs="Times New Roman"/>
              </w:rPr>
              <w:t>Nome: Universidade Federal de Ouro Preto</w:t>
            </w:r>
          </w:p>
        </w:tc>
      </w:tr>
      <w:tr>
        <w:tblPrEx>
          <w:tblCellMar>
            <w:top w:w="100" w:type="dxa"/>
            <w:left w:w="100" w:type="dxa"/>
            <w:bottom w:w="100" w:type="dxa"/>
            <w:right w:w="100" w:type="dxa"/>
          </w:tblCellMar>
        </w:tblPrEx>
        <w:trPr>
          <w:trHeight w:val="623" w:hRule="atLeast"/>
          <w:jc w:val="center"/>
        </w:trPr>
        <w:tc>
          <w:tcPr>
            <w:tcW w:w="3980" w:type="dxa"/>
            <w:tcBorders>
              <w:top w:val="single" w:color="000000" w:sz="8" w:space="0"/>
              <w:left w:val="single" w:color="000000" w:sz="8" w:space="0"/>
              <w:bottom w:val="single" w:color="000000" w:sz="8" w:space="0"/>
            </w:tcBorders>
          </w:tcPr>
          <w:p>
            <w:pPr>
              <w:ind w:left="0" w:hanging="2"/>
              <w:jc w:val="both"/>
              <w:rPr>
                <w:rFonts w:ascii="Times New Roman" w:hAnsi="Times New Roman" w:cs="Times New Roman"/>
              </w:rPr>
            </w:pPr>
            <w:r>
              <w:rPr>
                <w:rFonts w:ascii="Times New Roman" w:hAnsi="Times New Roman" w:eastAsia="Times New Roman" w:cs="Times New Roman"/>
              </w:rPr>
              <w:t>Representante legal: Profa. Dra. Cláudia Aparecida Marliére de Lima</w:t>
            </w:r>
          </w:p>
        </w:tc>
        <w:tc>
          <w:tcPr>
            <w:tcW w:w="4020" w:type="dxa"/>
            <w:tcBorders>
              <w:top w:val="single" w:color="000000" w:sz="8" w:space="0"/>
              <w:left w:val="single" w:color="000000" w:sz="8" w:space="0"/>
              <w:bottom w:val="single" w:color="000000" w:sz="8" w:space="0"/>
              <w:right w:val="single" w:color="000000" w:sz="8" w:space="0"/>
            </w:tcBorders>
          </w:tcPr>
          <w:p>
            <w:pPr>
              <w:ind w:left="0" w:hanging="2"/>
              <w:jc w:val="both"/>
              <w:rPr>
                <w:rFonts w:ascii="Times New Roman" w:hAnsi="Times New Roman" w:cs="Times New Roman"/>
              </w:rPr>
            </w:pPr>
            <w:r>
              <w:rPr>
                <w:rFonts w:ascii="Times New Roman" w:hAnsi="Times New Roman" w:eastAsia="Times New Roman" w:cs="Times New Roman"/>
              </w:rPr>
              <w:t>Representante legal: Profa. Dra. Cláudia Aparecida Marliére de Lima</w:t>
            </w:r>
          </w:p>
        </w:tc>
      </w:tr>
      <w:tr>
        <w:tblPrEx>
          <w:tblCellMar>
            <w:top w:w="100" w:type="dxa"/>
            <w:left w:w="100" w:type="dxa"/>
            <w:bottom w:w="100" w:type="dxa"/>
            <w:right w:w="100" w:type="dxa"/>
          </w:tblCellMar>
        </w:tblPrEx>
        <w:trPr>
          <w:trHeight w:val="389" w:hRule="atLeast"/>
          <w:jc w:val="center"/>
        </w:trPr>
        <w:tc>
          <w:tcPr>
            <w:tcW w:w="3980" w:type="dxa"/>
            <w:tcBorders>
              <w:top w:val="single" w:color="000000" w:sz="8" w:space="0"/>
              <w:left w:val="single" w:color="000000" w:sz="8" w:space="0"/>
              <w:bottom w:val="single" w:color="000000" w:sz="8" w:space="0"/>
            </w:tcBorders>
          </w:tcPr>
          <w:p>
            <w:pPr>
              <w:ind w:left="0" w:hanging="2"/>
              <w:jc w:val="both"/>
              <w:rPr>
                <w:rFonts w:ascii="Times New Roman" w:hAnsi="Times New Roman" w:eastAsia="Times New Roman" w:cs="Times New Roman"/>
              </w:rPr>
            </w:pPr>
            <w:r>
              <w:rPr>
                <w:rFonts w:ascii="Times New Roman" w:hAnsi="Times New Roman" w:eastAsia="Times New Roman" w:cs="Times New Roman"/>
              </w:rPr>
              <w:t xml:space="preserve">Email: </w:t>
            </w:r>
            <w:r>
              <w:fldChar w:fldCharType="begin"/>
            </w:r>
            <w:r>
              <w:instrText xml:space="preserve"> HYPERLINK "mailto:coordenadoriaestagio@prograd.ufop.br" \h </w:instrText>
            </w:r>
            <w:r>
              <w:fldChar w:fldCharType="separate"/>
            </w:r>
            <w:r>
              <w:rPr>
                <w:rFonts w:ascii="Times New Roman" w:hAnsi="Times New Roman" w:eastAsia="Times New Roman" w:cs="Times New Roman"/>
                <w:color w:val="0000FF"/>
                <w:u w:val="single"/>
              </w:rPr>
              <w:t>coordenadoriaestagio@prograd.ufop.br</w:t>
            </w:r>
            <w:r>
              <w:rPr>
                <w:rFonts w:ascii="Times New Roman" w:hAnsi="Times New Roman" w:eastAsia="Times New Roman" w:cs="Times New Roman"/>
                <w:color w:val="0000FF"/>
                <w:u w:val="single"/>
              </w:rPr>
              <w:fldChar w:fldCharType="end"/>
            </w:r>
          </w:p>
        </w:tc>
        <w:tc>
          <w:tcPr>
            <w:tcW w:w="4020" w:type="dxa"/>
            <w:tcBorders>
              <w:top w:val="single" w:color="000000" w:sz="8" w:space="0"/>
              <w:left w:val="single" w:color="000000" w:sz="8" w:space="0"/>
              <w:bottom w:val="single" w:color="000000" w:sz="8" w:space="0"/>
              <w:right w:val="single" w:color="000000" w:sz="8" w:space="0"/>
            </w:tcBorders>
          </w:tcPr>
          <w:p>
            <w:pPr>
              <w:ind w:left="0" w:hanging="2"/>
              <w:jc w:val="both"/>
              <w:rPr>
                <w:rFonts w:ascii="Times New Roman" w:hAnsi="Times New Roman" w:eastAsia="Times New Roman" w:cs="Times New Roman"/>
              </w:rPr>
            </w:pPr>
            <w:r>
              <w:rPr>
                <w:rFonts w:ascii="Times New Roman" w:hAnsi="Times New Roman" w:eastAsia="Times New Roman" w:cs="Times New Roman"/>
              </w:rPr>
              <w:t xml:space="preserve">Email: </w:t>
            </w:r>
            <w:r>
              <w:fldChar w:fldCharType="begin"/>
            </w:r>
            <w:r>
              <w:instrText xml:space="preserve"> HYPERLINK "mailto:coordenadoriaestagio@prograd.ufop.br" \h </w:instrText>
            </w:r>
            <w:r>
              <w:fldChar w:fldCharType="separate"/>
            </w:r>
            <w:r>
              <w:rPr>
                <w:rFonts w:ascii="Times New Roman" w:hAnsi="Times New Roman" w:eastAsia="Times New Roman" w:cs="Times New Roman"/>
                <w:color w:val="0000FF"/>
                <w:u w:val="single"/>
              </w:rPr>
              <w:t>coordenadoriaestagio@prograd.ufop.br</w:t>
            </w:r>
            <w:r>
              <w:rPr>
                <w:rFonts w:ascii="Times New Roman" w:hAnsi="Times New Roman" w:eastAsia="Times New Roman" w:cs="Times New Roman"/>
                <w:color w:val="0000FF"/>
                <w:u w:val="single"/>
              </w:rPr>
              <w:fldChar w:fldCharType="end"/>
            </w:r>
          </w:p>
        </w:tc>
      </w:tr>
      <w:tr>
        <w:tblPrEx>
          <w:tblCellMar>
            <w:top w:w="100" w:type="dxa"/>
            <w:left w:w="100" w:type="dxa"/>
            <w:bottom w:w="100" w:type="dxa"/>
            <w:right w:w="100" w:type="dxa"/>
          </w:tblCellMar>
        </w:tblPrEx>
        <w:trPr>
          <w:trHeight w:val="389" w:hRule="atLeast"/>
          <w:jc w:val="center"/>
        </w:trPr>
        <w:tc>
          <w:tcPr>
            <w:tcW w:w="8000" w:type="dxa"/>
            <w:gridSpan w:val="2"/>
            <w:tcBorders>
              <w:top w:val="single" w:color="000000" w:sz="8" w:space="0"/>
              <w:left w:val="single" w:color="000000" w:sz="8" w:space="0"/>
              <w:bottom w:val="single" w:color="000000" w:sz="8" w:space="0"/>
              <w:right w:val="single" w:color="000000" w:sz="8" w:space="0"/>
            </w:tcBorders>
          </w:tcPr>
          <w:p>
            <w:pPr>
              <w:ind w:left="0" w:hanging="2"/>
              <w:jc w:val="both"/>
              <w:rPr>
                <w:rFonts w:ascii="Times New Roman" w:hAnsi="Times New Roman" w:cs="Times New Roman"/>
              </w:rPr>
            </w:pPr>
            <w:r>
              <w:rPr>
                <w:rFonts w:ascii="Times New Roman" w:hAnsi="Times New Roman" w:eastAsia="Times New Roman" w:cs="Times New Roman"/>
              </w:rPr>
              <w:t>Endereço: Rua Diogo de Vasconcelos 122</w:t>
            </w:r>
          </w:p>
        </w:tc>
      </w:tr>
      <w:tr>
        <w:tblPrEx>
          <w:tblCellMar>
            <w:top w:w="100" w:type="dxa"/>
            <w:left w:w="100" w:type="dxa"/>
            <w:bottom w:w="100" w:type="dxa"/>
            <w:right w:w="100" w:type="dxa"/>
          </w:tblCellMar>
        </w:tblPrEx>
        <w:trPr>
          <w:trHeight w:val="389" w:hRule="atLeast"/>
          <w:jc w:val="center"/>
        </w:trPr>
        <w:tc>
          <w:tcPr>
            <w:tcW w:w="3980" w:type="dxa"/>
            <w:tcBorders>
              <w:top w:val="single" w:color="000000" w:sz="8" w:space="0"/>
              <w:left w:val="single" w:color="000000" w:sz="8" w:space="0"/>
              <w:bottom w:val="single" w:color="000000" w:sz="8" w:space="0"/>
            </w:tcBorders>
          </w:tcPr>
          <w:p>
            <w:pPr>
              <w:ind w:left="0" w:hanging="2"/>
              <w:jc w:val="both"/>
              <w:rPr>
                <w:rFonts w:ascii="Times New Roman" w:hAnsi="Times New Roman" w:cs="Times New Roman"/>
              </w:rPr>
            </w:pPr>
            <w:r>
              <w:rPr>
                <w:rFonts w:ascii="Times New Roman" w:hAnsi="Times New Roman" w:eastAsia="Times New Roman" w:cs="Times New Roman"/>
              </w:rPr>
              <w:t>Bairro: Pilar</w:t>
            </w:r>
          </w:p>
        </w:tc>
        <w:tc>
          <w:tcPr>
            <w:tcW w:w="4020" w:type="dxa"/>
            <w:tcBorders>
              <w:top w:val="single" w:color="000000" w:sz="8" w:space="0"/>
              <w:left w:val="single" w:color="000000" w:sz="8" w:space="0"/>
              <w:bottom w:val="single" w:color="000000" w:sz="8" w:space="0"/>
              <w:right w:val="single" w:color="000000" w:sz="8" w:space="0"/>
            </w:tcBorders>
          </w:tcPr>
          <w:p>
            <w:pPr>
              <w:ind w:left="0" w:hanging="2"/>
              <w:jc w:val="both"/>
              <w:rPr>
                <w:rFonts w:ascii="Times New Roman" w:hAnsi="Times New Roman" w:cs="Times New Roman"/>
              </w:rPr>
            </w:pPr>
            <w:r>
              <w:rPr>
                <w:rFonts w:ascii="Times New Roman" w:hAnsi="Times New Roman" w:eastAsia="Times New Roman" w:cs="Times New Roman"/>
              </w:rPr>
              <w:t>Bairro: Pilar</w:t>
            </w:r>
          </w:p>
        </w:tc>
      </w:tr>
      <w:tr>
        <w:tblPrEx>
          <w:tblCellMar>
            <w:top w:w="100" w:type="dxa"/>
            <w:left w:w="100" w:type="dxa"/>
            <w:bottom w:w="100" w:type="dxa"/>
            <w:right w:w="100" w:type="dxa"/>
          </w:tblCellMar>
        </w:tblPrEx>
        <w:trPr>
          <w:trHeight w:val="389" w:hRule="atLeast"/>
          <w:jc w:val="center"/>
        </w:trPr>
        <w:tc>
          <w:tcPr>
            <w:tcW w:w="3980" w:type="dxa"/>
            <w:tcBorders>
              <w:top w:val="single" w:color="000000" w:sz="8" w:space="0"/>
              <w:left w:val="single" w:color="000000" w:sz="8" w:space="0"/>
              <w:bottom w:val="single" w:color="000000" w:sz="8" w:space="0"/>
            </w:tcBorders>
          </w:tcPr>
          <w:p>
            <w:pPr>
              <w:ind w:left="0" w:hanging="2"/>
              <w:jc w:val="both"/>
              <w:rPr>
                <w:rFonts w:ascii="Times New Roman" w:hAnsi="Times New Roman" w:cs="Times New Roman"/>
              </w:rPr>
            </w:pPr>
            <w:r>
              <w:rPr>
                <w:rFonts w:ascii="Times New Roman" w:hAnsi="Times New Roman" w:eastAsia="Times New Roman" w:cs="Times New Roman"/>
              </w:rPr>
              <w:t>Cidade: Ouro Preto</w:t>
            </w:r>
          </w:p>
        </w:tc>
        <w:tc>
          <w:tcPr>
            <w:tcW w:w="4020" w:type="dxa"/>
            <w:tcBorders>
              <w:top w:val="single" w:color="000000" w:sz="8" w:space="0"/>
              <w:left w:val="single" w:color="000000" w:sz="8" w:space="0"/>
              <w:bottom w:val="single" w:color="000000" w:sz="8" w:space="0"/>
              <w:right w:val="single" w:color="000000" w:sz="8" w:space="0"/>
            </w:tcBorders>
          </w:tcPr>
          <w:p>
            <w:pPr>
              <w:ind w:left="0" w:hanging="2"/>
              <w:jc w:val="both"/>
              <w:rPr>
                <w:rFonts w:ascii="Times New Roman" w:hAnsi="Times New Roman" w:cs="Times New Roman"/>
              </w:rPr>
            </w:pPr>
            <w:r>
              <w:rPr>
                <w:rFonts w:ascii="Times New Roman" w:hAnsi="Times New Roman" w:eastAsia="Times New Roman" w:cs="Times New Roman"/>
              </w:rPr>
              <w:t>Cidade: Ouro Preto</w:t>
            </w:r>
          </w:p>
        </w:tc>
      </w:tr>
      <w:tr>
        <w:tblPrEx>
          <w:tblCellMar>
            <w:top w:w="100" w:type="dxa"/>
            <w:left w:w="100" w:type="dxa"/>
            <w:bottom w:w="100" w:type="dxa"/>
            <w:right w:w="100" w:type="dxa"/>
          </w:tblCellMar>
        </w:tblPrEx>
        <w:trPr>
          <w:trHeight w:val="389" w:hRule="atLeast"/>
          <w:jc w:val="center"/>
        </w:trPr>
        <w:tc>
          <w:tcPr>
            <w:tcW w:w="8000" w:type="dxa"/>
            <w:gridSpan w:val="2"/>
            <w:tcBorders>
              <w:top w:val="single" w:color="000000" w:sz="8" w:space="0"/>
              <w:left w:val="single" w:color="000000" w:sz="8" w:space="0"/>
              <w:bottom w:val="single" w:color="000000" w:sz="8" w:space="0"/>
              <w:right w:val="single" w:color="000000" w:sz="8" w:space="0"/>
            </w:tcBorders>
          </w:tcPr>
          <w:p>
            <w:pPr>
              <w:ind w:left="0" w:hanging="2"/>
              <w:jc w:val="both"/>
              <w:rPr>
                <w:rFonts w:ascii="Times New Roman" w:hAnsi="Times New Roman" w:cs="Times New Roman"/>
              </w:rPr>
            </w:pPr>
            <w:r>
              <w:rPr>
                <w:rFonts w:ascii="Times New Roman" w:hAnsi="Times New Roman" w:eastAsia="Times New Roman" w:cs="Times New Roman"/>
              </w:rPr>
              <w:t>Professor Orientador de Estágio:</w:t>
            </w:r>
          </w:p>
        </w:tc>
      </w:tr>
    </w:tbl>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1. O(A) ESTAGIÁRIO(A) se compromete a desenvolver as atividades do seu Plano de Atividades no CAMPO DE ESTÁGIO, com o acompanhamento da INSTITUIÇÃO DE ENSINO, por intermédio do(a) professor(a) orientador(a), e do(a) professor(a) supervisor(a) do CAMPO DE ESTÁGIO.</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2. O estágio será realizado no período de _____/_____/_____ a _____/_____/______, com o cumprimento da carga horária de _________ horas, respeitados o projeto pedagógico e os procedimentos administrativos do CAMPO DE ESTÁGIO e as orientações pedagógicas da INSTITUIÇÃO DE ENSINO.</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3. A realização do estágio não cria vínculo empregatício entre o(a) ESTAGIÁRIO(A), o CAMPO DE ESTÁGIO e a INSTITUIÇÃO DE ENSINO, conforme determina a Lei 11.788 de 25 de setembro de 2008.</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4. Em conformidade com o Decreto 2080 de 26 de novembro de 1996, cabe à INSTITUIÇÃO DE ENSINO o pagamento do Seguro contra Acidentes Pessoais, em favor do estagiário, através da apólice de seguro nº 2000193 da seguradora SEGUROS SURA S/A (Obs. Para utilização dos Serviços de Assistência, esteja com o seu CPF em mãos e ligue para Central de Atendimento ao Segurado 0800 728 9521 ou 0800 704 2474 - atendimento para deficientes auditivos).</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5. São responsabilidades do(a) ESTAGIÁRIO: cumprir as atividades programadas; manter conduta ética compatível com as normas internas da INSTITUIÇÃO DE ENSINO e do CAMPO DE ESTÁGIO; elaborar, assinar e entregar o Plano de Estágio nos prazos estabelecidos; entregar relatório de estágio e comunicar de imediato e por escrito qualquer fato relevante à realização do estágio.</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Por estarem justos e compromissados, assinam o presente Termo, conforme delegação de competências previstas no art. 5º da Resolução SEE n 686/2005, em três vias de igual teor e para o mesmo efeito.</w:t>
      </w:r>
      <w:r>
        <w:rPr>
          <w:rFonts w:ascii="Times New Roman" w:hAnsi="Times New Roman" w:eastAsia="Times New Roman" w:cs="Times New Roman"/>
          <w:color w:val="000000"/>
        </w:rPr>
        <w:tab/>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b/>
      </w:r>
      <w:r>
        <w:rPr>
          <w:rFonts w:ascii="Times New Roman" w:hAnsi="Times New Roman" w:eastAsia="Times New Roman" w:cs="Times New Roman"/>
          <w:color w:val="000000"/>
        </w:rPr>
        <w:tab/>
      </w:r>
      <w:r>
        <w:rPr>
          <w:rFonts w:ascii="Times New Roman" w:hAnsi="Times New Roman" w:eastAsia="Times New Roman" w:cs="Times New Roman"/>
          <w:color w:val="000000"/>
        </w:rPr>
        <w:tab/>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_________________________________________</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ESTAGIÁRIO(A)</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_______________________________________________________________</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Diretor(a) do Campo de Estágio            </w:t>
      </w:r>
      <w:r>
        <w:rPr>
          <w:rFonts w:ascii="Times New Roman" w:hAnsi="Times New Roman" w:eastAsia="Times New Roman" w:cs="Times New Roman"/>
          <w:color w:val="000000"/>
        </w:rPr>
        <w:tab/>
      </w:r>
      <w:r>
        <w:rPr>
          <w:rFonts w:ascii="Times New Roman" w:hAnsi="Times New Roman" w:eastAsia="Times New Roman" w:cs="Times New Roman"/>
          <w:color w:val="000000"/>
        </w:rPr>
        <w:tab/>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________________________________________________________</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Universidade Federal de Ouro Preto</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Prof. Dr. Cláudia Aparecida Marliére de Lima</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Reitora</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TESTEMUNHAS</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________________________________________________________________</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CPF</w:t>
      </w:r>
      <w:r>
        <w:rPr>
          <w:rFonts w:ascii="Times New Roman" w:hAnsi="Times New Roman" w:eastAsia="Times New Roman" w:cs="Times New Roman"/>
          <w:color w:val="000000"/>
        </w:rPr>
        <w:tab/>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__________________________________________________________</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Nome</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CPF</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Ouro Preto</w:t>
      </w:r>
      <w:r>
        <w:rPr>
          <w:rFonts w:ascii="Times New Roman" w:hAnsi="Times New Roman" w:eastAsia="Times New Roman" w:cs="Times New Roman"/>
          <w:color w:val="000000"/>
        </w:rPr>
        <w:tab/>
      </w:r>
      <w:r>
        <w:rPr>
          <w:rFonts w:ascii="Times New Roman" w:hAnsi="Times New Roman" w:eastAsia="Times New Roman" w:cs="Times New Roman"/>
          <w:color w:val="000000"/>
        </w:rPr>
        <w:t xml:space="preserve">    de             </w:t>
      </w:r>
      <w:r>
        <w:rPr>
          <w:rFonts w:ascii="Times New Roman" w:hAnsi="Times New Roman" w:eastAsia="Times New Roman" w:cs="Times New Roman"/>
          <w:color w:val="000000"/>
        </w:rPr>
        <w:tab/>
      </w:r>
      <w:r>
        <w:rPr>
          <w:rFonts w:ascii="Times New Roman" w:hAnsi="Times New Roman" w:eastAsia="Times New Roman" w:cs="Times New Roman"/>
          <w:color w:val="000000"/>
        </w:rPr>
        <w:t>de             .</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ind w:left="0" w:hanging="2"/>
        <w:rPr>
          <w:rFonts w:ascii="Times New Roman" w:hAnsi="Times New Roman" w:cs="Times New Roman"/>
        </w:rPr>
      </w:pPr>
      <w:r>
        <w:rPr>
          <w:rFonts w:ascii="Times New Roman" w:hAnsi="Times New Roman" w:eastAsia="Times New Roman" w:cs="Times New Roman"/>
        </w:rPr>
        <w:t>9.</w:t>
      </w:r>
      <w:r>
        <w:rPr>
          <w:rFonts w:ascii="Times New Roman" w:hAnsi="Times New Roman" w:eastAsia="Times New Roman" w:cs="Times New Roman"/>
          <w:b/>
        </w:rPr>
        <w:t xml:space="preserve"> </w:t>
      </w:r>
      <w:r>
        <w:rPr>
          <w:rFonts w:ascii="Times New Roman" w:hAnsi="Times New Roman" w:eastAsia="Times New Roman" w:cs="Times New Roman"/>
        </w:rPr>
        <w:t>PLANO DE ATIVIDADES DO ESTÁGIO</w:t>
      </w:r>
    </w:p>
    <w:p>
      <w:pPr>
        <w:ind w:left="0" w:hanging="2"/>
        <w:jc w:val="center"/>
        <w:rPr>
          <w:rFonts w:ascii="Times New Roman" w:hAnsi="Times New Roman" w:eastAsia="Times New Roman" w:cs="Times New Roman"/>
        </w:rPr>
      </w:pPr>
    </w:p>
    <w:tbl>
      <w:tblPr>
        <w:tblStyle w:val="669"/>
        <w:tblW w:w="8806" w:type="dxa"/>
        <w:tblInd w:w="0" w:type="dxa"/>
        <w:tblLayout w:type="fixed"/>
        <w:tblCellMar>
          <w:top w:w="100" w:type="dxa"/>
          <w:left w:w="100" w:type="dxa"/>
          <w:bottom w:w="100" w:type="dxa"/>
          <w:right w:w="100" w:type="dxa"/>
        </w:tblCellMar>
      </w:tblPr>
      <w:tblGrid>
        <w:gridCol w:w="2379"/>
        <w:gridCol w:w="1592"/>
        <w:gridCol w:w="790"/>
        <w:gridCol w:w="791"/>
        <w:gridCol w:w="793"/>
        <w:gridCol w:w="807"/>
        <w:gridCol w:w="1654"/>
      </w:tblGrid>
      <w:tr>
        <w:tblPrEx>
          <w:tblCellMar>
            <w:top w:w="100" w:type="dxa"/>
            <w:left w:w="100" w:type="dxa"/>
            <w:bottom w:w="100" w:type="dxa"/>
            <w:right w:w="100" w:type="dxa"/>
          </w:tblCellMar>
        </w:tblPrEx>
        <w:trPr>
          <w:trHeight w:val="2220" w:hRule="atLeast"/>
        </w:trPr>
        <w:tc>
          <w:tcPr>
            <w:tcW w:w="2379" w:type="dxa"/>
            <w:shd w:val="clear" w:color="auto" w:fill="FFFFFF"/>
          </w:tcPr>
          <w:p>
            <w:pPr>
              <w:ind w:left="0" w:hanging="2"/>
              <w:jc w:val="both"/>
              <w:rPr>
                <w:rFonts w:ascii="Times New Roman" w:hAnsi="Times New Roman" w:cs="Times New Roman"/>
              </w:rPr>
            </w:pPr>
            <w:r>
              <w:rPr>
                <w:rFonts w:ascii="Times New Roman" w:hAnsi="Times New Roman" w:eastAsia="Times New Roman" w:cs="Times New Roman"/>
              </w:rPr>
              <w:t xml:space="preserve">   </w:t>
            </w:r>
            <w:r>
              <w:rPr>
                <w:rFonts w:ascii="Times New Roman" w:hAnsi="Times New Roman" w:eastAsia="Times New Roman" w:cs="Times New Roman"/>
              </w:rPr>
              <w:tab/>
            </w:r>
          </w:p>
        </w:tc>
        <w:tc>
          <w:tcPr>
            <w:tcW w:w="4773" w:type="dxa"/>
            <w:gridSpan w:val="5"/>
            <w:shd w:val="clear" w:color="auto" w:fill="FFFFFF"/>
          </w:tcPr>
          <w:p>
            <w:pPr>
              <w:ind w:left="0" w:hanging="2"/>
              <w:jc w:val="center"/>
              <w:rPr>
                <w:rFonts w:ascii="Times New Roman" w:hAnsi="Times New Roman" w:cs="Times New Roman"/>
              </w:rPr>
            </w:pPr>
            <w:r>
              <w:rPr>
                <w:rFonts w:ascii="Times New Roman" w:hAnsi="Times New Roman" w:eastAsia="Times New Roman" w:cs="Times New Roman"/>
              </w:rPr>
              <w:t>MINISTÉRIO DA EDUCAÇÃO</w:t>
            </w:r>
          </w:p>
          <w:p>
            <w:pPr>
              <w:ind w:left="0" w:hanging="2"/>
              <w:jc w:val="center"/>
              <w:rPr>
                <w:rFonts w:ascii="Times New Roman" w:hAnsi="Times New Roman" w:cs="Times New Roman"/>
              </w:rPr>
            </w:pPr>
            <w:r>
              <w:rPr>
                <w:rFonts w:ascii="Times New Roman" w:hAnsi="Times New Roman" w:eastAsia="Times New Roman" w:cs="Times New Roman"/>
              </w:rPr>
              <w:t>UNIVERSIDADE FEDERAL DE OURO PRETO – UFOP</w:t>
            </w:r>
          </w:p>
          <w:p>
            <w:pPr>
              <w:ind w:left="0" w:hanging="2"/>
              <w:jc w:val="center"/>
              <w:rPr>
                <w:rFonts w:ascii="Times New Roman" w:hAnsi="Times New Roman" w:cs="Times New Roman"/>
              </w:rPr>
            </w:pPr>
            <w:r>
              <w:rPr>
                <w:rFonts w:ascii="Times New Roman" w:hAnsi="Times New Roman" w:eastAsia="Times New Roman" w:cs="Times New Roman"/>
              </w:rPr>
              <w:t>COORDENADORIA DE ESTÁGIO</w:t>
            </w:r>
          </w:p>
          <w:p>
            <w:pPr>
              <w:ind w:left="0" w:hanging="2"/>
              <w:rPr>
                <w:rFonts w:ascii="Times New Roman" w:hAnsi="Times New Roman" w:eastAsia="Times New Roman" w:cs="Times New Roman"/>
              </w:rPr>
            </w:pPr>
          </w:p>
          <w:p>
            <w:pPr>
              <w:ind w:left="0" w:hanging="2"/>
              <w:jc w:val="center"/>
              <w:rPr>
                <w:rFonts w:ascii="Times New Roman" w:hAnsi="Times New Roman" w:eastAsia="Times New Roman" w:cs="Times New Roman"/>
              </w:rPr>
            </w:pPr>
          </w:p>
          <w:p>
            <w:pPr>
              <w:ind w:left="0" w:hanging="2"/>
              <w:jc w:val="center"/>
              <w:rPr>
                <w:rFonts w:ascii="Times New Roman" w:hAnsi="Times New Roman" w:cs="Times New Roman"/>
              </w:rPr>
            </w:pPr>
            <w:r>
              <w:rPr>
                <w:rFonts w:ascii="Times New Roman" w:hAnsi="Times New Roman" w:eastAsia="Times New Roman" w:cs="Times New Roman"/>
              </w:rPr>
              <w:t>PLANO DE ATIVIDADES DE ESTÁGIO</w:t>
            </w:r>
          </w:p>
          <w:p>
            <w:pPr>
              <w:ind w:left="0" w:hanging="2"/>
              <w:rPr>
                <w:rFonts w:ascii="Times New Roman" w:hAnsi="Times New Roman" w:eastAsia="Times New Roman" w:cs="Times New Roman"/>
              </w:rPr>
            </w:pPr>
          </w:p>
        </w:tc>
        <w:tc>
          <w:tcPr>
            <w:tcW w:w="1654" w:type="dxa"/>
            <w:shd w:val="clear" w:color="auto" w:fill="FFFFFF"/>
          </w:tcPr>
          <w:p>
            <w:pPr>
              <w:ind w:left="0" w:hanging="2"/>
              <w:jc w:val="both"/>
              <w:rPr>
                <w:rFonts w:ascii="Times New Roman" w:hAnsi="Times New Roman" w:eastAsia="Times New Roman" w:cs="Times New Roman"/>
              </w:rPr>
            </w:pPr>
          </w:p>
          <w:p>
            <w:pPr>
              <w:ind w:left="0" w:hanging="2"/>
              <w:jc w:val="both"/>
              <w:rPr>
                <w:rFonts w:ascii="Times New Roman" w:hAnsi="Times New Roman" w:cs="Times New Roman"/>
              </w:rPr>
            </w:pPr>
            <w:r>
              <w:rPr>
                <w:rFonts w:ascii="Times New Roman" w:hAnsi="Times New Roman" w:eastAsia="Times New Roman" w:cs="Times New Roman"/>
              </w:rPr>
              <w:t xml:space="preserve">    </w:t>
            </w:r>
          </w:p>
          <w:p>
            <w:pPr>
              <w:ind w:left="0" w:hanging="2"/>
              <w:jc w:val="both"/>
              <w:rPr>
                <w:rFonts w:ascii="Times New Roman" w:hAnsi="Times New Roman" w:eastAsia="Times New Roman" w:cs="Times New Roman"/>
              </w:rPr>
            </w:pPr>
          </w:p>
        </w:tc>
      </w:tr>
      <w:tr>
        <w:tblPrEx>
          <w:tblCellMar>
            <w:top w:w="100" w:type="dxa"/>
            <w:left w:w="100" w:type="dxa"/>
            <w:bottom w:w="100" w:type="dxa"/>
            <w:right w:w="100" w:type="dxa"/>
          </w:tblCellMar>
        </w:tblPrEx>
        <w:trPr>
          <w:trHeight w:val="500" w:hRule="atLeast"/>
        </w:trPr>
        <w:tc>
          <w:tcPr>
            <w:tcW w:w="8806" w:type="dxa"/>
            <w:gridSpan w:val="7"/>
            <w:tcBorders>
              <w:top w:val="single" w:color="000000" w:sz="8" w:space="0"/>
              <w:left w:val="single" w:color="000000" w:sz="8" w:space="0"/>
              <w:bottom w:val="single" w:color="000000" w:sz="8" w:space="0"/>
              <w:right w:val="single" w:color="000000" w:sz="8" w:space="0"/>
            </w:tcBorders>
            <w:shd w:val="clear" w:color="auto" w:fill="EEECE1"/>
          </w:tcPr>
          <w:p>
            <w:pPr>
              <w:ind w:left="0" w:hanging="2"/>
              <w:jc w:val="center"/>
              <w:rPr>
                <w:rFonts w:ascii="Times New Roman" w:hAnsi="Times New Roman" w:cs="Times New Roman"/>
              </w:rPr>
            </w:pPr>
            <w:r>
              <w:rPr>
                <w:rFonts w:ascii="Times New Roman" w:hAnsi="Times New Roman" w:eastAsia="Times New Roman" w:cs="Times New Roman"/>
              </w:rPr>
              <w:t>DADOS DO ALUNO</w:t>
            </w:r>
          </w:p>
        </w:tc>
      </w:tr>
      <w:tr>
        <w:tblPrEx>
          <w:tblCellMar>
            <w:top w:w="100" w:type="dxa"/>
            <w:left w:w="100" w:type="dxa"/>
            <w:bottom w:w="100" w:type="dxa"/>
            <w:right w:w="100" w:type="dxa"/>
          </w:tblCellMar>
        </w:tblPrEx>
        <w:trPr>
          <w:trHeight w:val="500" w:hRule="atLeast"/>
        </w:trPr>
        <w:tc>
          <w:tcPr>
            <w:tcW w:w="7152" w:type="dxa"/>
            <w:gridSpan w:val="6"/>
            <w:tcBorders>
              <w:top w:val="single" w:color="000000" w:sz="8" w:space="0"/>
              <w:left w:val="single" w:color="000000" w:sz="8" w:space="0"/>
              <w:bottom w:val="single" w:color="000000" w:sz="8" w:space="0"/>
            </w:tcBorders>
          </w:tcPr>
          <w:p>
            <w:pPr>
              <w:ind w:left="0" w:hanging="2"/>
              <w:jc w:val="both"/>
              <w:rPr>
                <w:rFonts w:ascii="Times New Roman" w:hAnsi="Times New Roman" w:cs="Times New Roman"/>
              </w:rPr>
            </w:pPr>
            <w:r>
              <w:rPr>
                <w:rFonts w:ascii="Times New Roman" w:hAnsi="Times New Roman" w:eastAsia="Times New Roman" w:cs="Times New Roman"/>
              </w:rPr>
              <w:t>Nome:</w:t>
            </w:r>
          </w:p>
        </w:tc>
        <w:tc>
          <w:tcPr>
            <w:tcW w:w="1654" w:type="dxa"/>
            <w:tcBorders>
              <w:top w:val="single" w:color="000000" w:sz="8" w:space="0"/>
              <w:left w:val="single" w:color="000000" w:sz="8" w:space="0"/>
              <w:bottom w:val="single" w:color="000000" w:sz="8" w:space="0"/>
              <w:right w:val="single" w:color="000000" w:sz="8" w:space="0"/>
            </w:tcBorders>
          </w:tcPr>
          <w:p>
            <w:pPr>
              <w:ind w:left="0" w:hanging="2"/>
              <w:jc w:val="both"/>
              <w:rPr>
                <w:rFonts w:ascii="Times New Roman" w:hAnsi="Times New Roman" w:cs="Times New Roman"/>
              </w:rPr>
            </w:pPr>
            <w:r>
              <w:rPr>
                <w:rFonts w:ascii="Times New Roman" w:hAnsi="Times New Roman" w:eastAsia="Times New Roman" w:cs="Times New Roman"/>
              </w:rPr>
              <w:t>Matrícula:</w:t>
            </w:r>
          </w:p>
        </w:tc>
      </w:tr>
      <w:tr>
        <w:tblPrEx>
          <w:tblCellMar>
            <w:top w:w="100" w:type="dxa"/>
            <w:left w:w="100" w:type="dxa"/>
            <w:bottom w:w="100" w:type="dxa"/>
            <w:right w:w="100" w:type="dxa"/>
          </w:tblCellMar>
        </w:tblPrEx>
        <w:trPr>
          <w:trHeight w:val="500" w:hRule="atLeast"/>
        </w:trPr>
        <w:tc>
          <w:tcPr>
            <w:tcW w:w="4761" w:type="dxa"/>
            <w:gridSpan w:val="3"/>
            <w:tcBorders>
              <w:top w:val="single" w:color="000000" w:sz="8" w:space="0"/>
              <w:left w:val="single" w:color="000000" w:sz="8" w:space="0"/>
              <w:bottom w:val="single" w:color="000000" w:sz="8" w:space="0"/>
            </w:tcBorders>
          </w:tcPr>
          <w:p>
            <w:pPr>
              <w:ind w:left="0" w:hanging="2"/>
              <w:jc w:val="both"/>
              <w:rPr>
                <w:rFonts w:ascii="Times New Roman" w:hAnsi="Times New Roman" w:cs="Times New Roman"/>
              </w:rPr>
            </w:pPr>
            <w:r>
              <w:rPr>
                <w:rFonts w:ascii="Times New Roman" w:hAnsi="Times New Roman" w:eastAsia="Times New Roman" w:cs="Times New Roman"/>
              </w:rPr>
              <w:t>Curso:</w:t>
            </w:r>
          </w:p>
        </w:tc>
        <w:tc>
          <w:tcPr>
            <w:tcW w:w="4045" w:type="dxa"/>
            <w:gridSpan w:val="4"/>
            <w:tcBorders>
              <w:top w:val="single" w:color="000000" w:sz="8" w:space="0"/>
              <w:left w:val="single" w:color="000000" w:sz="8" w:space="0"/>
              <w:bottom w:val="single" w:color="000000" w:sz="8" w:space="0"/>
              <w:right w:val="single" w:color="000000" w:sz="8" w:space="0"/>
            </w:tcBorders>
          </w:tcPr>
          <w:p>
            <w:pPr>
              <w:ind w:left="0" w:hanging="2"/>
              <w:jc w:val="both"/>
              <w:rPr>
                <w:rFonts w:ascii="Times New Roman" w:hAnsi="Times New Roman" w:cs="Times New Roman"/>
              </w:rPr>
            </w:pPr>
            <w:r>
              <w:rPr>
                <w:rFonts w:ascii="Times New Roman" w:hAnsi="Times New Roman" w:eastAsia="Times New Roman" w:cs="Times New Roman"/>
              </w:rPr>
              <w:t>Email:</w:t>
            </w:r>
          </w:p>
        </w:tc>
      </w:tr>
      <w:tr>
        <w:tblPrEx>
          <w:tblCellMar>
            <w:top w:w="100" w:type="dxa"/>
            <w:left w:w="100" w:type="dxa"/>
            <w:bottom w:w="100" w:type="dxa"/>
            <w:right w:w="100" w:type="dxa"/>
          </w:tblCellMar>
        </w:tblPrEx>
        <w:trPr>
          <w:trHeight w:val="500" w:hRule="atLeast"/>
        </w:trPr>
        <w:tc>
          <w:tcPr>
            <w:tcW w:w="8806" w:type="dxa"/>
            <w:gridSpan w:val="7"/>
            <w:tcBorders>
              <w:top w:val="single" w:color="000000" w:sz="8" w:space="0"/>
              <w:left w:val="single" w:color="000000" w:sz="8" w:space="0"/>
              <w:bottom w:val="single" w:color="000000" w:sz="8" w:space="0"/>
              <w:right w:val="single" w:color="000000" w:sz="8" w:space="0"/>
            </w:tcBorders>
            <w:shd w:val="clear" w:color="auto" w:fill="EEECE1"/>
          </w:tcPr>
          <w:p>
            <w:pPr>
              <w:ind w:left="0" w:hanging="2"/>
              <w:jc w:val="center"/>
              <w:rPr>
                <w:rFonts w:ascii="Times New Roman" w:hAnsi="Times New Roman" w:cs="Times New Roman"/>
              </w:rPr>
            </w:pPr>
            <w:r>
              <w:rPr>
                <w:rFonts w:ascii="Times New Roman" w:hAnsi="Times New Roman" w:eastAsia="Times New Roman" w:cs="Times New Roman"/>
              </w:rPr>
              <w:t>DADOS DO CAMPO DE ESTÁGIO</w:t>
            </w:r>
          </w:p>
        </w:tc>
      </w:tr>
      <w:tr>
        <w:tblPrEx>
          <w:tblCellMar>
            <w:top w:w="100" w:type="dxa"/>
            <w:left w:w="100" w:type="dxa"/>
            <w:bottom w:w="100" w:type="dxa"/>
            <w:right w:w="100" w:type="dxa"/>
          </w:tblCellMar>
        </w:tblPrEx>
        <w:trPr>
          <w:trHeight w:val="500" w:hRule="atLeast"/>
        </w:trPr>
        <w:tc>
          <w:tcPr>
            <w:tcW w:w="8806" w:type="dxa"/>
            <w:gridSpan w:val="7"/>
            <w:tcBorders>
              <w:top w:val="single" w:color="000000" w:sz="8" w:space="0"/>
              <w:left w:val="single" w:color="000000" w:sz="8" w:space="0"/>
              <w:bottom w:val="single" w:color="000000" w:sz="8" w:space="0"/>
              <w:right w:val="single" w:color="000000" w:sz="8" w:space="0"/>
            </w:tcBorders>
          </w:tcPr>
          <w:p>
            <w:pPr>
              <w:ind w:left="0" w:hanging="2"/>
              <w:jc w:val="both"/>
              <w:rPr>
                <w:rFonts w:ascii="Times New Roman" w:hAnsi="Times New Roman" w:cs="Times New Roman"/>
              </w:rPr>
            </w:pPr>
            <w:r>
              <w:rPr>
                <w:rFonts w:ascii="Times New Roman" w:hAnsi="Times New Roman" w:eastAsia="Times New Roman" w:cs="Times New Roman"/>
              </w:rPr>
              <w:t>Campo de Estágio:</w:t>
            </w:r>
          </w:p>
        </w:tc>
      </w:tr>
      <w:tr>
        <w:tblPrEx>
          <w:tblCellMar>
            <w:top w:w="100" w:type="dxa"/>
            <w:left w:w="100" w:type="dxa"/>
            <w:bottom w:w="100" w:type="dxa"/>
            <w:right w:w="100" w:type="dxa"/>
          </w:tblCellMar>
        </w:tblPrEx>
        <w:trPr>
          <w:trHeight w:val="500" w:hRule="atLeast"/>
        </w:trPr>
        <w:tc>
          <w:tcPr>
            <w:tcW w:w="8806" w:type="dxa"/>
            <w:gridSpan w:val="7"/>
            <w:tcBorders>
              <w:top w:val="single" w:color="000000" w:sz="8" w:space="0"/>
              <w:left w:val="single" w:color="000000" w:sz="8" w:space="0"/>
              <w:bottom w:val="single" w:color="000000" w:sz="8" w:space="0"/>
              <w:right w:val="single" w:color="000000" w:sz="8" w:space="0"/>
            </w:tcBorders>
          </w:tcPr>
          <w:p>
            <w:pPr>
              <w:ind w:left="0" w:hanging="2"/>
              <w:jc w:val="both"/>
              <w:rPr>
                <w:rFonts w:ascii="Times New Roman" w:hAnsi="Times New Roman" w:cs="Times New Roman"/>
              </w:rPr>
            </w:pPr>
            <w:r>
              <w:rPr>
                <w:rFonts w:ascii="Times New Roman" w:hAnsi="Times New Roman" w:eastAsia="Times New Roman" w:cs="Times New Roman"/>
              </w:rPr>
              <w:t>Nome do Professor Supervisor:</w:t>
            </w:r>
          </w:p>
        </w:tc>
      </w:tr>
      <w:tr>
        <w:tblPrEx>
          <w:tblCellMar>
            <w:top w:w="100" w:type="dxa"/>
            <w:left w:w="100" w:type="dxa"/>
            <w:bottom w:w="100" w:type="dxa"/>
            <w:right w:w="100" w:type="dxa"/>
          </w:tblCellMar>
        </w:tblPrEx>
        <w:trPr>
          <w:trHeight w:val="500" w:hRule="atLeast"/>
        </w:trPr>
        <w:tc>
          <w:tcPr>
            <w:tcW w:w="8806" w:type="dxa"/>
            <w:gridSpan w:val="7"/>
            <w:tcBorders>
              <w:top w:val="single" w:color="000000" w:sz="8" w:space="0"/>
              <w:left w:val="single" w:color="000000" w:sz="8" w:space="0"/>
              <w:bottom w:val="single" w:color="000000" w:sz="8" w:space="0"/>
              <w:right w:val="single" w:color="000000" w:sz="8" w:space="0"/>
            </w:tcBorders>
          </w:tcPr>
          <w:p>
            <w:pPr>
              <w:ind w:left="0" w:hanging="2"/>
              <w:jc w:val="both"/>
              <w:rPr>
                <w:rFonts w:ascii="Times New Roman" w:hAnsi="Times New Roman" w:cs="Times New Roman"/>
              </w:rPr>
            </w:pPr>
            <w:r>
              <w:rPr>
                <w:rFonts w:ascii="Times New Roman" w:hAnsi="Times New Roman" w:eastAsia="Times New Roman" w:cs="Times New Roman"/>
              </w:rPr>
              <w:t>Email:</w:t>
            </w:r>
          </w:p>
        </w:tc>
      </w:tr>
      <w:tr>
        <w:tblPrEx>
          <w:tblCellMar>
            <w:top w:w="100" w:type="dxa"/>
            <w:left w:w="100" w:type="dxa"/>
            <w:bottom w:w="100" w:type="dxa"/>
            <w:right w:w="100" w:type="dxa"/>
          </w:tblCellMar>
        </w:tblPrEx>
        <w:trPr>
          <w:trHeight w:val="500" w:hRule="atLeast"/>
        </w:trPr>
        <w:tc>
          <w:tcPr>
            <w:tcW w:w="8806" w:type="dxa"/>
            <w:gridSpan w:val="7"/>
            <w:tcBorders>
              <w:top w:val="single" w:color="000000" w:sz="8" w:space="0"/>
              <w:left w:val="single" w:color="000000" w:sz="8" w:space="0"/>
              <w:bottom w:val="single" w:color="000000" w:sz="8" w:space="0"/>
              <w:right w:val="single" w:color="000000" w:sz="8" w:space="0"/>
            </w:tcBorders>
            <w:shd w:val="clear" w:color="auto" w:fill="EEECE1"/>
          </w:tcPr>
          <w:p>
            <w:pPr>
              <w:ind w:left="0" w:hanging="2"/>
              <w:jc w:val="center"/>
              <w:rPr>
                <w:rFonts w:ascii="Times New Roman" w:hAnsi="Times New Roman" w:cs="Times New Roman"/>
              </w:rPr>
            </w:pPr>
            <w:r>
              <w:rPr>
                <w:rFonts w:ascii="Times New Roman" w:hAnsi="Times New Roman" w:eastAsia="Times New Roman" w:cs="Times New Roman"/>
              </w:rPr>
              <w:t>DADOS DO PROFESSOR ORIENTADOR DA UFOP</w:t>
            </w:r>
          </w:p>
        </w:tc>
      </w:tr>
      <w:tr>
        <w:tblPrEx>
          <w:tblCellMar>
            <w:top w:w="100" w:type="dxa"/>
            <w:left w:w="100" w:type="dxa"/>
            <w:bottom w:w="100" w:type="dxa"/>
            <w:right w:w="100" w:type="dxa"/>
          </w:tblCellMar>
        </w:tblPrEx>
        <w:trPr>
          <w:trHeight w:val="500" w:hRule="atLeast"/>
        </w:trPr>
        <w:tc>
          <w:tcPr>
            <w:tcW w:w="8806" w:type="dxa"/>
            <w:gridSpan w:val="7"/>
            <w:tcBorders>
              <w:top w:val="single" w:color="000000" w:sz="8" w:space="0"/>
              <w:left w:val="single" w:color="000000" w:sz="8" w:space="0"/>
              <w:bottom w:val="single" w:color="000000" w:sz="8" w:space="0"/>
              <w:right w:val="single" w:color="000000" w:sz="8" w:space="0"/>
            </w:tcBorders>
          </w:tcPr>
          <w:p>
            <w:pPr>
              <w:ind w:left="0" w:hanging="2"/>
              <w:jc w:val="both"/>
              <w:rPr>
                <w:rFonts w:ascii="Times New Roman" w:hAnsi="Times New Roman" w:cs="Times New Roman"/>
              </w:rPr>
            </w:pPr>
            <w:r>
              <w:rPr>
                <w:rFonts w:ascii="Times New Roman" w:hAnsi="Times New Roman" w:eastAsia="Times New Roman" w:cs="Times New Roman"/>
              </w:rPr>
              <w:t>Nome:</w:t>
            </w:r>
          </w:p>
        </w:tc>
      </w:tr>
      <w:tr>
        <w:tblPrEx>
          <w:tblCellMar>
            <w:top w:w="100" w:type="dxa"/>
            <w:left w:w="100" w:type="dxa"/>
            <w:bottom w:w="100" w:type="dxa"/>
            <w:right w:w="100" w:type="dxa"/>
          </w:tblCellMar>
        </w:tblPrEx>
        <w:trPr>
          <w:trHeight w:val="500" w:hRule="atLeast"/>
        </w:trPr>
        <w:tc>
          <w:tcPr>
            <w:tcW w:w="5552" w:type="dxa"/>
            <w:gridSpan w:val="4"/>
            <w:tcBorders>
              <w:top w:val="single" w:color="000000" w:sz="8" w:space="0"/>
              <w:left w:val="single" w:color="000000" w:sz="8" w:space="0"/>
              <w:bottom w:val="single" w:color="000000" w:sz="8" w:space="0"/>
            </w:tcBorders>
          </w:tcPr>
          <w:p>
            <w:pPr>
              <w:ind w:left="0" w:hanging="2"/>
              <w:jc w:val="both"/>
              <w:rPr>
                <w:rFonts w:ascii="Times New Roman" w:hAnsi="Times New Roman" w:cs="Times New Roman"/>
              </w:rPr>
            </w:pPr>
            <w:r>
              <w:rPr>
                <w:rFonts w:ascii="Times New Roman" w:hAnsi="Times New Roman" w:eastAsia="Times New Roman" w:cs="Times New Roman"/>
              </w:rPr>
              <w:t>Departamento:</w:t>
            </w:r>
          </w:p>
        </w:tc>
        <w:tc>
          <w:tcPr>
            <w:tcW w:w="3254" w:type="dxa"/>
            <w:gridSpan w:val="3"/>
            <w:tcBorders>
              <w:top w:val="single" w:color="000000" w:sz="8" w:space="0"/>
              <w:left w:val="single" w:color="000000" w:sz="8" w:space="0"/>
              <w:bottom w:val="single" w:color="000000" w:sz="8" w:space="0"/>
              <w:right w:val="single" w:color="000000" w:sz="8" w:space="0"/>
            </w:tcBorders>
          </w:tcPr>
          <w:p>
            <w:pPr>
              <w:ind w:left="0" w:hanging="2"/>
              <w:jc w:val="both"/>
              <w:rPr>
                <w:rFonts w:ascii="Times New Roman" w:hAnsi="Times New Roman" w:cs="Times New Roman"/>
              </w:rPr>
            </w:pPr>
            <w:r>
              <w:rPr>
                <w:rFonts w:ascii="Times New Roman" w:hAnsi="Times New Roman" w:eastAsia="Times New Roman" w:cs="Times New Roman"/>
              </w:rPr>
              <w:t>Email:</w:t>
            </w:r>
          </w:p>
        </w:tc>
      </w:tr>
      <w:tr>
        <w:tblPrEx>
          <w:tblCellMar>
            <w:top w:w="100" w:type="dxa"/>
            <w:left w:w="100" w:type="dxa"/>
            <w:bottom w:w="100" w:type="dxa"/>
            <w:right w:w="100" w:type="dxa"/>
          </w:tblCellMar>
        </w:tblPrEx>
        <w:trPr>
          <w:trHeight w:val="500" w:hRule="atLeast"/>
        </w:trPr>
        <w:tc>
          <w:tcPr>
            <w:tcW w:w="8806" w:type="dxa"/>
            <w:gridSpan w:val="7"/>
            <w:tcBorders>
              <w:top w:val="single" w:color="000000" w:sz="8" w:space="0"/>
              <w:left w:val="single" w:color="000000" w:sz="8" w:space="0"/>
              <w:bottom w:val="single" w:color="000000" w:sz="8" w:space="0"/>
              <w:right w:val="single" w:color="000000" w:sz="8" w:space="0"/>
            </w:tcBorders>
            <w:shd w:val="clear" w:color="auto" w:fill="EEECE1"/>
          </w:tcPr>
          <w:p>
            <w:pPr>
              <w:ind w:left="0" w:hanging="2"/>
              <w:jc w:val="center"/>
              <w:rPr>
                <w:rFonts w:ascii="Times New Roman" w:hAnsi="Times New Roman" w:cs="Times New Roman"/>
              </w:rPr>
            </w:pPr>
            <w:r>
              <w:rPr>
                <w:rFonts w:ascii="Times New Roman" w:hAnsi="Times New Roman" w:eastAsia="Times New Roman" w:cs="Times New Roman"/>
              </w:rPr>
              <w:t>INFORMAÇÕES DO ESTÁGIO</w:t>
            </w:r>
          </w:p>
        </w:tc>
      </w:tr>
      <w:tr>
        <w:tblPrEx>
          <w:tblCellMar>
            <w:top w:w="100" w:type="dxa"/>
            <w:left w:w="100" w:type="dxa"/>
            <w:bottom w:w="100" w:type="dxa"/>
            <w:right w:w="100" w:type="dxa"/>
          </w:tblCellMar>
        </w:tblPrEx>
        <w:trPr>
          <w:trHeight w:val="1380" w:hRule="atLeast"/>
        </w:trPr>
        <w:tc>
          <w:tcPr>
            <w:tcW w:w="3971" w:type="dxa"/>
            <w:gridSpan w:val="2"/>
            <w:tcBorders>
              <w:top w:val="single" w:color="000000" w:sz="8" w:space="0"/>
              <w:left w:val="single" w:color="000000" w:sz="8" w:space="0"/>
              <w:bottom w:val="single" w:color="000000" w:sz="8" w:space="0"/>
            </w:tcBorders>
          </w:tcPr>
          <w:p>
            <w:pPr>
              <w:ind w:left="0" w:hanging="2"/>
              <w:rPr>
                <w:rFonts w:ascii="Times New Roman" w:hAnsi="Times New Roman" w:cs="Times New Roman"/>
              </w:rPr>
            </w:pPr>
            <w:r>
              <w:rPr>
                <w:rFonts w:ascii="Times New Roman" w:hAnsi="Times New Roman" w:eastAsia="Times New Roman" w:cs="Times New Roman"/>
              </w:rPr>
              <w:t>(  ) Estágio Obrigatório</w:t>
            </w:r>
          </w:p>
          <w:p>
            <w:pPr>
              <w:ind w:left="0" w:hanging="2"/>
              <w:jc w:val="both"/>
              <w:rPr>
                <w:rFonts w:ascii="Times New Roman" w:hAnsi="Times New Roman" w:cs="Times New Roman"/>
              </w:rPr>
            </w:pPr>
            <w:r>
              <w:rPr>
                <w:rFonts w:ascii="Times New Roman" w:hAnsi="Times New Roman" w:eastAsia="Times New Roman" w:cs="Times New Roman"/>
              </w:rPr>
              <w:t xml:space="preserve">Definido no projeto pedagógico do curso, cuja carga horária é requisito para aprovação e obtenção de diploma. </w:t>
            </w:r>
          </w:p>
        </w:tc>
        <w:tc>
          <w:tcPr>
            <w:tcW w:w="4835" w:type="dxa"/>
            <w:gridSpan w:val="5"/>
            <w:tcBorders>
              <w:top w:val="single" w:color="000000" w:sz="8" w:space="0"/>
              <w:left w:val="single" w:color="000000" w:sz="8" w:space="0"/>
              <w:bottom w:val="single" w:color="000000" w:sz="8" w:space="0"/>
              <w:right w:val="single" w:color="000000" w:sz="8" w:space="0"/>
            </w:tcBorders>
          </w:tcPr>
          <w:p>
            <w:pPr>
              <w:ind w:left="0" w:hanging="2"/>
              <w:jc w:val="both"/>
              <w:rPr>
                <w:rFonts w:ascii="Times New Roman" w:hAnsi="Times New Roman" w:cs="Times New Roman"/>
              </w:rPr>
            </w:pPr>
            <w:r>
              <w:rPr>
                <w:rFonts w:ascii="Times New Roman" w:hAnsi="Times New Roman" w:eastAsia="Times New Roman" w:cs="Times New Roman"/>
              </w:rPr>
              <w:t>(   ) Estágio Não-obrigatório</w:t>
            </w:r>
          </w:p>
          <w:p>
            <w:pPr>
              <w:ind w:left="0" w:hanging="2"/>
              <w:jc w:val="both"/>
              <w:rPr>
                <w:rFonts w:ascii="Times New Roman" w:hAnsi="Times New Roman" w:cs="Times New Roman"/>
              </w:rPr>
            </w:pPr>
            <w:r>
              <w:rPr>
                <w:rFonts w:ascii="Times New Roman" w:hAnsi="Times New Roman" w:eastAsia="Times New Roman" w:cs="Times New Roman"/>
              </w:rPr>
              <w:t>Desenvolvido como atividade opcional, acrescida à carga horária regular e obrigatória.</w:t>
            </w:r>
          </w:p>
        </w:tc>
      </w:tr>
      <w:tr>
        <w:tblPrEx>
          <w:tblCellMar>
            <w:top w:w="100" w:type="dxa"/>
            <w:left w:w="100" w:type="dxa"/>
            <w:bottom w:w="100" w:type="dxa"/>
            <w:right w:w="100" w:type="dxa"/>
          </w:tblCellMar>
        </w:tblPrEx>
        <w:trPr>
          <w:trHeight w:val="500" w:hRule="atLeast"/>
        </w:trPr>
        <w:tc>
          <w:tcPr>
            <w:tcW w:w="2379" w:type="dxa"/>
            <w:tcBorders>
              <w:top w:val="single" w:color="000000" w:sz="8" w:space="0"/>
              <w:left w:val="single" w:color="000000" w:sz="8" w:space="0"/>
              <w:bottom w:val="single" w:color="000000" w:sz="8" w:space="0"/>
            </w:tcBorders>
          </w:tcPr>
          <w:p>
            <w:pPr>
              <w:ind w:left="0" w:hanging="2"/>
              <w:jc w:val="center"/>
              <w:rPr>
                <w:rFonts w:ascii="Times New Roman" w:hAnsi="Times New Roman" w:cs="Times New Roman"/>
              </w:rPr>
            </w:pPr>
            <w:r>
              <w:rPr>
                <w:rFonts w:ascii="Times New Roman" w:hAnsi="Times New Roman" w:eastAsia="Times New Roman" w:cs="Times New Roman"/>
              </w:rPr>
              <w:t>Vigência</w:t>
            </w:r>
          </w:p>
        </w:tc>
        <w:tc>
          <w:tcPr>
            <w:tcW w:w="3966" w:type="dxa"/>
            <w:gridSpan w:val="4"/>
            <w:tcBorders>
              <w:top w:val="single" w:color="000000" w:sz="8" w:space="0"/>
              <w:left w:val="single" w:color="000000" w:sz="8" w:space="0"/>
              <w:bottom w:val="single" w:color="000000" w:sz="8" w:space="0"/>
            </w:tcBorders>
          </w:tcPr>
          <w:p>
            <w:pPr>
              <w:ind w:left="0" w:hanging="2"/>
              <w:jc w:val="both"/>
              <w:rPr>
                <w:rFonts w:ascii="Times New Roman" w:hAnsi="Times New Roman" w:cs="Times New Roman"/>
              </w:rPr>
            </w:pPr>
            <w:r>
              <w:rPr>
                <w:rFonts w:ascii="Times New Roman" w:hAnsi="Times New Roman" w:eastAsia="Times New Roman" w:cs="Times New Roman"/>
              </w:rPr>
              <w:t>Início:           </w:t>
            </w:r>
            <w:r>
              <w:rPr>
                <w:rFonts w:ascii="Times New Roman" w:hAnsi="Times New Roman" w:eastAsia="Times New Roman" w:cs="Times New Roman"/>
              </w:rPr>
              <w:tab/>
            </w:r>
            <w:r>
              <w:rPr>
                <w:rFonts w:ascii="Times New Roman" w:hAnsi="Times New Roman" w:eastAsia="Times New Roman" w:cs="Times New Roman"/>
              </w:rPr>
              <w:t>/     </w:t>
            </w:r>
            <w:r>
              <w:rPr>
                <w:rFonts w:ascii="Times New Roman" w:hAnsi="Times New Roman" w:eastAsia="Times New Roman" w:cs="Times New Roman"/>
              </w:rPr>
              <w:tab/>
            </w:r>
            <w:r>
              <w:rPr>
                <w:rFonts w:ascii="Times New Roman" w:hAnsi="Times New Roman" w:eastAsia="Times New Roman" w:cs="Times New Roman"/>
              </w:rPr>
              <w:t>/   </w:t>
            </w:r>
            <w:r>
              <w:rPr>
                <w:rFonts w:ascii="Times New Roman" w:hAnsi="Times New Roman" w:eastAsia="Times New Roman" w:cs="Times New Roman"/>
              </w:rPr>
              <w:tab/>
            </w:r>
          </w:p>
        </w:tc>
        <w:tc>
          <w:tcPr>
            <w:tcW w:w="2461" w:type="dxa"/>
            <w:gridSpan w:val="2"/>
            <w:tcBorders>
              <w:top w:val="single" w:color="000000" w:sz="8" w:space="0"/>
              <w:left w:val="single" w:color="000000" w:sz="8" w:space="0"/>
              <w:bottom w:val="single" w:color="000000" w:sz="8" w:space="0"/>
              <w:right w:val="single" w:color="000000" w:sz="8" w:space="0"/>
            </w:tcBorders>
          </w:tcPr>
          <w:p>
            <w:pPr>
              <w:ind w:left="0" w:hanging="2"/>
              <w:jc w:val="both"/>
              <w:rPr>
                <w:rFonts w:ascii="Times New Roman" w:hAnsi="Times New Roman" w:cs="Times New Roman"/>
              </w:rPr>
            </w:pPr>
            <w:r>
              <w:rPr>
                <w:rFonts w:ascii="Times New Roman" w:hAnsi="Times New Roman" w:eastAsia="Times New Roman" w:cs="Times New Roman"/>
              </w:rPr>
              <w:t>Término:        </w:t>
            </w:r>
            <w:r>
              <w:rPr>
                <w:rFonts w:ascii="Times New Roman" w:hAnsi="Times New Roman" w:eastAsia="Times New Roman" w:cs="Times New Roman"/>
              </w:rPr>
              <w:tab/>
            </w:r>
            <w:r>
              <w:rPr>
                <w:rFonts w:ascii="Times New Roman" w:hAnsi="Times New Roman" w:eastAsia="Times New Roman" w:cs="Times New Roman"/>
              </w:rPr>
              <w:t>/       </w:t>
            </w:r>
            <w:r>
              <w:rPr>
                <w:rFonts w:ascii="Times New Roman" w:hAnsi="Times New Roman" w:eastAsia="Times New Roman" w:cs="Times New Roman"/>
              </w:rPr>
              <w:tab/>
            </w:r>
            <w:r>
              <w:rPr>
                <w:rFonts w:ascii="Times New Roman" w:hAnsi="Times New Roman" w:eastAsia="Times New Roman" w:cs="Times New Roman"/>
              </w:rPr>
              <w:t>/</w:t>
            </w:r>
          </w:p>
        </w:tc>
      </w:tr>
      <w:tr>
        <w:tblPrEx>
          <w:tblCellMar>
            <w:top w:w="100" w:type="dxa"/>
            <w:left w:w="100" w:type="dxa"/>
            <w:bottom w:w="100" w:type="dxa"/>
            <w:right w:w="100" w:type="dxa"/>
          </w:tblCellMar>
        </w:tblPrEx>
        <w:trPr>
          <w:trHeight w:val="500" w:hRule="atLeast"/>
        </w:trPr>
        <w:tc>
          <w:tcPr>
            <w:tcW w:w="2379" w:type="dxa"/>
            <w:tcBorders>
              <w:top w:val="single" w:color="000000" w:sz="8" w:space="0"/>
              <w:left w:val="single" w:color="000000" w:sz="8" w:space="0"/>
              <w:bottom w:val="single" w:color="000000" w:sz="8" w:space="0"/>
            </w:tcBorders>
          </w:tcPr>
          <w:p>
            <w:pPr>
              <w:ind w:left="0" w:hanging="2"/>
              <w:jc w:val="both"/>
              <w:rPr>
                <w:rFonts w:ascii="Times New Roman" w:hAnsi="Times New Roman" w:cs="Times New Roman"/>
              </w:rPr>
            </w:pPr>
            <w:r>
              <w:rPr>
                <w:rFonts w:ascii="Times New Roman" w:hAnsi="Times New Roman" w:eastAsia="Times New Roman" w:cs="Times New Roman"/>
              </w:rPr>
              <w:t>Carga Horária</w:t>
            </w:r>
          </w:p>
        </w:tc>
        <w:tc>
          <w:tcPr>
            <w:tcW w:w="3966" w:type="dxa"/>
            <w:gridSpan w:val="4"/>
            <w:tcBorders>
              <w:top w:val="single" w:color="000000" w:sz="8" w:space="0"/>
              <w:left w:val="single" w:color="000000" w:sz="8" w:space="0"/>
              <w:bottom w:val="single" w:color="000000" w:sz="8" w:space="0"/>
            </w:tcBorders>
          </w:tcPr>
          <w:p>
            <w:pPr>
              <w:ind w:left="0" w:hanging="2"/>
              <w:jc w:val="both"/>
              <w:rPr>
                <w:rFonts w:ascii="Times New Roman" w:hAnsi="Times New Roman" w:cs="Times New Roman"/>
              </w:rPr>
            </w:pPr>
            <w:r>
              <w:rPr>
                <w:rFonts w:ascii="Times New Roman" w:hAnsi="Times New Roman" w:eastAsia="Times New Roman" w:cs="Times New Roman"/>
              </w:rPr>
              <w:t>Diária:       </w:t>
            </w:r>
            <w:r>
              <w:rPr>
                <w:rFonts w:ascii="Times New Roman" w:hAnsi="Times New Roman" w:eastAsia="Times New Roman" w:cs="Times New Roman"/>
              </w:rPr>
              <w:tab/>
            </w:r>
            <w:r>
              <w:rPr>
                <w:rFonts w:ascii="Times New Roman" w:hAnsi="Times New Roman" w:eastAsia="Times New Roman" w:cs="Times New Roman"/>
              </w:rPr>
              <w:t>horas</w:t>
            </w:r>
          </w:p>
        </w:tc>
        <w:tc>
          <w:tcPr>
            <w:tcW w:w="2461" w:type="dxa"/>
            <w:gridSpan w:val="2"/>
            <w:tcBorders>
              <w:top w:val="single" w:color="000000" w:sz="8" w:space="0"/>
              <w:left w:val="single" w:color="000000" w:sz="8" w:space="0"/>
              <w:bottom w:val="single" w:color="000000" w:sz="8" w:space="0"/>
              <w:right w:val="single" w:color="000000" w:sz="8" w:space="0"/>
            </w:tcBorders>
          </w:tcPr>
          <w:p>
            <w:pPr>
              <w:ind w:left="0" w:hanging="2"/>
              <w:jc w:val="both"/>
              <w:rPr>
                <w:rFonts w:ascii="Times New Roman" w:hAnsi="Times New Roman" w:cs="Times New Roman"/>
              </w:rPr>
            </w:pPr>
            <w:r>
              <w:rPr>
                <w:rFonts w:ascii="Times New Roman" w:hAnsi="Times New Roman" w:eastAsia="Times New Roman" w:cs="Times New Roman"/>
              </w:rPr>
              <w:t>Semanal:    </w:t>
            </w:r>
            <w:r>
              <w:rPr>
                <w:rFonts w:ascii="Times New Roman" w:hAnsi="Times New Roman" w:eastAsia="Times New Roman" w:cs="Times New Roman"/>
              </w:rPr>
              <w:tab/>
            </w:r>
            <w:r>
              <w:rPr>
                <w:rFonts w:ascii="Times New Roman" w:hAnsi="Times New Roman" w:eastAsia="Times New Roman" w:cs="Times New Roman"/>
              </w:rPr>
              <w:t xml:space="preserve">  horas</w:t>
            </w:r>
          </w:p>
        </w:tc>
      </w:tr>
      <w:tr>
        <w:tblPrEx>
          <w:tblCellMar>
            <w:top w:w="100" w:type="dxa"/>
            <w:left w:w="100" w:type="dxa"/>
            <w:bottom w:w="100" w:type="dxa"/>
            <w:right w:w="100" w:type="dxa"/>
          </w:tblCellMar>
        </w:tblPrEx>
        <w:trPr>
          <w:trHeight w:val="500" w:hRule="atLeast"/>
        </w:trPr>
        <w:tc>
          <w:tcPr>
            <w:tcW w:w="8806" w:type="dxa"/>
            <w:gridSpan w:val="7"/>
            <w:tcBorders>
              <w:top w:val="single" w:color="000000" w:sz="8" w:space="0"/>
              <w:left w:val="single" w:color="000000" w:sz="8" w:space="0"/>
              <w:bottom w:val="single" w:color="000000" w:sz="8" w:space="0"/>
              <w:right w:val="single" w:color="000000" w:sz="8" w:space="0"/>
            </w:tcBorders>
            <w:shd w:val="clear" w:color="auto" w:fill="EEECE1"/>
          </w:tcPr>
          <w:p>
            <w:pPr>
              <w:ind w:left="0" w:hanging="2"/>
              <w:jc w:val="center"/>
              <w:rPr>
                <w:rFonts w:ascii="Times New Roman" w:hAnsi="Times New Roman" w:cs="Times New Roman"/>
              </w:rPr>
            </w:pPr>
            <w:r>
              <w:rPr>
                <w:rFonts w:ascii="Times New Roman" w:hAnsi="Times New Roman" w:eastAsia="Times New Roman" w:cs="Times New Roman"/>
              </w:rPr>
              <w:t>OBJETIVO DO ESTÁGIO</w:t>
            </w:r>
          </w:p>
        </w:tc>
      </w:tr>
      <w:tr>
        <w:tblPrEx>
          <w:tblCellMar>
            <w:top w:w="100" w:type="dxa"/>
            <w:left w:w="100" w:type="dxa"/>
            <w:bottom w:w="100" w:type="dxa"/>
            <w:right w:w="100" w:type="dxa"/>
          </w:tblCellMar>
        </w:tblPrEx>
        <w:trPr>
          <w:trHeight w:val="1040" w:hRule="atLeast"/>
        </w:trPr>
        <w:tc>
          <w:tcPr>
            <w:tcW w:w="8806" w:type="dxa"/>
            <w:gridSpan w:val="7"/>
            <w:tcBorders>
              <w:top w:val="single" w:color="000000" w:sz="8" w:space="0"/>
              <w:left w:val="single" w:color="000000" w:sz="8" w:space="0"/>
              <w:bottom w:val="single" w:color="000000" w:sz="8" w:space="0"/>
              <w:right w:val="single" w:color="000000" w:sz="8" w:space="0"/>
            </w:tcBorders>
          </w:tcPr>
          <w:p>
            <w:pPr>
              <w:ind w:left="0" w:hanging="2"/>
              <w:jc w:val="both"/>
              <w:rPr>
                <w:rFonts w:ascii="Times New Roman" w:hAnsi="Times New Roman" w:eastAsia="Times New Roman" w:cs="Times New Roman"/>
              </w:rPr>
            </w:pPr>
          </w:p>
          <w:p>
            <w:pPr>
              <w:ind w:left="0" w:hanging="2"/>
              <w:jc w:val="both"/>
              <w:rPr>
                <w:rFonts w:ascii="Times New Roman" w:hAnsi="Times New Roman" w:eastAsia="Times New Roman" w:cs="Times New Roman"/>
              </w:rPr>
            </w:pPr>
          </w:p>
          <w:p>
            <w:pPr>
              <w:ind w:left="0" w:hanging="2"/>
              <w:jc w:val="both"/>
              <w:rPr>
                <w:rFonts w:ascii="Times New Roman" w:hAnsi="Times New Roman" w:eastAsia="Times New Roman" w:cs="Times New Roman"/>
              </w:rPr>
            </w:pPr>
          </w:p>
          <w:p>
            <w:pPr>
              <w:ind w:left="0" w:hanging="2"/>
              <w:jc w:val="both"/>
              <w:rPr>
                <w:rFonts w:ascii="Times New Roman" w:hAnsi="Times New Roman" w:eastAsia="Times New Roman" w:cs="Times New Roman"/>
              </w:rPr>
            </w:pPr>
          </w:p>
        </w:tc>
      </w:tr>
      <w:tr>
        <w:tblPrEx>
          <w:tblCellMar>
            <w:top w:w="100" w:type="dxa"/>
            <w:left w:w="100" w:type="dxa"/>
            <w:bottom w:w="100" w:type="dxa"/>
            <w:right w:w="100" w:type="dxa"/>
          </w:tblCellMar>
        </w:tblPrEx>
        <w:trPr>
          <w:trHeight w:val="620" w:hRule="atLeast"/>
        </w:trPr>
        <w:tc>
          <w:tcPr>
            <w:tcW w:w="8806" w:type="dxa"/>
            <w:gridSpan w:val="7"/>
            <w:tcBorders>
              <w:top w:val="single" w:color="000000" w:sz="8" w:space="0"/>
              <w:left w:val="single" w:color="000000" w:sz="8" w:space="0"/>
              <w:bottom w:val="single" w:color="000000" w:sz="8" w:space="0"/>
              <w:right w:val="single" w:color="000000" w:sz="8" w:space="0"/>
            </w:tcBorders>
            <w:shd w:val="clear" w:color="auto" w:fill="EEECE1"/>
          </w:tcPr>
          <w:p>
            <w:pPr>
              <w:ind w:left="0" w:hanging="2"/>
              <w:jc w:val="center"/>
              <w:rPr>
                <w:rFonts w:ascii="Times New Roman" w:hAnsi="Times New Roman" w:cs="Times New Roman"/>
              </w:rPr>
            </w:pPr>
            <w:r>
              <w:rPr>
                <w:rFonts w:ascii="Times New Roman" w:hAnsi="Times New Roman" w:eastAsia="Times New Roman" w:cs="Times New Roman"/>
              </w:rPr>
              <w:t>DESCRIÇÃO DAS ATIVIDADES</w:t>
            </w:r>
          </w:p>
        </w:tc>
      </w:tr>
      <w:tr>
        <w:tblPrEx>
          <w:tblCellMar>
            <w:top w:w="100" w:type="dxa"/>
            <w:left w:w="100" w:type="dxa"/>
            <w:bottom w:w="100" w:type="dxa"/>
            <w:right w:w="100" w:type="dxa"/>
          </w:tblCellMar>
        </w:tblPrEx>
        <w:trPr>
          <w:trHeight w:val="1155" w:hRule="atLeast"/>
        </w:trPr>
        <w:tc>
          <w:tcPr>
            <w:tcW w:w="8806" w:type="dxa"/>
            <w:gridSpan w:val="7"/>
            <w:tcBorders>
              <w:top w:val="single" w:color="000000" w:sz="8" w:space="0"/>
              <w:left w:val="single" w:color="000000" w:sz="8" w:space="0"/>
              <w:bottom w:val="single" w:color="000000" w:sz="8" w:space="0"/>
              <w:right w:val="single" w:color="000000" w:sz="8" w:space="0"/>
            </w:tcBorders>
          </w:tcPr>
          <w:p>
            <w:pPr>
              <w:ind w:left="0" w:hanging="2"/>
              <w:jc w:val="both"/>
              <w:rPr>
                <w:rFonts w:ascii="Times New Roman" w:hAnsi="Times New Roman" w:eastAsia="Times New Roman" w:cs="Times New Roman"/>
              </w:rPr>
            </w:pPr>
          </w:p>
        </w:tc>
      </w:tr>
      <w:tr>
        <w:tblPrEx>
          <w:tblCellMar>
            <w:top w:w="100" w:type="dxa"/>
            <w:left w:w="100" w:type="dxa"/>
            <w:bottom w:w="100" w:type="dxa"/>
            <w:right w:w="100" w:type="dxa"/>
          </w:tblCellMar>
        </w:tblPrEx>
        <w:trPr>
          <w:trHeight w:val="600" w:hRule="atLeast"/>
        </w:trPr>
        <w:tc>
          <w:tcPr>
            <w:tcW w:w="8806" w:type="dxa"/>
            <w:gridSpan w:val="7"/>
            <w:tcBorders>
              <w:top w:val="single" w:color="000000" w:sz="8" w:space="0"/>
              <w:left w:val="single" w:color="000000" w:sz="8" w:space="0"/>
              <w:bottom w:val="single" w:color="000000" w:sz="8" w:space="0"/>
              <w:right w:val="single" w:color="000000" w:sz="8" w:space="0"/>
            </w:tcBorders>
            <w:shd w:val="clear" w:color="auto" w:fill="EEECE1"/>
          </w:tcPr>
          <w:p>
            <w:pPr>
              <w:ind w:left="0" w:hanging="2"/>
              <w:jc w:val="center"/>
              <w:rPr>
                <w:rFonts w:ascii="Times New Roman" w:hAnsi="Times New Roman" w:cs="Times New Roman"/>
              </w:rPr>
            </w:pPr>
            <w:r>
              <w:rPr>
                <w:rFonts w:ascii="Times New Roman" w:hAnsi="Times New Roman" w:eastAsia="Times New Roman" w:cs="Times New Roman"/>
              </w:rPr>
              <w:t>CRITÉRIOS DE AVALIAÇÃO</w:t>
            </w:r>
          </w:p>
        </w:tc>
      </w:tr>
      <w:tr>
        <w:tblPrEx>
          <w:tblCellMar>
            <w:top w:w="100" w:type="dxa"/>
            <w:left w:w="100" w:type="dxa"/>
            <w:bottom w:w="100" w:type="dxa"/>
            <w:right w:w="100" w:type="dxa"/>
          </w:tblCellMar>
        </w:tblPrEx>
        <w:trPr>
          <w:trHeight w:val="1087" w:hRule="atLeast"/>
        </w:trPr>
        <w:tc>
          <w:tcPr>
            <w:tcW w:w="8806" w:type="dxa"/>
            <w:gridSpan w:val="7"/>
            <w:tcBorders>
              <w:top w:val="single" w:color="000000" w:sz="8" w:space="0"/>
              <w:left w:val="single" w:color="000000" w:sz="8" w:space="0"/>
              <w:bottom w:val="single" w:color="000000" w:sz="8" w:space="0"/>
              <w:right w:val="single" w:color="000000" w:sz="8" w:space="0"/>
            </w:tcBorders>
          </w:tcPr>
          <w:p>
            <w:pPr>
              <w:ind w:left="0" w:hanging="2"/>
              <w:jc w:val="both"/>
              <w:rPr>
                <w:rFonts w:ascii="Times New Roman" w:hAnsi="Times New Roman" w:cs="Times New Roman"/>
              </w:rPr>
            </w:pPr>
            <w:r>
              <w:rPr>
                <w:rFonts w:ascii="Times New Roman" w:hAnsi="Times New Roman" w:eastAsia="Times New Roman" w:cs="Times New Roman"/>
              </w:rPr>
              <w:t>Ø  Avaliação do Professor Orientador da UFOP.</w:t>
            </w:r>
          </w:p>
          <w:p>
            <w:pPr>
              <w:ind w:left="0" w:hanging="2"/>
              <w:jc w:val="both"/>
              <w:rPr>
                <w:rFonts w:ascii="Times New Roman" w:hAnsi="Times New Roman" w:cs="Times New Roman"/>
              </w:rPr>
            </w:pPr>
            <w:r>
              <w:rPr>
                <w:rFonts w:ascii="Times New Roman" w:hAnsi="Times New Roman" w:eastAsia="Times New Roman" w:cs="Times New Roman"/>
              </w:rPr>
              <w:t>Ø  Avaliação do Professor Supervisor do Campo de Estágio.</w:t>
            </w:r>
          </w:p>
          <w:p>
            <w:pPr>
              <w:ind w:left="0" w:hanging="2"/>
              <w:jc w:val="both"/>
              <w:rPr>
                <w:rFonts w:ascii="Times New Roman" w:hAnsi="Times New Roman" w:cs="Times New Roman"/>
              </w:rPr>
            </w:pPr>
            <w:r>
              <w:rPr>
                <w:rFonts w:ascii="Times New Roman" w:hAnsi="Times New Roman" w:eastAsia="Times New Roman" w:cs="Times New Roman"/>
              </w:rPr>
              <w:t>Ø  No final do estágio o aluno irá apresentar ao Professor Orientador da UFOP relatório das atividades realizadas.</w:t>
            </w:r>
          </w:p>
        </w:tc>
      </w:tr>
      <w:tr>
        <w:tblPrEx>
          <w:tblCellMar>
            <w:top w:w="100" w:type="dxa"/>
            <w:left w:w="100" w:type="dxa"/>
            <w:bottom w:w="100" w:type="dxa"/>
            <w:right w:w="100" w:type="dxa"/>
          </w:tblCellMar>
        </w:tblPrEx>
        <w:trPr>
          <w:trHeight w:val="200" w:hRule="atLeast"/>
        </w:trPr>
        <w:tc>
          <w:tcPr>
            <w:tcW w:w="2379" w:type="dxa"/>
            <w:tcBorders>
              <w:top w:val="single" w:color="000000" w:sz="8" w:space="0"/>
            </w:tcBorders>
          </w:tcPr>
          <w:p>
            <w:pPr>
              <w:ind w:left="0" w:hanging="2"/>
              <w:rPr>
                <w:rFonts w:ascii="Times New Roman" w:hAnsi="Times New Roman" w:eastAsia="Times New Roman" w:cs="Times New Roman"/>
              </w:rPr>
            </w:pPr>
          </w:p>
        </w:tc>
        <w:tc>
          <w:tcPr>
            <w:tcW w:w="1592" w:type="dxa"/>
            <w:tcBorders>
              <w:top w:val="single" w:color="000000" w:sz="8" w:space="0"/>
            </w:tcBorders>
          </w:tcPr>
          <w:p>
            <w:pPr>
              <w:ind w:left="0" w:hanging="2"/>
              <w:rPr>
                <w:rFonts w:ascii="Times New Roman" w:hAnsi="Times New Roman" w:eastAsia="Times New Roman" w:cs="Times New Roman"/>
              </w:rPr>
            </w:pPr>
          </w:p>
        </w:tc>
        <w:tc>
          <w:tcPr>
            <w:tcW w:w="790" w:type="dxa"/>
            <w:tcBorders>
              <w:top w:val="single" w:color="000000" w:sz="8" w:space="0"/>
            </w:tcBorders>
          </w:tcPr>
          <w:p>
            <w:pPr>
              <w:ind w:left="0" w:hanging="2"/>
              <w:rPr>
                <w:rFonts w:ascii="Times New Roman" w:hAnsi="Times New Roman" w:eastAsia="Times New Roman" w:cs="Times New Roman"/>
              </w:rPr>
            </w:pPr>
          </w:p>
        </w:tc>
        <w:tc>
          <w:tcPr>
            <w:tcW w:w="791" w:type="dxa"/>
            <w:tcBorders>
              <w:top w:val="single" w:color="000000" w:sz="8" w:space="0"/>
            </w:tcBorders>
          </w:tcPr>
          <w:p>
            <w:pPr>
              <w:ind w:left="0" w:hanging="2"/>
              <w:rPr>
                <w:rFonts w:ascii="Times New Roman" w:hAnsi="Times New Roman" w:eastAsia="Times New Roman" w:cs="Times New Roman"/>
              </w:rPr>
            </w:pPr>
          </w:p>
        </w:tc>
        <w:tc>
          <w:tcPr>
            <w:tcW w:w="793" w:type="dxa"/>
            <w:tcBorders>
              <w:top w:val="single" w:color="000000" w:sz="8" w:space="0"/>
            </w:tcBorders>
          </w:tcPr>
          <w:p>
            <w:pPr>
              <w:ind w:left="0" w:hanging="2"/>
              <w:rPr>
                <w:rFonts w:ascii="Times New Roman" w:hAnsi="Times New Roman" w:eastAsia="Times New Roman" w:cs="Times New Roman"/>
              </w:rPr>
            </w:pPr>
          </w:p>
        </w:tc>
        <w:tc>
          <w:tcPr>
            <w:tcW w:w="807" w:type="dxa"/>
            <w:tcBorders>
              <w:top w:val="single" w:color="000000" w:sz="8" w:space="0"/>
            </w:tcBorders>
          </w:tcPr>
          <w:p>
            <w:pPr>
              <w:ind w:left="0" w:hanging="2"/>
              <w:rPr>
                <w:rFonts w:ascii="Times New Roman" w:hAnsi="Times New Roman" w:eastAsia="Times New Roman" w:cs="Times New Roman"/>
              </w:rPr>
            </w:pPr>
          </w:p>
        </w:tc>
        <w:tc>
          <w:tcPr>
            <w:tcW w:w="1654" w:type="dxa"/>
            <w:tcBorders>
              <w:top w:val="single" w:color="000000" w:sz="8" w:space="0"/>
            </w:tcBorders>
          </w:tcPr>
          <w:p>
            <w:pPr>
              <w:ind w:left="0" w:hanging="2"/>
              <w:rPr>
                <w:rFonts w:ascii="Times New Roman" w:hAnsi="Times New Roman" w:eastAsia="Times New Roman" w:cs="Times New Roman"/>
              </w:rPr>
            </w:pPr>
          </w:p>
        </w:tc>
      </w:tr>
    </w:tbl>
    <w:p>
      <w:pPr>
        <w:ind w:left="0" w:hanging="2"/>
        <w:jc w:val="center"/>
        <w:rPr>
          <w:rFonts w:ascii="Times New Roman" w:hAnsi="Times New Roman" w:cs="Times New Roman"/>
        </w:rPr>
      </w:pPr>
      <w:r>
        <w:rPr>
          <w:rFonts w:ascii="Times New Roman" w:hAnsi="Times New Roman" w:eastAsia="Times New Roman" w:cs="Times New Roman"/>
        </w:rPr>
        <w:t>Ouro Preto   </w:t>
      </w:r>
      <w:r>
        <w:rPr>
          <w:rFonts w:ascii="Times New Roman" w:hAnsi="Times New Roman" w:eastAsia="Times New Roman" w:cs="Times New Roman"/>
        </w:rPr>
        <w:tab/>
      </w:r>
      <w:r>
        <w:rPr>
          <w:rFonts w:ascii="Times New Roman" w:hAnsi="Times New Roman" w:eastAsia="Times New Roman" w:cs="Times New Roman"/>
        </w:rPr>
        <w:t>de                              </w:t>
      </w:r>
      <w:r>
        <w:rPr>
          <w:rFonts w:ascii="Times New Roman" w:hAnsi="Times New Roman" w:eastAsia="Times New Roman" w:cs="Times New Roman"/>
        </w:rPr>
        <w:tab/>
      </w:r>
      <w:r>
        <w:rPr>
          <w:rFonts w:ascii="Times New Roman" w:hAnsi="Times New Roman" w:eastAsia="Times New Roman" w:cs="Times New Roman"/>
        </w:rPr>
        <w:t>de            </w:t>
      </w:r>
      <w:r>
        <w:rPr>
          <w:rFonts w:ascii="Times New Roman" w:hAnsi="Times New Roman" w:eastAsia="Times New Roman" w:cs="Times New Roman"/>
        </w:rPr>
        <w:tab/>
      </w:r>
      <w:r>
        <w:rPr>
          <w:rFonts w:ascii="Times New Roman" w:hAnsi="Times New Roman" w:eastAsia="Times New Roman" w:cs="Times New Roman"/>
        </w:rPr>
        <w:t>.</w:t>
      </w:r>
    </w:p>
    <w:tbl>
      <w:tblPr>
        <w:tblStyle w:val="670"/>
        <w:tblW w:w="7400" w:type="dxa"/>
        <w:jc w:val="center"/>
        <w:tblLayout w:type="fixed"/>
        <w:tblCellMar>
          <w:top w:w="100" w:type="dxa"/>
          <w:left w:w="100" w:type="dxa"/>
          <w:bottom w:w="100" w:type="dxa"/>
          <w:right w:w="100" w:type="dxa"/>
        </w:tblCellMar>
      </w:tblPr>
      <w:tblGrid>
        <w:gridCol w:w="3800"/>
        <w:gridCol w:w="3600"/>
      </w:tblGrid>
      <w:tr>
        <w:tblPrEx>
          <w:tblCellMar>
            <w:top w:w="100" w:type="dxa"/>
            <w:left w:w="100" w:type="dxa"/>
            <w:bottom w:w="100" w:type="dxa"/>
            <w:right w:w="100" w:type="dxa"/>
          </w:tblCellMar>
        </w:tblPrEx>
        <w:trPr>
          <w:trHeight w:val="1016" w:hRule="atLeast"/>
          <w:jc w:val="center"/>
        </w:trPr>
        <w:tc>
          <w:tcPr>
            <w:tcW w:w="7400" w:type="dxa"/>
            <w:gridSpan w:val="2"/>
          </w:tcPr>
          <w:p>
            <w:pPr>
              <w:ind w:left="0" w:hanging="2"/>
              <w:rPr>
                <w:rFonts w:ascii="Times New Roman" w:hAnsi="Times New Roman" w:eastAsia="Times New Roman" w:cs="Times New Roman"/>
              </w:rPr>
            </w:pPr>
          </w:p>
          <w:p>
            <w:pPr>
              <w:ind w:left="0" w:hanging="2"/>
              <w:jc w:val="center"/>
              <w:rPr>
                <w:rFonts w:ascii="Times New Roman" w:hAnsi="Times New Roman" w:cs="Times New Roman"/>
              </w:rPr>
            </w:pPr>
            <w:r>
              <w:rPr>
                <w:rFonts w:ascii="Times New Roman" w:hAnsi="Times New Roman" w:eastAsia="Times New Roman" w:cs="Times New Roman"/>
              </w:rPr>
              <w:t>______________________________________</w:t>
            </w:r>
          </w:p>
          <w:p>
            <w:pPr>
              <w:ind w:left="0" w:hanging="2"/>
              <w:jc w:val="center"/>
              <w:rPr>
                <w:rFonts w:ascii="Times New Roman" w:hAnsi="Times New Roman" w:cs="Times New Roman"/>
              </w:rPr>
            </w:pPr>
            <w:r>
              <w:rPr>
                <w:rFonts w:ascii="Times New Roman" w:hAnsi="Times New Roman" w:eastAsia="Times New Roman" w:cs="Times New Roman"/>
              </w:rPr>
              <w:t>Estagiário</w:t>
            </w:r>
          </w:p>
        </w:tc>
      </w:tr>
      <w:tr>
        <w:tblPrEx>
          <w:tblCellMar>
            <w:top w:w="100" w:type="dxa"/>
            <w:left w:w="100" w:type="dxa"/>
            <w:bottom w:w="100" w:type="dxa"/>
            <w:right w:w="100" w:type="dxa"/>
          </w:tblCellMar>
        </w:tblPrEx>
        <w:trPr>
          <w:trHeight w:val="626" w:hRule="atLeast"/>
          <w:jc w:val="center"/>
        </w:trPr>
        <w:tc>
          <w:tcPr>
            <w:tcW w:w="3800" w:type="dxa"/>
          </w:tcPr>
          <w:p>
            <w:pPr>
              <w:ind w:left="0" w:hanging="2"/>
              <w:rPr>
                <w:rFonts w:ascii="Times New Roman" w:hAnsi="Times New Roman" w:eastAsia="Times New Roman" w:cs="Times New Roman"/>
              </w:rPr>
            </w:pPr>
          </w:p>
          <w:p>
            <w:pPr>
              <w:ind w:left="0" w:hanging="2"/>
              <w:jc w:val="center"/>
              <w:rPr>
                <w:rFonts w:ascii="Times New Roman" w:hAnsi="Times New Roman" w:cs="Times New Roman"/>
              </w:rPr>
            </w:pPr>
            <w:r>
              <w:rPr>
                <w:rFonts w:ascii="Times New Roman" w:hAnsi="Times New Roman" w:eastAsia="Times New Roman" w:cs="Times New Roman"/>
              </w:rPr>
              <w:t>____________________________________</w:t>
            </w:r>
          </w:p>
          <w:p>
            <w:pPr>
              <w:ind w:left="0" w:hanging="2"/>
              <w:jc w:val="center"/>
              <w:rPr>
                <w:rFonts w:ascii="Times New Roman" w:hAnsi="Times New Roman" w:cs="Times New Roman"/>
              </w:rPr>
            </w:pPr>
            <w:r>
              <w:rPr>
                <w:rFonts w:ascii="Times New Roman" w:hAnsi="Times New Roman" w:eastAsia="Times New Roman" w:cs="Times New Roman"/>
              </w:rPr>
              <w:t>Professor Orientador da UFOP</w:t>
            </w:r>
          </w:p>
        </w:tc>
        <w:tc>
          <w:tcPr>
            <w:tcW w:w="3600" w:type="dxa"/>
          </w:tcPr>
          <w:p>
            <w:pPr>
              <w:ind w:left="0" w:hanging="2"/>
              <w:rPr>
                <w:rFonts w:ascii="Times New Roman" w:hAnsi="Times New Roman" w:eastAsia="Times New Roman" w:cs="Times New Roman"/>
              </w:rPr>
            </w:pPr>
          </w:p>
          <w:p>
            <w:pPr>
              <w:ind w:left="0" w:hanging="2"/>
              <w:jc w:val="center"/>
              <w:rPr>
                <w:rFonts w:ascii="Times New Roman" w:hAnsi="Times New Roman" w:cs="Times New Roman"/>
              </w:rPr>
            </w:pPr>
            <w:r>
              <w:rPr>
                <w:rFonts w:ascii="Times New Roman" w:hAnsi="Times New Roman" w:eastAsia="Times New Roman" w:cs="Times New Roman"/>
              </w:rPr>
              <w:t>__________________________________</w:t>
            </w:r>
          </w:p>
          <w:p>
            <w:pPr>
              <w:ind w:left="0" w:hanging="2"/>
              <w:jc w:val="center"/>
              <w:rPr>
                <w:rFonts w:ascii="Times New Roman" w:hAnsi="Times New Roman" w:cs="Times New Roman"/>
              </w:rPr>
            </w:pPr>
            <w:r>
              <w:rPr>
                <w:rFonts w:ascii="Times New Roman" w:hAnsi="Times New Roman" w:eastAsia="Times New Roman" w:cs="Times New Roman"/>
              </w:rPr>
              <w:t>Supervisor do Campo de Estágio</w:t>
            </w:r>
          </w:p>
        </w:tc>
      </w:tr>
      <w:tr>
        <w:tblPrEx>
          <w:tblCellMar>
            <w:top w:w="100" w:type="dxa"/>
            <w:left w:w="100" w:type="dxa"/>
            <w:bottom w:w="100" w:type="dxa"/>
            <w:right w:w="100" w:type="dxa"/>
          </w:tblCellMar>
        </w:tblPrEx>
        <w:trPr>
          <w:trHeight w:val="626" w:hRule="atLeast"/>
          <w:jc w:val="center"/>
        </w:trPr>
        <w:tc>
          <w:tcPr>
            <w:tcW w:w="3800" w:type="dxa"/>
          </w:tcPr>
          <w:p>
            <w:pPr>
              <w:ind w:left="0" w:hanging="2"/>
              <w:rPr>
                <w:rFonts w:ascii="Times New Roman" w:hAnsi="Times New Roman" w:eastAsia="Times New Roman" w:cs="Times New Roman"/>
              </w:rPr>
            </w:pPr>
          </w:p>
        </w:tc>
        <w:tc>
          <w:tcPr>
            <w:tcW w:w="3600" w:type="dxa"/>
          </w:tcPr>
          <w:p>
            <w:pPr>
              <w:ind w:left="0" w:hanging="2"/>
              <w:jc w:val="right"/>
              <w:rPr>
                <w:rFonts w:ascii="Times New Roman" w:hAnsi="Times New Roman" w:eastAsia="Times New Roman" w:cs="Times New Roman"/>
              </w:rPr>
            </w:pPr>
          </w:p>
        </w:tc>
      </w:tr>
    </w:tbl>
    <w:p>
      <w:pPr>
        <w:ind w:left="0" w:hanging="2"/>
        <w:jc w:val="both"/>
        <w:rPr>
          <w:rFonts w:ascii="Times New Roman" w:hAnsi="Times New Roman" w:eastAsia="Times New Roman" w:cs="Times New Roman"/>
        </w:rPr>
      </w:pPr>
    </w:p>
    <w:p>
      <w:pPr>
        <w:ind w:left="0" w:hanging="2"/>
        <w:jc w:val="both"/>
        <w:rPr>
          <w:rFonts w:ascii="Times New Roman" w:hAnsi="Times New Roman" w:eastAsia="Times New Roman" w:cs="Times New Roman"/>
        </w:rPr>
      </w:pPr>
    </w:p>
    <w:p>
      <w:pPr>
        <w:ind w:left="0" w:hanging="2"/>
        <w:jc w:val="both"/>
        <w:rPr>
          <w:rFonts w:ascii="Times New Roman" w:hAnsi="Times New Roman" w:eastAsia="Times New Roman" w:cs="Times New Roman"/>
        </w:rPr>
      </w:pPr>
    </w:p>
    <w:p>
      <w:pPr>
        <w:ind w:left="0" w:hanging="2"/>
        <w:jc w:val="both"/>
        <w:rPr>
          <w:rFonts w:ascii="Times New Roman" w:hAnsi="Times New Roman" w:eastAsia="Times New Roman" w:cs="Times New Roman"/>
        </w:rPr>
      </w:pPr>
    </w:p>
    <w:p>
      <w:pPr>
        <w:ind w:left="0" w:hanging="2"/>
        <w:jc w:val="both"/>
        <w:rPr>
          <w:rFonts w:ascii="Times New Roman" w:hAnsi="Times New Roman" w:cs="Times New Roman"/>
        </w:rPr>
      </w:pPr>
      <w:r>
        <w:rPr>
          <w:rFonts w:ascii="Times New Roman" w:hAnsi="Times New Roman" w:eastAsia="Times New Roman" w:cs="Times New Roman"/>
        </w:rPr>
        <w:t>10. DECLARAÇÃO DE CONCLUSÃO DAS ATIVIDADES DE</w:t>
      </w:r>
      <w:r>
        <w:rPr>
          <w:rFonts w:ascii="Times New Roman" w:hAnsi="Times New Roman" w:cs="Times New Roman"/>
        </w:rPr>
        <w:t xml:space="preserve"> </w:t>
      </w:r>
      <w:r>
        <w:rPr>
          <w:rFonts w:ascii="Times New Roman" w:hAnsi="Times New Roman" w:eastAsia="Times New Roman" w:cs="Times New Roman"/>
        </w:rPr>
        <w:t>ESTÁGIO SUPERVISIONADO</w:t>
      </w:r>
    </w:p>
    <w:p>
      <w:pPr>
        <w:ind w:left="0" w:hanging="2"/>
        <w:rPr>
          <w:rFonts w:ascii="Times New Roman" w:hAnsi="Times New Roman" w:eastAsia="Times New Roman" w:cs="Times New Roman"/>
        </w:rPr>
      </w:pPr>
    </w:p>
    <w:p>
      <w:pPr>
        <w:ind w:left="0" w:hanging="2"/>
        <w:jc w:val="center"/>
        <w:rPr>
          <w:rFonts w:ascii="Times New Roman" w:hAnsi="Times New Roman" w:cs="Times New Roman"/>
        </w:rPr>
      </w:pPr>
      <w:r>
        <w:rPr>
          <w:rFonts w:ascii="Times New Roman" w:hAnsi="Times New Roman" w:eastAsia="Times New Roman" w:cs="Times New Roman"/>
        </w:rPr>
        <w:t>DECLARAÇÃO</w:t>
      </w:r>
    </w:p>
    <w:p>
      <w:pPr>
        <w:ind w:left="0" w:hanging="2"/>
        <w:jc w:val="both"/>
        <w:rPr>
          <w:rFonts w:ascii="Times New Roman" w:hAnsi="Times New Roman" w:eastAsia="Times New Roman" w:cs="Times New Roman"/>
        </w:rPr>
      </w:pPr>
    </w:p>
    <w:p>
      <w:pPr>
        <w:ind w:left="0" w:hanging="2"/>
        <w:jc w:val="both"/>
        <w:rPr>
          <w:rFonts w:ascii="Times New Roman" w:hAnsi="Times New Roman" w:cs="Times New Roman"/>
        </w:rPr>
      </w:pPr>
      <w:r>
        <w:rPr>
          <w:rFonts w:ascii="Times New Roman" w:hAnsi="Times New Roman" w:eastAsia="Times New Roman" w:cs="Times New Roman"/>
        </w:rPr>
        <w:t xml:space="preserve">Declaro, para fins de comprovação de realização de Estágio Supervisionado de ___________________________, junto ao Departamento de __________________ da Universidade Federal de Ouro Preto, que o(a) estagiário(a) ______________________________________________ cumpriu o </w:t>
      </w:r>
      <w:r>
        <w:rPr>
          <w:rFonts w:ascii="Times New Roman" w:hAnsi="Times New Roman" w:eastAsia="Times New Roman" w:cs="Times New Roman"/>
          <w:i/>
        </w:rPr>
        <w:t>Plano de Atividades no Campo de Estágio</w:t>
      </w:r>
      <w:r>
        <w:rPr>
          <w:rFonts w:ascii="Times New Roman" w:hAnsi="Times New Roman" w:eastAsia="Times New Roman" w:cs="Times New Roman"/>
        </w:rPr>
        <w:t>, respeitando a carga horária nele estipulada de ______ horas no total, tendo (  ) observado / (  ) regido na(s) turma(s) _______________________________ , do nível (  ) fundamental / (  ) médio no Campo de Estágio ____________________________________________________, sob minha supervisão.</w:t>
      </w:r>
    </w:p>
    <w:p>
      <w:pPr>
        <w:ind w:left="0" w:hanging="2"/>
        <w:jc w:val="both"/>
        <w:rPr>
          <w:rFonts w:ascii="Times New Roman" w:hAnsi="Times New Roman" w:eastAsia="Times New Roman" w:cs="Times New Roman"/>
        </w:rPr>
      </w:pPr>
    </w:p>
    <w:p>
      <w:pPr>
        <w:ind w:left="0" w:hanging="2"/>
        <w:jc w:val="both"/>
        <w:rPr>
          <w:rFonts w:ascii="Times New Roman" w:hAnsi="Times New Roman" w:eastAsia="Times New Roman" w:cs="Times New Roman"/>
        </w:rPr>
      </w:pPr>
    </w:p>
    <w:p>
      <w:pPr>
        <w:ind w:left="0" w:hanging="2"/>
        <w:jc w:val="right"/>
        <w:rPr>
          <w:rFonts w:ascii="Times New Roman" w:hAnsi="Times New Roman" w:cs="Times New Roman"/>
        </w:rPr>
      </w:pPr>
      <w:r>
        <w:rPr>
          <w:rFonts w:ascii="Times New Roman" w:hAnsi="Times New Roman" w:eastAsia="Times New Roman" w:cs="Times New Roman"/>
        </w:rPr>
        <w:t>________________, _____ de _______________ de 2018.</w:t>
      </w:r>
    </w:p>
    <w:p>
      <w:pPr>
        <w:ind w:left="0" w:hanging="2"/>
        <w:jc w:val="center"/>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jc w:val="center"/>
        <w:rPr>
          <w:rFonts w:ascii="Times New Roman" w:hAnsi="Times New Roman" w:cs="Times New Roman"/>
        </w:rPr>
      </w:pPr>
      <w:r>
        <w:rPr>
          <w:rFonts w:ascii="Times New Roman" w:hAnsi="Times New Roman" w:eastAsia="Times New Roman" w:cs="Times New Roman"/>
        </w:rPr>
        <w:t>_________________________________________________</w:t>
      </w:r>
    </w:p>
    <w:p>
      <w:pPr>
        <w:ind w:left="0" w:hanging="2"/>
        <w:jc w:val="center"/>
        <w:rPr>
          <w:rFonts w:ascii="Times New Roman" w:hAnsi="Times New Roman" w:cs="Times New Roman"/>
        </w:rPr>
      </w:pPr>
      <w:r>
        <w:rPr>
          <w:rFonts w:ascii="Times New Roman" w:hAnsi="Times New Roman" w:eastAsia="Times New Roman" w:cs="Times New Roman"/>
        </w:rPr>
        <w:t>Professor (a) supervisor(a) do Campo de Estágio</w:t>
      </w:r>
    </w:p>
    <w:p>
      <w:pPr>
        <w:ind w:left="0" w:hanging="2"/>
        <w:jc w:val="center"/>
        <w:rPr>
          <w:rFonts w:ascii="Times New Roman" w:hAnsi="Times New Roman" w:eastAsia="Times New Roman" w:cs="Times New Roman"/>
        </w:rPr>
      </w:pPr>
    </w:p>
    <w:tbl>
      <w:tblPr>
        <w:tblStyle w:val="671"/>
        <w:tblW w:w="8733" w:type="dxa"/>
        <w:tblInd w:w="99" w:type="dxa"/>
        <w:tblLayout w:type="fixed"/>
        <w:tblCellMar>
          <w:top w:w="0" w:type="dxa"/>
          <w:left w:w="108" w:type="dxa"/>
          <w:bottom w:w="0" w:type="dxa"/>
          <w:right w:w="108" w:type="dxa"/>
        </w:tblCellMar>
      </w:tblPr>
      <w:tblGrid>
        <w:gridCol w:w="1440"/>
        <w:gridCol w:w="1437"/>
        <w:gridCol w:w="1442"/>
        <w:gridCol w:w="1510"/>
        <w:gridCol w:w="1442"/>
        <w:gridCol w:w="1462"/>
      </w:tblGrid>
      <w:tr>
        <w:tblPrEx>
          <w:tblCellMar>
            <w:top w:w="0" w:type="dxa"/>
            <w:left w:w="108" w:type="dxa"/>
            <w:bottom w:w="0" w:type="dxa"/>
            <w:right w:w="108" w:type="dxa"/>
          </w:tblCellMar>
        </w:tblPrEx>
        <w:trPr>
          <w:trHeight w:val="1343" w:hRule="atLeast"/>
        </w:trPr>
        <w:tc>
          <w:tcPr>
            <w:tcW w:w="1440" w:type="dxa"/>
            <w:tcBorders>
              <w:top w:val="single" w:color="000000" w:sz="4" w:space="0"/>
              <w:left w:val="single" w:color="000000" w:sz="4" w:space="0"/>
              <w:bottom w:val="single" w:color="000000" w:sz="4" w:space="0"/>
            </w:tcBorders>
          </w:tcPr>
          <w:p>
            <w:pPr>
              <w:spacing w:after="240"/>
              <w:ind w:left="0" w:hanging="2"/>
              <w:jc w:val="center"/>
              <w:rPr>
                <w:rFonts w:ascii="Times New Roman" w:hAnsi="Times New Roman" w:cs="Times New Roman"/>
              </w:rPr>
            </w:pPr>
            <w:r>
              <w:rPr>
                <w:rFonts w:ascii="Times New Roman" w:hAnsi="Times New Roman" w:eastAsia="Times New Roman" w:cs="Times New Roman"/>
              </w:rPr>
              <w:t>DATA</w:t>
            </w:r>
          </w:p>
        </w:tc>
        <w:tc>
          <w:tcPr>
            <w:tcW w:w="1437" w:type="dxa"/>
            <w:tcBorders>
              <w:top w:val="single" w:color="000000" w:sz="4" w:space="0"/>
              <w:left w:val="single" w:color="000000" w:sz="4" w:space="0"/>
              <w:bottom w:val="single" w:color="000000" w:sz="4" w:space="0"/>
            </w:tcBorders>
          </w:tcPr>
          <w:p>
            <w:pPr>
              <w:spacing w:after="240"/>
              <w:ind w:left="0" w:hanging="2"/>
              <w:jc w:val="center"/>
              <w:rPr>
                <w:rFonts w:ascii="Times New Roman" w:hAnsi="Times New Roman" w:cs="Times New Roman"/>
              </w:rPr>
            </w:pPr>
            <w:r>
              <w:rPr>
                <w:rFonts w:ascii="Times New Roman" w:hAnsi="Times New Roman" w:eastAsia="Times New Roman" w:cs="Times New Roman"/>
              </w:rPr>
              <w:t>HORA</w:t>
            </w:r>
          </w:p>
          <w:p>
            <w:pPr>
              <w:spacing w:after="240"/>
              <w:ind w:left="0" w:hanging="2"/>
              <w:jc w:val="center"/>
              <w:rPr>
                <w:rFonts w:ascii="Times New Roman" w:hAnsi="Times New Roman" w:cs="Times New Roman"/>
              </w:rPr>
            </w:pPr>
            <w:r>
              <w:rPr>
                <w:rFonts w:ascii="Times New Roman" w:hAnsi="Times New Roman" w:eastAsia="Times New Roman" w:cs="Times New Roman"/>
              </w:rPr>
              <w:t>(início –fim)</w:t>
            </w:r>
          </w:p>
        </w:tc>
        <w:tc>
          <w:tcPr>
            <w:tcW w:w="1442" w:type="dxa"/>
            <w:tcBorders>
              <w:top w:val="single" w:color="000000" w:sz="4" w:space="0"/>
              <w:left w:val="single" w:color="000000" w:sz="4" w:space="0"/>
              <w:bottom w:val="single" w:color="000000" w:sz="4" w:space="0"/>
            </w:tcBorders>
          </w:tcPr>
          <w:p>
            <w:pPr>
              <w:spacing w:after="240"/>
              <w:ind w:left="0" w:hanging="2"/>
              <w:jc w:val="center"/>
              <w:rPr>
                <w:rFonts w:ascii="Times New Roman" w:hAnsi="Times New Roman" w:cs="Times New Roman"/>
              </w:rPr>
            </w:pPr>
            <w:r>
              <w:rPr>
                <w:rFonts w:ascii="Times New Roman" w:hAnsi="Times New Roman" w:eastAsia="Times New Roman" w:cs="Times New Roman"/>
              </w:rPr>
              <w:t>N. HORAS</w:t>
            </w:r>
          </w:p>
        </w:tc>
        <w:tc>
          <w:tcPr>
            <w:tcW w:w="1510" w:type="dxa"/>
            <w:tcBorders>
              <w:top w:val="single" w:color="000000" w:sz="4" w:space="0"/>
              <w:left w:val="single" w:color="000000" w:sz="4" w:space="0"/>
              <w:bottom w:val="single" w:color="000000" w:sz="4" w:space="0"/>
            </w:tcBorders>
          </w:tcPr>
          <w:p>
            <w:pPr>
              <w:spacing w:after="240"/>
              <w:ind w:left="0" w:hanging="2"/>
              <w:jc w:val="center"/>
              <w:rPr>
                <w:rFonts w:ascii="Times New Roman" w:hAnsi="Times New Roman" w:cs="Times New Roman"/>
              </w:rPr>
            </w:pPr>
            <w:r>
              <w:rPr>
                <w:rFonts w:ascii="Times New Roman" w:hAnsi="Times New Roman" w:eastAsia="Times New Roman" w:cs="Times New Roman"/>
              </w:rPr>
              <w:t>ATIVIDADE</w:t>
            </w:r>
          </w:p>
        </w:tc>
        <w:tc>
          <w:tcPr>
            <w:tcW w:w="1442" w:type="dxa"/>
            <w:tcBorders>
              <w:top w:val="single" w:color="000000" w:sz="4" w:space="0"/>
              <w:left w:val="single" w:color="000000" w:sz="4" w:space="0"/>
              <w:bottom w:val="single" w:color="000000" w:sz="4" w:space="0"/>
            </w:tcBorders>
          </w:tcPr>
          <w:p>
            <w:pPr>
              <w:spacing w:after="240"/>
              <w:ind w:left="0" w:hanging="2"/>
              <w:jc w:val="center"/>
              <w:rPr>
                <w:rFonts w:ascii="Times New Roman" w:hAnsi="Times New Roman" w:cs="Times New Roman"/>
              </w:rPr>
            </w:pPr>
            <w:r>
              <w:rPr>
                <w:rFonts w:ascii="Times New Roman" w:hAnsi="Times New Roman" w:eastAsia="Times New Roman" w:cs="Times New Roman"/>
              </w:rPr>
              <w:t>LUGAR</w:t>
            </w:r>
          </w:p>
          <w:p>
            <w:pPr>
              <w:spacing w:after="240"/>
              <w:ind w:left="0" w:hanging="2"/>
              <w:jc w:val="center"/>
              <w:rPr>
                <w:rFonts w:ascii="Times New Roman" w:hAnsi="Times New Roman" w:cs="Times New Roman"/>
              </w:rPr>
            </w:pPr>
            <w:r>
              <w:rPr>
                <w:rFonts w:ascii="Times New Roman" w:hAnsi="Times New Roman" w:eastAsia="Times New Roman" w:cs="Times New Roman"/>
              </w:rPr>
              <w:t>(sala de aula, lab., quadra, etc)</w:t>
            </w:r>
          </w:p>
        </w:tc>
        <w:tc>
          <w:tcPr>
            <w:tcW w:w="1462" w:type="dxa"/>
            <w:tcBorders>
              <w:top w:val="single" w:color="000000" w:sz="4" w:space="0"/>
              <w:left w:val="single" w:color="000000" w:sz="4" w:space="0"/>
              <w:bottom w:val="single" w:color="000000" w:sz="4" w:space="0"/>
              <w:right w:val="single" w:color="000000" w:sz="4" w:space="0"/>
            </w:tcBorders>
          </w:tcPr>
          <w:p>
            <w:pPr>
              <w:spacing w:after="240"/>
              <w:ind w:left="0" w:hanging="2"/>
              <w:jc w:val="center"/>
              <w:rPr>
                <w:rFonts w:ascii="Times New Roman" w:hAnsi="Times New Roman" w:cs="Times New Roman"/>
              </w:rPr>
            </w:pPr>
            <w:r>
              <w:rPr>
                <w:rFonts w:ascii="Times New Roman" w:hAnsi="Times New Roman" w:eastAsia="Times New Roman" w:cs="Times New Roman"/>
              </w:rPr>
              <w:t>VISTO</w:t>
            </w:r>
          </w:p>
          <w:p>
            <w:pPr>
              <w:spacing w:after="240"/>
              <w:ind w:left="0" w:hanging="2"/>
              <w:jc w:val="center"/>
              <w:rPr>
                <w:rFonts w:ascii="Times New Roman" w:hAnsi="Times New Roman" w:cs="Times New Roman"/>
              </w:rPr>
            </w:pPr>
            <w:r>
              <w:rPr>
                <w:rFonts w:ascii="Times New Roman" w:hAnsi="Times New Roman" w:eastAsia="Times New Roman" w:cs="Times New Roman"/>
              </w:rPr>
              <w:t>Prof. supervisor</w:t>
            </w:r>
          </w:p>
        </w:tc>
      </w:tr>
      <w:tr>
        <w:tblPrEx>
          <w:tblCellMar>
            <w:top w:w="0" w:type="dxa"/>
            <w:left w:w="108" w:type="dxa"/>
            <w:bottom w:w="0" w:type="dxa"/>
            <w:right w:w="108" w:type="dxa"/>
          </w:tblCellMar>
        </w:tblPrEx>
        <w:tc>
          <w:tcPr>
            <w:tcW w:w="1440" w:type="dxa"/>
            <w:tcBorders>
              <w:top w:val="single" w:color="000000" w:sz="4" w:space="0"/>
              <w:left w:val="single" w:color="000000" w:sz="4" w:space="0"/>
              <w:bottom w:val="single" w:color="000000" w:sz="4" w:space="0"/>
            </w:tcBorders>
          </w:tcPr>
          <w:p>
            <w:pPr>
              <w:spacing w:after="240"/>
              <w:ind w:left="0" w:hanging="2"/>
              <w:rPr>
                <w:rFonts w:ascii="Times New Roman" w:hAnsi="Times New Roman" w:eastAsia="Times New Roman" w:cs="Times New Roman"/>
              </w:rPr>
            </w:pPr>
          </w:p>
        </w:tc>
        <w:tc>
          <w:tcPr>
            <w:tcW w:w="1437" w:type="dxa"/>
            <w:tcBorders>
              <w:top w:val="single" w:color="000000" w:sz="4" w:space="0"/>
              <w:left w:val="single" w:color="000000" w:sz="4" w:space="0"/>
              <w:bottom w:val="single" w:color="000000" w:sz="4" w:space="0"/>
            </w:tcBorders>
          </w:tcPr>
          <w:p>
            <w:pPr>
              <w:spacing w:after="240"/>
              <w:ind w:left="0" w:hanging="2"/>
              <w:rPr>
                <w:rFonts w:ascii="Times New Roman" w:hAnsi="Times New Roman" w:eastAsia="Times New Roman" w:cs="Times New Roman"/>
              </w:rPr>
            </w:pPr>
          </w:p>
        </w:tc>
        <w:tc>
          <w:tcPr>
            <w:tcW w:w="1442" w:type="dxa"/>
            <w:tcBorders>
              <w:top w:val="single" w:color="000000" w:sz="4" w:space="0"/>
              <w:left w:val="single" w:color="000000" w:sz="4" w:space="0"/>
              <w:bottom w:val="single" w:color="000000" w:sz="4" w:space="0"/>
            </w:tcBorders>
          </w:tcPr>
          <w:p>
            <w:pPr>
              <w:spacing w:after="240"/>
              <w:ind w:left="0" w:hanging="2"/>
              <w:rPr>
                <w:rFonts w:ascii="Times New Roman" w:hAnsi="Times New Roman" w:eastAsia="Times New Roman" w:cs="Times New Roman"/>
              </w:rPr>
            </w:pPr>
          </w:p>
        </w:tc>
        <w:tc>
          <w:tcPr>
            <w:tcW w:w="1510" w:type="dxa"/>
            <w:tcBorders>
              <w:top w:val="single" w:color="000000" w:sz="4" w:space="0"/>
              <w:left w:val="single" w:color="000000" w:sz="4" w:space="0"/>
              <w:bottom w:val="single" w:color="000000" w:sz="4" w:space="0"/>
            </w:tcBorders>
          </w:tcPr>
          <w:p>
            <w:pPr>
              <w:spacing w:after="240"/>
              <w:ind w:left="0" w:hanging="2"/>
              <w:rPr>
                <w:rFonts w:ascii="Times New Roman" w:hAnsi="Times New Roman" w:eastAsia="Times New Roman" w:cs="Times New Roman"/>
              </w:rPr>
            </w:pPr>
          </w:p>
        </w:tc>
        <w:tc>
          <w:tcPr>
            <w:tcW w:w="1442" w:type="dxa"/>
            <w:tcBorders>
              <w:top w:val="single" w:color="000000" w:sz="4" w:space="0"/>
              <w:left w:val="single" w:color="000000" w:sz="4" w:space="0"/>
              <w:bottom w:val="single" w:color="000000" w:sz="4" w:space="0"/>
            </w:tcBorders>
          </w:tcPr>
          <w:p>
            <w:pPr>
              <w:spacing w:after="240"/>
              <w:ind w:left="0" w:hanging="2"/>
              <w:rPr>
                <w:rFonts w:ascii="Times New Roman" w:hAnsi="Times New Roman" w:eastAsia="Times New Roman" w:cs="Times New Roman"/>
              </w:rPr>
            </w:pPr>
          </w:p>
        </w:tc>
        <w:tc>
          <w:tcPr>
            <w:tcW w:w="1462" w:type="dxa"/>
            <w:tcBorders>
              <w:top w:val="single" w:color="000000" w:sz="4" w:space="0"/>
              <w:left w:val="single" w:color="000000" w:sz="4" w:space="0"/>
              <w:bottom w:val="single" w:color="000000" w:sz="4" w:space="0"/>
              <w:right w:val="single" w:color="000000" w:sz="4" w:space="0"/>
            </w:tcBorders>
          </w:tcPr>
          <w:p>
            <w:pPr>
              <w:spacing w:after="240"/>
              <w:ind w:left="0" w:hanging="2"/>
              <w:rPr>
                <w:rFonts w:ascii="Times New Roman" w:hAnsi="Times New Roman" w:eastAsia="Times New Roman" w:cs="Times New Roman"/>
              </w:rPr>
            </w:pPr>
          </w:p>
        </w:tc>
      </w:tr>
      <w:tr>
        <w:tblPrEx>
          <w:tblCellMar>
            <w:top w:w="0" w:type="dxa"/>
            <w:left w:w="108" w:type="dxa"/>
            <w:bottom w:w="0" w:type="dxa"/>
            <w:right w:w="108" w:type="dxa"/>
          </w:tblCellMar>
        </w:tblPrEx>
        <w:tc>
          <w:tcPr>
            <w:tcW w:w="1440" w:type="dxa"/>
            <w:tcBorders>
              <w:top w:val="single" w:color="000000" w:sz="4" w:space="0"/>
              <w:left w:val="single" w:color="000000" w:sz="4" w:space="0"/>
              <w:bottom w:val="single" w:color="000000" w:sz="4" w:space="0"/>
            </w:tcBorders>
          </w:tcPr>
          <w:p>
            <w:pPr>
              <w:spacing w:after="240"/>
              <w:ind w:left="0" w:hanging="2"/>
              <w:rPr>
                <w:rFonts w:ascii="Times New Roman" w:hAnsi="Times New Roman" w:eastAsia="Times New Roman" w:cs="Times New Roman"/>
              </w:rPr>
            </w:pPr>
          </w:p>
        </w:tc>
        <w:tc>
          <w:tcPr>
            <w:tcW w:w="1437" w:type="dxa"/>
            <w:tcBorders>
              <w:top w:val="single" w:color="000000" w:sz="4" w:space="0"/>
              <w:left w:val="single" w:color="000000" w:sz="4" w:space="0"/>
              <w:bottom w:val="single" w:color="000000" w:sz="4" w:space="0"/>
            </w:tcBorders>
          </w:tcPr>
          <w:p>
            <w:pPr>
              <w:spacing w:after="240"/>
              <w:ind w:left="0" w:hanging="2"/>
              <w:rPr>
                <w:rFonts w:ascii="Times New Roman" w:hAnsi="Times New Roman" w:eastAsia="Times New Roman" w:cs="Times New Roman"/>
              </w:rPr>
            </w:pPr>
          </w:p>
        </w:tc>
        <w:tc>
          <w:tcPr>
            <w:tcW w:w="1442" w:type="dxa"/>
            <w:tcBorders>
              <w:top w:val="single" w:color="000000" w:sz="4" w:space="0"/>
              <w:left w:val="single" w:color="000000" w:sz="4" w:space="0"/>
              <w:bottom w:val="single" w:color="000000" w:sz="4" w:space="0"/>
            </w:tcBorders>
          </w:tcPr>
          <w:p>
            <w:pPr>
              <w:spacing w:after="240"/>
              <w:ind w:left="0" w:hanging="2"/>
              <w:rPr>
                <w:rFonts w:ascii="Times New Roman" w:hAnsi="Times New Roman" w:eastAsia="Times New Roman" w:cs="Times New Roman"/>
              </w:rPr>
            </w:pPr>
          </w:p>
        </w:tc>
        <w:tc>
          <w:tcPr>
            <w:tcW w:w="1510" w:type="dxa"/>
            <w:tcBorders>
              <w:top w:val="single" w:color="000000" w:sz="4" w:space="0"/>
              <w:left w:val="single" w:color="000000" w:sz="4" w:space="0"/>
              <w:bottom w:val="single" w:color="000000" w:sz="4" w:space="0"/>
            </w:tcBorders>
          </w:tcPr>
          <w:p>
            <w:pPr>
              <w:spacing w:after="240"/>
              <w:ind w:left="0" w:hanging="2"/>
              <w:rPr>
                <w:rFonts w:ascii="Times New Roman" w:hAnsi="Times New Roman" w:eastAsia="Times New Roman" w:cs="Times New Roman"/>
              </w:rPr>
            </w:pPr>
          </w:p>
        </w:tc>
        <w:tc>
          <w:tcPr>
            <w:tcW w:w="1442" w:type="dxa"/>
            <w:tcBorders>
              <w:top w:val="single" w:color="000000" w:sz="4" w:space="0"/>
              <w:left w:val="single" w:color="000000" w:sz="4" w:space="0"/>
              <w:bottom w:val="single" w:color="000000" w:sz="4" w:space="0"/>
            </w:tcBorders>
          </w:tcPr>
          <w:p>
            <w:pPr>
              <w:spacing w:after="240"/>
              <w:ind w:left="0" w:hanging="2"/>
              <w:rPr>
                <w:rFonts w:ascii="Times New Roman" w:hAnsi="Times New Roman" w:eastAsia="Times New Roman" w:cs="Times New Roman"/>
              </w:rPr>
            </w:pPr>
          </w:p>
        </w:tc>
        <w:tc>
          <w:tcPr>
            <w:tcW w:w="1462" w:type="dxa"/>
            <w:tcBorders>
              <w:top w:val="single" w:color="000000" w:sz="4" w:space="0"/>
              <w:left w:val="single" w:color="000000" w:sz="4" w:space="0"/>
              <w:bottom w:val="single" w:color="000000" w:sz="4" w:space="0"/>
              <w:right w:val="single" w:color="000000" w:sz="4" w:space="0"/>
            </w:tcBorders>
          </w:tcPr>
          <w:p>
            <w:pPr>
              <w:spacing w:after="240"/>
              <w:ind w:left="0" w:hanging="2"/>
              <w:rPr>
                <w:rFonts w:ascii="Times New Roman" w:hAnsi="Times New Roman" w:eastAsia="Times New Roman" w:cs="Times New Roman"/>
              </w:rPr>
            </w:pPr>
          </w:p>
        </w:tc>
      </w:tr>
      <w:tr>
        <w:tblPrEx>
          <w:tblCellMar>
            <w:top w:w="0" w:type="dxa"/>
            <w:left w:w="108" w:type="dxa"/>
            <w:bottom w:w="0" w:type="dxa"/>
            <w:right w:w="108" w:type="dxa"/>
          </w:tblCellMar>
        </w:tblPrEx>
        <w:tc>
          <w:tcPr>
            <w:tcW w:w="1440" w:type="dxa"/>
            <w:tcBorders>
              <w:top w:val="single" w:color="000000" w:sz="4" w:space="0"/>
              <w:left w:val="single" w:color="000000" w:sz="4" w:space="0"/>
              <w:bottom w:val="single" w:color="000000" w:sz="4" w:space="0"/>
            </w:tcBorders>
          </w:tcPr>
          <w:p>
            <w:pPr>
              <w:spacing w:after="240"/>
              <w:ind w:left="0" w:hanging="2"/>
              <w:rPr>
                <w:rFonts w:ascii="Times New Roman" w:hAnsi="Times New Roman" w:eastAsia="Times New Roman" w:cs="Times New Roman"/>
              </w:rPr>
            </w:pPr>
          </w:p>
        </w:tc>
        <w:tc>
          <w:tcPr>
            <w:tcW w:w="1437" w:type="dxa"/>
            <w:tcBorders>
              <w:top w:val="single" w:color="000000" w:sz="4" w:space="0"/>
              <w:left w:val="single" w:color="000000" w:sz="4" w:space="0"/>
              <w:bottom w:val="single" w:color="000000" w:sz="4" w:space="0"/>
            </w:tcBorders>
          </w:tcPr>
          <w:p>
            <w:pPr>
              <w:spacing w:after="240"/>
              <w:ind w:left="0" w:hanging="2"/>
              <w:rPr>
                <w:rFonts w:ascii="Times New Roman" w:hAnsi="Times New Roman" w:eastAsia="Times New Roman" w:cs="Times New Roman"/>
              </w:rPr>
            </w:pPr>
          </w:p>
        </w:tc>
        <w:tc>
          <w:tcPr>
            <w:tcW w:w="1442" w:type="dxa"/>
            <w:tcBorders>
              <w:top w:val="single" w:color="000000" w:sz="4" w:space="0"/>
              <w:left w:val="single" w:color="000000" w:sz="4" w:space="0"/>
              <w:bottom w:val="single" w:color="000000" w:sz="4" w:space="0"/>
            </w:tcBorders>
          </w:tcPr>
          <w:p>
            <w:pPr>
              <w:spacing w:after="240"/>
              <w:ind w:left="0" w:hanging="2"/>
              <w:rPr>
                <w:rFonts w:ascii="Times New Roman" w:hAnsi="Times New Roman" w:eastAsia="Times New Roman" w:cs="Times New Roman"/>
              </w:rPr>
            </w:pPr>
          </w:p>
        </w:tc>
        <w:tc>
          <w:tcPr>
            <w:tcW w:w="1510" w:type="dxa"/>
            <w:tcBorders>
              <w:top w:val="single" w:color="000000" w:sz="4" w:space="0"/>
              <w:left w:val="single" w:color="000000" w:sz="4" w:space="0"/>
              <w:bottom w:val="single" w:color="000000" w:sz="4" w:space="0"/>
            </w:tcBorders>
          </w:tcPr>
          <w:p>
            <w:pPr>
              <w:spacing w:after="240"/>
              <w:ind w:left="0" w:hanging="2"/>
              <w:rPr>
                <w:rFonts w:ascii="Times New Roman" w:hAnsi="Times New Roman" w:eastAsia="Times New Roman" w:cs="Times New Roman"/>
              </w:rPr>
            </w:pPr>
          </w:p>
        </w:tc>
        <w:tc>
          <w:tcPr>
            <w:tcW w:w="1442" w:type="dxa"/>
            <w:tcBorders>
              <w:top w:val="single" w:color="000000" w:sz="4" w:space="0"/>
              <w:left w:val="single" w:color="000000" w:sz="4" w:space="0"/>
              <w:bottom w:val="single" w:color="000000" w:sz="4" w:space="0"/>
            </w:tcBorders>
          </w:tcPr>
          <w:p>
            <w:pPr>
              <w:spacing w:after="240"/>
              <w:ind w:left="0" w:hanging="2"/>
              <w:rPr>
                <w:rFonts w:ascii="Times New Roman" w:hAnsi="Times New Roman" w:eastAsia="Times New Roman" w:cs="Times New Roman"/>
              </w:rPr>
            </w:pPr>
          </w:p>
        </w:tc>
        <w:tc>
          <w:tcPr>
            <w:tcW w:w="1462" w:type="dxa"/>
            <w:tcBorders>
              <w:top w:val="single" w:color="000000" w:sz="4" w:space="0"/>
              <w:left w:val="single" w:color="000000" w:sz="4" w:space="0"/>
              <w:bottom w:val="single" w:color="000000" w:sz="4" w:space="0"/>
              <w:right w:val="single" w:color="000000" w:sz="4" w:space="0"/>
            </w:tcBorders>
          </w:tcPr>
          <w:p>
            <w:pPr>
              <w:spacing w:after="240"/>
              <w:ind w:left="0" w:hanging="2"/>
              <w:rPr>
                <w:rFonts w:ascii="Times New Roman" w:hAnsi="Times New Roman" w:eastAsia="Times New Roman" w:cs="Times New Roman"/>
              </w:rPr>
            </w:pPr>
          </w:p>
        </w:tc>
      </w:tr>
      <w:tr>
        <w:tblPrEx>
          <w:tblCellMar>
            <w:top w:w="0" w:type="dxa"/>
            <w:left w:w="108" w:type="dxa"/>
            <w:bottom w:w="0" w:type="dxa"/>
            <w:right w:w="108" w:type="dxa"/>
          </w:tblCellMar>
        </w:tblPrEx>
        <w:tc>
          <w:tcPr>
            <w:tcW w:w="1440" w:type="dxa"/>
            <w:tcBorders>
              <w:top w:val="single" w:color="000000" w:sz="4" w:space="0"/>
              <w:left w:val="single" w:color="000000" w:sz="4" w:space="0"/>
              <w:bottom w:val="single" w:color="000000" w:sz="4" w:space="0"/>
            </w:tcBorders>
          </w:tcPr>
          <w:p>
            <w:pPr>
              <w:spacing w:after="240"/>
              <w:ind w:left="0" w:hanging="2"/>
              <w:rPr>
                <w:rFonts w:ascii="Times New Roman" w:hAnsi="Times New Roman" w:eastAsia="Times New Roman" w:cs="Times New Roman"/>
              </w:rPr>
            </w:pPr>
          </w:p>
        </w:tc>
        <w:tc>
          <w:tcPr>
            <w:tcW w:w="1437" w:type="dxa"/>
            <w:tcBorders>
              <w:top w:val="single" w:color="000000" w:sz="4" w:space="0"/>
              <w:left w:val="single" w:color="000000" w:sz="4" w:space="0"/>
              <w:bottom w:val="single" w:color="000000" w:sz="4" w:space="0"/>
            </w:tcBorders>
          </w:tcPr>
          <w:p>
            <w:pPr>
              <w:spacing w:after="240"/>
              <w:ind w:left="0" w:hanging="2"/>
              <w:rPr>
                <w:rFonts w:ascii="Times New Roman" w:hAnsi="Times New Roman" w:eastAsia="Times New Roman" w:cs="Times New Roman"/>
              </w:rPr>
            </w:pPr>
          </w:p>
        </w:tc>
        <w:tc>
          <w:tcPr>
            <w:tcW w:w="1442" w:type="dxa"/>
            <w:tcBorders>
              <w:top w:val="single" w:color="000000" w:sz="4" w:space="0"/>
              <w:left w:val="single" w:color="000000" w:sz="4" w:space="0"/>
              <w:bottom w:val="single" w:color="000000" w:sz="4" w:space="0"/>
            </w:tcBorders>
          </w:tcPr>
          <w:p>
            <w:pPr>
              <w:spacing w:after="240"/>
              <w:ind w:left="0" w:hanging="2"/>
              <w:rPr>
                <w:rFonts w:ascii="Times New Roman" w:hAnsi="Times New Roman" w:eastAsia="Times New Roman" w:cs="Times New Roman"/>
              </w:rPr>
            </w:pPr>
          </w:p>
        </w:tc>
        <w:tc>
          <w:tcPr>
            <w:tcW w:w="1510" w:type="dxa"/>
            <w:tcBorders>
              <w:top w:val="single" w:color="000000" w:sz="4" w:space="0"/>
              <w:left w:val="single" w:color="000000" w:sz="4" w:space="0"/>
              <w:bottom w:val="single" w:color="000000" w:sz="4" w:space="0"/>
            </w:tcBorders>
          </w:tcPr>
          <w:p>
            <w:pPr>
              <w:spacing w:after="240"/>
              <w:ind w:left="0" w:hanging="2"/>
              <w:rPr>
                <w:rFonts w:ascii="Times New Roman" w:hAnsi="Times New Roman" w:eastAsia="Times New Roman" w:cs="Times New Roman"/>
              </w:rPr>
            </w:pPr>
          </w:p>
        </w:tc>
        <w:tc>
          <w:tcPr>
            <w:tcW w:w="1442" w:type="dxa"/>
            <w:tcBorders>
              <w:top w:val="single" w:color="000000" w:sz="4" w:space="0"/>
              <w:left w:val="single" w:color="000000" w:sz="4" w:space="0"/>
              <w:bottom w:val="single" w:color="000000" w:sz="4" w:space="0"/>
            </w:tcBorders>
          </w:tcPr>
          <w:p>
            <w:pPr>
              <w:spacing w:after="240"/>
              <w:ind w:left="0" w:hanging="2"/>
              <w:rPr>
                <w:rFonts w:ascii="Times New Roman" w:hAnsi="Times New Roman" w:eastAsia="Times New Roman" w:cs="Times New Roman"/>
              </w:rPr>
            </w:pPr>
          </w:p>
        </w:tc>
        <w:tc>
          <w:tcPr>
            <w:tcW w:w="1462" w:type="dxa"/>
            <w:tcBorders>
              <w:top w:val="single" w:color="000000" w:sz="4" w:space="0"/>
              <w:left w:val="single" w:color="000000" w:sz="4" w:space="0"/>
              <w:bottom w:val="single" w:color="000000" w:sz="4" w:space="0"/>
              <w:right w:val="single" w:color="000000" w:sz="4" w:space="0"/>
            </w:tcBorders>
          </w:tcPr>
          <w:p>
            <w:pPr>
              <w:spacing w:after="240"/>
              <w:ind w:left="0" w:hanging="2"/>
              <w:rPr>
                <w:rFonts w:ascii="Times New Roman" w:hAnsi="Times New Roman" w:eastAsia="Times New Roman" w:cs="Times New Roman"/>
              </w:rPr>
            </w:pPr>
          </w:p>
        </w:tc>
      </w:tr>
      <w:tr>
        <w:tblPrEx>
          <w:tblCellMar>
            <w:top w:w="0" w:type="dxa"/>
            <w:left w:w="108" w:type="dxa"/>
            <w:bottom w:w="0" w:type="dxa"/>
            <w:right w:w="108" w:type="dxa"/>
          </w:tblCellMar>
        </w:tblPrEx>
        <w:tc>
          <w:tcPr>
            <w:tcW w:w="1440" w:type="dxa"/>
            <w:tcBorders>
              <w:top w:val="single" w:color="000000" w:sz="4" w:space="0"/>
              <w:left w:val="single" w:color="000000" w:sz="4" w:space="0"/>
              <w:bottom w:val="single" w:color="000000" w:sz="4" w:space="0"/>
            </w:tcBorders>
          </w:tcPr>
          <w:p>
            <w:pPr>
              <w:spacing w:after="240"/>
              <w:ind w:left="0" w:hanging="2"/>
              <w:rPr>
                <w:rFonts w:ascii="Times New Roman" w:hAnsi="Times New Roman" w:eastAsia="Times New Roman" w:cs="Times New Roman"/>
              </w:rPr>
            </w:pPr>
          </w:p>
        </w:tc>
        <w:tc>
          <w:tcPr>
            <w:tcW w:w="1437" w:type="dxa"/>
            <w:tcBorders>
              <w:top w:val="single" w:color="000000" w:sz="4" w:space="0"/>
              <w:left w:val="single" w:color="000000" w:sz="4" w:space="0"/>
              <w:bottom w:val="single" w:color="000000" w:sz="4" w:space="0"/>
            </w:tcBorders>
          </w:tcPr>
          <w:p>
            <w:pPr>
              <w:spacing w:after="240"/>
              <w:ind w:left="0" w:hanging="2"/>
              <w:rPr>
                <w:rFonts w:ascii="Times New Roman" w:hAnsi="Times New Roman" w:eastAsia="Times New Roman" w:cs="Times New Roman"/>
              </w:rPr>
            </w:pPr>
          </w:p>
        </w:tc>
        <w:tc>
          <w:tcPr>
            <w:tcW w:w="1442" w:type="dxa"/>
            <w:tcBorders>
              <w:top w:val="single" w:color="000000" w:sz="4" w:space="0"/>
              <w:left w:val="single" w:color="000000" w:sz="4" w:space="0"/>
              <w:bottom w:val="single" w:color="000000" w:sz="4" w:space="0"/>
            </w:tcBorders>
          </w:tcPr>
          <w:p>
            <w:pPr>
              <w:spacing w:after="240"/>
              <w:ind w:left="0" w:hanging="2"/>
              <w:rPr>
                <w:rFonts w:ascii="Times New Roman" w:hAnsi="Times New Roman" w:eastAsia="Times New Roman" w:cs="Times New Roman"/>
              </w:rPr>
            </w:pPr>
          </w:p>
        </w:tc>
        <w:tc>
          <w:tcPr>
            <w:tcW w:w="1510" w:type="dxa"/>
            <w:tcBorders>
              <w:top w:val="single" w:color="000000" w:sz="4" w:space="0"/>
              <w:left w:val="single" w:color="000000" w:sz="4" w:space="0"/>
              <w:bottom w:val="single" w:color="000000" w:sz="4" w:space="0"/>
            </w:tcBorders>
          </w:tcPr>
          <w:p>
            <w:pPr>
              <w:spacing w:after="240"/>
              <w:ind w:left="0" w:hanging="2"/>
              <w:rPr>
                <w:rFonts w:ascii="Times New Roman" w:hAnsi="Times New Roman" w:eastAsia="Times New Roman" w:cs="Times New Roman"/>
              </w:rPr>
            </w:pPr>
          </w:p>
        </w:tc>
        <w:tc>
          <w:tcPr>
            <w:tcW w:w="1442" w:type="dxa"/>
            <w:tcBorders>
              <w:top w:val="single" w:color="000000" w:sz="4" w:space="0"/>
              <w:left w:val="single" w:color="000000" w:sz="4" w:space="0"/>
              <w:bottom w:val="single" w:color="000000" w:sz="4" w:space="0"/>
            </w:tcBorders>
          </w:tcPr>
          <w:p>
            <w:pPr>
              <w:spacing w:after="240"/>
              <w:ind w:left="0" w:hanging="2"/>
              <w:rPr>
                <w:rFonts w:ascii="Times New Roman" w:hAnsi="Times New Roman" w:eastAsia="Times New Roman" w:cs="Times New Roman"/>
              </w:rPr>
            </w:pPr>
          </w:p>
        </w:tc>
        <w:tc>
          <w:tcPr>
            <w:tcW w:w="1462" w:type="dxa"/>
            <w:tcBorders>
              <w:top w:val="single" w:color="000000" w:sz="4" w:space="0"/>
              <w:left w:val="single" w:color="000000" w:sz="4" w:space="0"/>
              <w:bottom w:val="single" w:color="000000" w:sz="4" w:space="0"/>
              <w:right w:val="single" w:color="000000" w:sz="4" w:space="0"/>
            </w:tcBorders>
          </w:tcPr>
          <w:p>
            <w:pPr>
              <w:spacing w:after="240"/>
              <w:ind w:left="0" w:hanging="2"/>
              <w:rPr>
                <w:rFonts w:ascii="Times New Roman" w:hAnsi="Times New Roman" w:eastAsia="Times New Roman" w:cs="Times New Roman"/>
              </w:rPr>
            </w:pPr>
          </w:p>
        </w:tc>
      </w:tr>
    </w:tbl>
    <w:p>
      <w:pPr>
        <w:spacing w:after="240"/>
        <w:ind w:left="0" w:hanging="2"/>
        <w:rPr>
          <w:rFonts w:ascii="Times New Roman" w:hAnsi="Times New Roman" w:eastAsia="Times New Roman" w:cs="Times New Roman"/>
        </w:rPr>
      </w:pPr>
    </w:p>
    <w:p>
      <w:pPr>
        <w:ind w:left="0" w:hanging="2"/>
        <w:rPr>
          <w:rFonts w:ascii="Times New Roman" w:hAnsi="Times New Roman" w:cs="Times New Roman"/>
        </w:rPr>
      </w:pPr>
      <w:r>
        <w:rPr>
          <w:rFonts w:ascii="Times New Roman" w:hAnsi="Times New Roman" w:eastAsia="Times New Roman" w:cs="Times New Roman"/>
        </w:rPr>
        <w:t xml:space="preserve">       _________________                    _____________________________________</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         Estagiário (a)                                Professor (a) supervisor (a) do Campo de Estágio</w:t>
      </w:r>
    </w:p>
    <w:p>
      <w:pPr>
        <w:ind w:left="0" w:hanging="2"/>
        <w:jc w:val="center"/>
        <w:rPr>
          <w:rFonts w:ascii="Times New Roman" w:hAnsi="Times New Roman" w:eastAsia="Times New Roman" w:cs="Times New Roman"/>
        </w:rPr>
      </w:pPr>
    </w:p>
    <w:p>
      <w:pPr>
        <w:ind w:left="0" w:hanging="2"/>
        <w:jc w:val="center"/>
        <w:rPr>
          <w:rFonts w:ascii="Times New Roman" w:hAnsi="Times New Roman" w:eastAsia="Times New Roman" w:cs="Times New Roman"/>
        </w:rPr>
      </w:pPr>
    </w:p>
    <w:p>
      <w:pPr>
        <w:ind w:left="0" w:hanging="2"/>
        <w:jc w:val="center"/>
        <w:rPr>
          <w:rFonts w:ascii="Times New Roman" w:hAnsi="Times New Roman" w:eastAsia="Times New Roman" w:cs="Times New Roman"/>
        </w:rPr>
      </w:pPr>
    </w:p>
    <w:p>
      <w:pPr>
        <w:ind w:left="0" w:hanging="2"/>
        <w:jc w:val="center"/>
        <w:rPr>
          <w:rFonts w:ascii="Times New Roman" w:hAnsi="Times New Roman" w:eastAsia="Times New Roman" w:cs="Times New Roman"/>
        </w:rPr>
      </w:pPr>
    </w:p>
    <w:p>
      <w:pPr>
        <w:ind w:left="0" w:hanging="2"/>
        <w:jc w:val="both"/>
        <w:rPr>
          <w:rFonts w:ascii="Times New Roman" w:hAnsi="Times New Roman" w:cs="Times New Roman"/>
        </w:rPr>
      </w:pPr>
      <w:r>
        <w:rPr>
          <w:rFonts w:ascii="Times New Roman" w:hAnsi="Times New Roman" w:eastAsia="Times New Roman" w:cs="Times New Roman"/>
        </w:rPr>
        <w:t>11. MODELO DE RELATÓRIO DE ESTÁGIO</w:t>
      </w:r>
    </w:p>
    <w:p>
      <w:pPr>
        <w:ind w:left="0" w:hanging="2"/>
        <w:jc w:val="both"/>
        <w:rPr>
          <w:rFonts w:ascii="Times New Roman" w:hAnsi="Times New Roman" w:eastAsia="Times New Roman" w:cs="Times New Roman"/>
        </w:rPr>
      </w:pPr>
    </w:p>
    <w:p>
      <w:pPr>
        <w:ind w:left="0" w:hanging="2"/>
        <w:jc w:val="center"/>
        <w:rPr>
          <w:rFonts w:ascii="Times New Roman" w:hAnsi="Times New Roman" w:eastAsia="Times New Roman" w:cs="Times New Roman"/>
        </w:rPr>
      </w:pPr>
    </w:p>
    <w:p>
      <w:pPr>
        <w:spacing w:after="200"/>
        <w:ind w:left="0" w:hanging="2"/>
        <w:jc w:val="center"/>
        <w:rPr>
          <w:rFonts w:ascii="Times New Roman" w:hAnsi="Times New Roman" w:cs="Times New Roman"/>
        </w:rPr>
      </w:pPr>
      <w:r>
        <w:rPr>
          <w:rFonts w:ascii="Times New Roman" w:hAnsi="Times New Roman" w:eastAsia="Times New Roman" w:cs="Times New Roman"/>
          <w:b/>
        </w:rPr>
        <w:t>MINISTÉRIO DA EDUCAÇÃO</w:t>
      </w:r>
    </w:p>
    <w:p>
      <w:pPr>
        <w:spacing w:after="200"/>
        <w:ind w:left="0" w:hanging="2"/>
        <w:jc w:val="center"/>
        <w:rPr>
          <w:rFonts w:ascii="Times New Roman" w:hAnsi="Times New Roman" w:cs="Times New Roman"/>
        </w:rPr>
      </w:pPr>
      <w:r>
        <w:rPr>
          <w:rFonts w:ascii="Times New Roman" w:hAnsi="Times New Roman" w:eastAsia="Times New Roman" w:cs="Times New Roman"/>
          <w:b/>
        </w:rPr>
        <w:t>UNIVERSIDADE FEDERAL DE OURO PRETO – UFOP</w:t>
      </w:r>
    </w:p>
    <w:p>
      <w:pPr>
        <w:spacing w:after="200"/>
        <w:ind w:left="0" w:hanging="2"/>
        <w:jc w:val="center"/>
        <w:rPr>
          <w:rFonts w:ascii="Times New Roman" w:hAnsi="Times New Roman" w:cs="Times New Roman"/>
        </w:rPr>
      </w:pPr>
      <w:r>
        <w:rPr>
          <w:rFonts w:ascii="Times New Roman" w:hAnsi="Times New Roman" w:eastAsia="Times New Roman" w:cs="Times New Roman"/>
          <w:b/>
        </w:rPr>
        <w:t>INSTITUTO DE CIÊNCIAS HUMANAS E SOCIAIS – ICHS</w:t>
      </w:r>
    </w:p>
    <w:p>
      <w:pPr>
        <w:spacing w:after="200"/>
        <w:ind w:left="0" w:hanging="2"/>
        <w:jc w:val="center"/>
        <w:rPr>
          <w:rFonts w:ascii="Times New Roman" w:hAnsi="Times New Roman" w:cs="Times New Roman"/>
        </w:rPr>
      </w:pPr>
      <w:r>
        <w:rPr>
          <w:rFonts w:ascii="Times New Roman" w:hAnsi="Times New Roman" w:eastAsia="Times New Roman" w:cs="Times New Roman"/>
          <w:b/>
        </w:rPr>
        <w:t>DEPARTAMENTO DE HISTÓRIA - DEHIS</w:t>
      </w:r>
    </w:p>
    <w:p>
      <w:pPr>
        <w:spacing w:after="200"/>
        <w:ind w:left="0" w:hanging="2"/>
        <w:jc w:val="center"/>
        <w:rPr>
          <w:rFonts w:ascii="Times New Roman" w:hAnsi="Times New Roman" w:cs="Times New Roman"/>
        </w:rPr>
      </w:pPr>
      <w:r>
        <w:rPr>
          <w:rFonts w:ascii="Times New Roman" w:hAnsi="Times New Roman" w:eastAsia="Times New Roman" w:cs="Times New Roman"/>
          <w:b/>
        </w:rPr>
        <w:t>LICENCIATURA EM HISTÓRIA</w:t>
      </w:r>
    </w:p>
    <w:p>
      <w:pPr>
        <w:spacing w:after="200"/>
        <w:ind w:left="0" w:hanging="2"/>
        <w:rPr>
          <w:rFonts w:ascii="Times New Roman" w:hAnsi="Times New Roman" w:eastAsia="Times New Roman" w:cs="Times New Roman"/>
        </w:rPr>
      </w:pPr>
    </w:p>
    <w:p>
      <w:pPr>
        <w:spacing w:after="200"/>
        <w:ind w:left="0" w:hanging="2"/>
        <w:jc w:val="center"/>
        <w:rPr>
          <w:rFonts w:ascii="Times New Roman" w:hAnsi="Times New Roman" w:eastAsia="Times New Roman" w:cs="Times New Roman"/>
        </w:rPr>
      </w:pPr>
    </w:p>
    <w:p>
      <w:pPr>
        <w:spacing w:after="200"/>
        <w:ind w:left="0" w:hanging="2"/>
        <w:jc w:val="center"/>
        <w:rPr>
          <w:rFonts w:ascii="Times New Roman" w:hAnsi="Times New Roman" w:eastAsia="Times New Roman" w:cs="Times New Roman"/>
        </w:rPr>
      </w:pPr>
    </w:p>
    <w:p>
      <w:pPr>
        <w:spacing w:after="200"/>
        <w:ind w:left="0" w:hanging="2"/>
        <w:jc w:val="center"/>
        <w:rPr>
          <w:rFonts w:ascii="Times New Roman" w:hAnsi="Times New Roman" w:cs="Times New Roman"/>
        </w:rPr>
      </w:pPr>
      <w:r>
        <w:rPr>
          <w:rFonts w:ascii="Times New Roman" w:hAnsi="Times New Roman" w:eastAsia="Times New Roman" w:cs="Times New Roman"/>
          <w:b/>
        </w:rPr>
        <w:t>(NOME Estagiário)</w:t>
      </w:r>
    </w:p>
    <w:p>
      <w:pPr>
        <w:spacing w:after="200"/>
        <w:ind w:left="0" w:hanging="2"/>
        <w:jc w:val="center"/>
        <w:rPr>
          <w:rFonts w:ascii="Times New Roman" w:hAnsi="Times New Roman" w:eastAsia="Times New Roman" w:cs="Times New Roman"/>
        </w:rPr>
      </w:pPr>
    </w:p>
    <w:p>
      <w:pPr>
        <w:spacing w:after="200"/>
        <w:ind w:left="0" w:hanging="2"/>
        <w:jc w:val="center"/>
        <w:rPr>
          <w:rFonts w:ascii="Times New Roman" w:hAnsi="Times New Roman" w:eastAsia="Times New Roman" w:cs="Times New Roman"/>
        </w:rPr>
      </w:pPr>
    </w:p>
    <w:p>
      <w:pPr>
        <w:spacing w:after="200"/>
        <w:ind w:left="0" w:hanging="2"/>
        <w:jc w:val="center"/>
        <w:rPr>
          <w:rFonts w:ascii="Times New Roman" w:hAnsi="Times New Roman" w:eastAsia="Times New Roman" w:cs="Times New Roman"/>
        </w:rPr>
      </w:pPr>
    </w:p>
    <w:p>
      <w:pPr>
        <w:spacing w:after="200"/>
        <w:ind w:left="0" w:hanging="2"/>
        <w:jc w:val="center"/>
        <w:rPr>
          <w:rFonts w:ascii="Times New Roman" w:hAnsi="Times New Roman" w:cs="Times New Roman"/>
        </w:rPr>
      </w:pPr>
      <w:r>
        <w:rPr>
          <w:rFonts w:ascii="Times New Roman" w:hAnsi="Times New Roman" w:eastAsia="Times New Roman" w:cs="Times New Roman"/>
          <w:b/>
        </w:rPr>
        <w:t xml:space="preserve">RELATÓRIO DE ATIVIDADES </w:t>
      </w:r>
    </w:p>
    <w:p>
      <w:pPr>
        <w:spacing w:after="200"/>
        <w:ind w:left="0" w:hanging="2"/>
        <w:jc w:val="center"/>
        <w:rPr>
          <w:rFonts w:ascii="Times New Roman" w:hAnsi="Times New Roman" w:cs="Times New Roman"/>
        </w:rPr>
      </w:pPr>
      <w:r>
        <w:rPr>
          <w:rFonts w:ascii="Times New Roman" w:hAnsi="Times New Roman" w:eastAsia="Times New Roman" w:cs="Times New Roman"/>
          <w:b/>
        </w:rPr>
        <w:t>ESTÁGIO SUPERVISIONADO DE LICENCIATURA</w:t>
      </w:r>
    </w:p>
    <w:p>
      <w:pPr>
        <w:spacing w:after="200"/>
        <w:ind w:left="0" w:hanging="2"/>
        <w:jc w:val="center"/>
        <w:rPr>
          <w:rFonts w:ascii="Times New Roman" w:hAnsi="Times New Roman" w:cs="Times New Roman"/>
        </w:rPr>
      </w:pPr>
      <w:r>
        <w:rPr>
          <w:rFonts w:ascii="Times New Roman" w:hAnsi="Times New Roman" w:eastAsia="Times New Roman" w:cs="Times New Roman"/>
          <w:b/>
        </w:rPr>
        <w:t>EM HISTÓRIA</w:t>
      </w:r>
    </w:p>
    <w:p>
      <w:pPr>
        <w:spacing w:after="200"/>
        <w:ind w:left="0" w:hanging="2"/>
        <w:jc w:val="center"/>
        <w:rPr>
          <w:rFonts w:ascii="Times New Roman" w:hAnsi="Times New Roman" w:eastAsia="Times New Roman" w:cs="Times New Roman"/>
        </w:rPr>
      </w:pPr>
    </w:p>
    <w:p>
      <w:pPr>
        <w:spacing w:after="200"/>
        <w:ind w:left="0" w:hanging="2"/>
        <w:jc w:val="center"/>
        <w:rPr>
          <w:rFonts w:ascii="Times New Roman" w:hAnsi="Times New Roman" w:eastAsia="Times New Roman" w:cs="Times New Roman"/>
        </w:rPr>
      </w:pPr>
    </w:p>
    <w:p>
      <w:pPr>
        <w:spacing w:after="200"/>
        <w:ind w:left="0" w:hanging="2"/>
        <w:jc w:val="center"/>
        <w:rPr>
          <w:rFonts w:ascii="Times New Roman" w:hAnsi="Times New Roman" w:eastAsia="Times New Roman" w:cs="Times New Roman"/>
        </w:rPr>
      </w:pPr>
    </w:p>
    <w:p>
      <w:pPr>
        <w:spacing w:after="200"/>
        <w:ind w:left="0" w:hanging="2"/>
        <w:rPr>
          <w:rFonts w:ascii="Times New Roman" w:hAnsi="Times New Roman" w:eastAsia="Times New Roman" w:cs="Times New Roman"/>
        </w:rPr>
      </w:pPr>
    </w:p>
    <w:p>
      <w:pPr>
        <w:spacing w:after="200"/>
        <w:ind w:left="0" w:hanging="2"/>
        <w:rPr>
          <w:rFonts w:ascii="Times New Roman" w:hAnsi="Times New Roman" w:eastAsia="Times New Roman" w:cs="Times New Roman"/>
        </w:rPr>
      </w:pPr>
    </w:p>
    <w:p>
      <w:pPr>
        <w:spacing w:after="200"/>
        <w:ind w:left="0" w:hanging="2"/>
        <w:jc w:val="center"/>
        <w:rPr>
          <w:rFonts w:ascii="Times New Roman" w:hAnsi="Times New Roman" w:eastAsia="Times New Roman" w:cs="Times New Roman"/>
        </w:rPr>
      </w:pPr>
    </w:p>
    <w:p>
      <w:pPr>
        <w:spacing w:after="200"/>
        <w:ind w:left="0" w:hanging="2"/>
        <w:jc w:val="center"/>
        <w:rPr>
          <w:rFonts w:ascii="Times New Roman" w:hAnsi="Times New Roman" w:cs="Times New Roman"/>
        </w:rPr>
      </w:pPr>
      <w:r>
        <w:rPr>
          <w:rFonts w:ascii="Times New Roman" w:hAnsi="Times New Roman" w:eastAsia="Times New Roman" w:cs="Times New Roman"/>
          <w:b/>
        </w:rPr>
        <w:t>MARIANA - MG</w:t>
      </w:r>
    </w:p>
    <w:p>
      <w:pPr>
        <w:spacing w:after="200"/>
        <w:ind w:left="0" w:hanging="2"/>
        <w:jc w:val="center"/>
        <w:rPr>
          <w:rFonts w:ascii="Times New Roman" w:hAnsi="Times New Roman" w:cs="Times New Roman"/>
        </w:rPr>
      </w:pPr>
      <w:r>
        <w:rPr>
          <w:rFonts w:ascii="Times New Roman" w:hAnsi="Times New Roman" w:eastAsia="Times New Roman" w:cs="Times New Roman"/>
          <w:b/>
        </w:rPr>
        <w:t>Mês/Ano</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spacing w:after="200"/>
        <w:ind w:left="0" w:hanging="2"/>
        <w:jc w:val="center"/>
        <w:rPr>
          <w:rFonts w:ascii="Times New Roman" w:hAnsi="Times New Roman" w:cs="Times New Roman"/>
        </w:rPr>
      </w:pPr>
      <w:r>
        <w:rPr>
          <w:rFonts w:ascii="Times New Roman" w:hAnsi="Times New Roman" w:eastAsia="Times New Roman" w:cs="Times New Roman"/>
        </w:rPr>
        <w:t>(NOME)</w:t>
      </w:r>
    </w:p>
    <w:p>
      <w:pPr>
        <w:spacing w:after="200"/>
        <w:ind w:left="0" w:hanging="2"/>
        <w:jc w:val="center"/>
        <w:rPr>
          <w:rFonts w:ascii="Times New Roman" w:hAnsi="Times New Roman" w:eastAsia="Times New Roman" w:cs="Times New Roman"/>
        </w:rPr>
      </w:pPr>
    </w:p>
    <w:p>
      <w:pPr>
        <w:spacing w:after="200"/>
        <w:ind w:left="0" w:hanging="2"/>
        <w:jc w:val="center"/>
        <w:rPr>
          <w:rFonts w:ascii="Times New Roman" w:hAnsi="Times New Roman" w:eastAsia="Times New Roman" w:cs="Times New Roman"/>
        </w:rPr>
      </w:pPr>
    </w:p>
    <w:p>
      <w:pPr>
        <w:spacing w:after="200"/>
        <w:ind w:left="0" w:hanging="2"/>
        <w:jc w:val="center"/>
        <w:rPr>
          <w:rFonts w:ascii="Times New Roman" w:hAnsi="Times New Roman" w:eastAsia="Times New Roman" w:cs="Times New Roman"/>
        </w:rPr>
      </w:pPr>
    </w:p>
    <w:p>
      <w:pPr>
        <w:spacing w:after="200"/>
        <w:ind w:left="0" w:hanging="2"/>
        <w:jc w:val="center"/>
        <w:rPr>
          <w:rFonts w:ascii="Times New Roman" w:hAnsi="Times New Roman" w:eastAsia="Times New Roman" w:cs="Times New Roman"/>
        </w:rPr>
      </w:pPr>
    </w:p>
    <w:p>
      <w:pPr>
        <w:spacing w:after="200"/>
        <w:ind w:left="0" w:hanging="2"/>
        <w:jc w:val="center"/>
        <w:rPr>
          <w:rFonts w:ascii="Times New Roman" w:hAnsi="Times New Roman" w:eastAsia="Times New Roman" w:cs="Times New Roman"/>
        </w:rPr>
      </w:pPr>
    </w:p>
    <w:p>
      <w:pPr>
        <w:spacing w:after="200"/>
        <w:ind w:left="0" w:hanging="2"/>
        <w:jc w:val="center"/>
        <w:rPr>
          <w:rFonts w:ascii="Times New Roman" w:hAnsi="Times New Roman" w:eastAsia="Times New Roman" w:cs="Times New Roman"/>
        </w:rPr>
      </w:pPr>
    </w:p>
    <w:p>
      <w:pPr>
        <w:spacing w:after="200"/>
        <w:ind w:left="0" w:hanging="2"/>
        <w:jc w:val="center"/>
        <w:rPr>
          <w:rFonts w:ascii="Times New Roman" w:hAnsi="Times New Roman" w:eastAsia="Times New Roman" w:cs="Times New Roman"/>
        </w:rPr>
      </w:pPr>
    </w:p>
    <w:p>
      <w:pPr>
        <w:spacing w:after="200"/>
        <w:ind w:left="0" w:hanging="2"/>
        <w:jc w:val="center"/>
        <w:rPr>
          <w:rFonts w:ascii="Times New Roman" w:hAnsi="Times New Roman" w:cs="Times New Roman"/>
        </w:rPr>
      </w:pPr>
      <w:r>
        <w:rPr>
          <w:rFonts w:ascii="Times New Roman" w:hAnsi="Times New Roman" w:eastAsia="Times New Roman" w:cs="Times New Roman"/>
          <w:b/>
        </w:rPr>
        <w:t>RELATÓRIO DE ATIVIDADES</w:t>
      </w:r>
    </w:p>
    <w:p>
      <w:pPr>
        <w:spacing w:after="200"/>
        <w:ind w:left="0" w:hanging="2"/>
        <w:jc w:val="center"/>
        <w:rPr>
          <w:rFonts w:ascii="Times New Roman" w:hAnsi="Times New Roman" w:cs="Times New Roman"/>
        </w:rPr>
      </w:pPr>
      <w:r>
        <w:rPr>
          <w:rFonts w:ascii="Times New Roman" w:hAnsi="Times New Roman" w:eastAsia="Times New Roman" w:cs="Times New Roman"/>
          <w:b/>
        </w:rPr>
        <w:t>ESTÁGIO SUPERVISIONADO DE LICENCIATURA</w:t>
      </w:r>
    </w:p>
    <w:p>
      <w:pPr>
        <w:spacing w:after="200"/>
        <w:ind w:left="0" w:hanging="2"/>
        <w:jc w:val="center"/>
        <w:rPr>
          <w:rFonts w:ascii="Times New Roman" w:hAnsi="Times New Roman" w:cs="Times New Roman"/>
        </w:rPr>
      </w:pPr>
      <w:r>
        <w:rPr>
          <w:rFonts w:ascii="Times New Roman" w:hAnsi="Times New Roman" w:eastAsia="Times New Roman" w:cs="Times New Roman"/>
          <w:b/>
        </w:rPr>
        <w:t>OBSERVAÇÃO ou de REGÊNCIA</w:t>
      </w:r>
    </w:p>
    <w:p>
      <w:pPr>
        <w:spacing w:after="200"/>
        <w:ind w:left="0" w:hanging="2"/>
        <w:jc w:val="center"/>
        <w:rPr>
          <w:rFonts w:ascii="Times New Roman" w:hAnsi="Times New Roman" w:eastAsia="Times New Roman" w:cs="Times New Roman"/>
        </w:rPr>
      </w:pPr>
    </w:p>
    <w:p>
      <w:pPr>
        <w:spacing w:after="200"/>
        <w:ind w:left="0" w:hanging="2"/>
        <w:jc w:val="center"/>
        <w:rPr>
          <w:rFonts w:ascii="Times New Roman" w:hAnsi="Times New Roman" w:eastAsia="Times New Roman" w:cs="Times New Roman"/>
        </w:rPr>
      </w:pPr>
    </w:p>
    <w:p>
      <w:pPr>
        <w:spacing w:after="200"/>
        <w:ind w:left="0" w:hanging="2"/>
        <w:jc w:val="center"/>
        <w:rPr>
          <w:rFonts w:ascii="Times New Roman" w:hAnsi="Times New Roman" w:eastAsia="Times New Roman" w:cs="Times New Roman"/>
        </w:rPr>
      </w:pPr>
    </w:p>
    <w:p>
      <w:pPr>
        <w:spacing w:after="200"/>
        <w:ind w:left="0" w:hanging="2"/>
        <w:jc w:val="center"/>
        <w:rPr>
          <w:rFonts w:ascii="Times New Roman" w:hAnsi="Times New Roman" w:eastAsia="Times New Roman" w:cs="Times New Roman"/>
        </w:rPr>
      </w:pPr>
    </w:p>
    <w:p>
      <w:pPr>
        <w:spacing w:after="200"/>
        <w:ind w:left="0" w:hanging="2"/>
        <w:jc w:val="center"/>
        <w:rPr>
          <w:rFonts w:ascii="Times New Roman" w:hAnsi="Times New Roman" w:eastAsia="Times New Roman" w:cs="Times New Roman"/>
        </w:rPr>
      </w:pPr>
    </w:p>
    <w:p>
      <w:pPr>
        <w:spacing w:after="200"/>
        <w:ind w:left="0" w:hanging="2"/>
        <w:jc w:val="both"/>
        <w:rPr>
          <w:rFonts w:ascii="Times New Roman" w:hAnsi="Times New Roman" w:cs="Times New Roman"/>
        </w:rPr>
      </w:pPr>
      <w:r>
        <w:rPr>
          <w:rFonts w:ascii="Times New Roman" w:hAnsi="Times New Roman" w:eastAsia="Times New Roman" w:cs="Times New Roman"/>
        </w:rPr>
        <w:t>Relatório apresentado como requisito parcial para conclusão da disciplina código/nome da disciplina do Departamento de ..... do(a) Unidade Acadêmica da Universidade Federal de Ouro Preto, sob a orientação do(a) professor(a) __________________________.</w:t>
      </w:r>
    </w:p>
    <w:p>
      <w:pPr>
        <w:spacing w:after="200"/>
        <w:ind w:left="0" w:hanging="2"/>
        <w:jc w:val="both"/>
        <w:rPr>
          <w:rFonts w:ascii="Times New Roman" w:hAnsi="Times New Roman" w:eastAsia="Times New Roman" w:cs="Times New Roman"/>
        </w:rPr>
      </w:pPr>
    </w:p>
    <w:p>
      <w:pPr>
        <w:spacing w:after="200"/>
        <w:ind w:left="0" w:hanging="2"/>
        <w:jc w:val="both"/>
        <w:rPr>
          <w:rFonts w:ascii="Times New Roman" w:hAnsi="Times New Roman" w:eastAsia="Times New Roman" w:cs="Times New Roman"/>
        </w:rPr>
      </w:pPr>
    </w:p>
    <w:p>
      <w:pPr>
        <w:spacing w:after="200"/>
        <w:ind w:left="0" w:hanging="2"/>
        <w:jc w:val="both"/>
        <w:rPr>
          <w:rFonts w:ascii="Times New Roman" w:hAnsi="Times New Roman" w:eastAsia="Times New Roman" w:cs="Times New Roman"/>
        </w:rPr>
      </w:pPr>
    </w:p>
    <w:p>
      <w:pPr>
        <w:spacing w:after="200"/>
        <w:ind w:left="0" w:hanging="2"/>
        <w:jc w:val="center"/>
        <w:rPr>
          <w:rFonts w:ascii="Times New Roman" w:hAnsi="Times New Roman" w:cs="Times New Roman"/>
        </w:rPr>
      </w:pPr>
      <w:r>
        <w:rPr>
          <w:rFonts w:ascii="Times New Roman" w:hAnsi="Times New Roman" w:eastAsia="Times New Roman" w:cs="Times New Roman"/>
        </w:rPr>
        <w:t>Ouro Preto</w:t>
      </w:r>
    </w:p>
    <w:p>
      <w:pPr>
        <w:spacing w:after="200"/>
        <w:ind w:left="0" w:hanging="2"/>
        <w:jc w:val="center"/>
        <w:rPr>
          <w:rFonts w:ascii="Times New Roman" w:hAnsi="Times New Roman" w:cs="Times New Roman"/>
        </w:rPr>
      </w:pPr>
      <w:r>
        <w:rPr>
          <w:rFonts w:ascii="Times New Roman" w:hAnsi="Times New Roman" w:eastAsia="Times New Roman" w:cs="Times New Roman"/>
        </w:rPr>
        <w:t>Mês/Ano</w:t>
      </w: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spacing w:after="200"/>
        <w:ind w:left="0" w:hanging="2"/>
        <w:rPr>
          <w:rFonts w:ascii="Times New Roman" w:hAnsi="Times New Roman" w:cs="Times New Roman"/>
        </w:rPr>
      </w:pPr>
      <w:r>
        <w:rPr>
          <w:rFonts w:ascii="Times New Roman" w:hAnsi="Times New Roman" w:eastAsia="Times New Roman" w:cs="Times New Roman"/>
        </w:rPr>
        <w:t>1. CONSIDERAÇÕES INICIAIS</w:t>
      </w:r>
    </w:p>
    <w:p>
      <w:pPr>
        <w:spacing w:after="200"/>
        <w:ind w:left="0" w:hanging="2"/>
        <w:rPr>
          <w:rFonts w:ascii="Times New Roman" w:hAnsi="Times New Roman" w:cs="Times New Roman"/>
        </w:rPr>
      </w:pPr>
      <w:r>
        <w:rPr>
          <w:rFonts w:ascii="Times New Roman" w:hAnsi="Times New Roman" w:eastAsia="Times New Roman" w:cs="Times New Roman"/>
        </w:rPr>
        <w:t>(Apresentar a perspectiva e conceitos que fundamentam o trabalho de estágio realizado, os objetivos do relatório e as partes que o constituem.)</w:t>
      </w:r>
    </w:p>
    <w:p>
      <w:pPr>
        <w:spacing w:after="200"/>
        <w:ind w:left="0" w:hanging="2"/>
        <w:rPr>
          <w:rFonts w:ascii="Times New Roman" w:hAnsi="Times New Roman" w:cs="Times New Roman"/>
        </w:rPr>
      </w:pPr>
      <w:r>
        <w:rPr>
          <w:rFonts w:ascii="Times New Roman" w:hAnsi="Times New Roman" w:eastAsia="Times New Roman" w:cs="Times New Roman"/>
        </w:rPr>
        <w:t>2. ATIVIDADES REALIZADAS</w:t>
      </w:r>
    </w:p>
    <w:p>
      <w:pPr>
        <w:spacing w:after="200"/>
        <w:ind w:left="0" w:hanging="2"/>
        <w:rPr>
          <w:rFonts w:ascii="Times New Roman" w:hAnsi="Times New Roman" w:cs="Times New Roman"/>
        </w:rPr>
      </w:pPr>
      <w:r>
        <w:rPr>
          <w:rFonts w:ascii="Times New Roman" w:hAnsi="Times New Roman" w:eastAsia="Times New Roman" w:cs="Times New Roman"/>
        </w:rPr>
        <w:t>2.1. No campo de estágio</w:t>
      </w:r>
    </w:p>
    <w:p>
      <w:pPr>
        <w:spacing w:after="120"/>
        <w:ind w:left="0" w:hanging="2"/>
        <w:rPr>
          <w:rFonts w:ascii="Times New Roman" w:hAnsi="Times New Roman" w:cs="Times New Roman"/>
        </w:rPr>
      </w:pPr>
      <w:r>
        <w:rPr>
          <w:rFonts w:ascii="Times New Roman" w:hAnsi="Times New Roman" w:eastAsia="Times New Roman" w:cs="Times New Roman"/>
        </w:rPr>
        <w:t xml:space="preserve">2.1.1. (Listar cada uma das atividades realizadas durante o período de estágio na escola –  preparação e materiais (caso seja pertinente) , seus participantes, tempo investido e refletir sobre cada uma delas. Traçar uma relação com o </w:t>
      </w:r>
      <w:r>
        <w:rPr>
          <w:rFonts w:ascii="Times New Roman" w:hAnsi="Times New Roman" w:eastAsia="Times New Roman" w:cs="Times New Roman"/>
          <w:i/>
        </w:rPr>
        <w:t>Plano de Estágio</w:t>
      </w:r>
      <w:r>
        <w:rPr>
          <w:rFonts w:ascii="Times New Roman" w:hAnsi="Times New Roman" w:eastAsia="Times New Roman" w:cs="Times New Roman"/>
        </w:rPr>
        <w:t>.)</w:t>
      </w:r>
    </w:p>
    <w:p>
      <w:pPr>
        <w:spacing w:after="200"/>
        <w:ind w:left="0" w:hanging="2"/>
        <w:rPr>
          <w:rFonts w:ascii="Times New Roman" w:hAnsi="Times New Roman" w:cs="Times New Roman"/>
        </w:rPr>
      </w:pPr>
      <w:r>
        <w:rPr>
          <w:rFonts w:ascii="Times New Roman" w:hAnsi="Times New Roman" w:eastAsia="Times New Roman" w:cs="Times New Roman"/>
        </w:rPr>
        <w:t>2.2. Fora do campo de estágio</w:t>
      </w:r>
    </w:p>
    <w:p>
      <w:pPr>
        <w:spacing w:after="120"/>
        <w:ind w:left="0" w:hanging="2"/>
        <w:rPr>
          <w:rFonts w:ascii="Times New Roman" w:hAnsi="Times New Roman" w:cs="Times New Roman"/>
        </w:rPr>
      </w:pPr>
      <w:r>
        <w:rPr>
          <w:rFonts w:ascii="Times New Roman" w:hAnsi="Times New Roman" w:eastAsia="Times New Roman" w:cs="Times New Roman"/>
        </w:rPr>
        <w:t>2.2.1. (Listar cada uma das atividades realizadas fora do campo de estágio – participação nas atividades da disciplina, preparação de sequências didáticas, apresentação de seminários  – e refletir sobre cada uma delas.)</w:t>
      </w:r>
    </w:p>
    <w:p>
      <w:pPr>
        <w:spacing w:after="200"/>
        <w:ind w:left="0" w:hanging="2"/>
        <w:rPr>
          <w:rFonts w:ascii="Times New Roman" w:hAnsi="Times New Roman" w:cs="Times New Roman"/>
        </w:rPr>
      </w:pPr>
      <w:r>
        <w:rPr>
          <w:rFonts w:ascii="Times New Roman" w:hAnsi="Times New Roman" w:eastAsia="Times New Roman" w:cs="Times New Roman"/>
        </w:rPr>
        <w:t>3. PIPOCAS PEDAGÓGICAS: NARRATIVAS DAS EXPERIÊNCIAS NO CAMPO ESTÁGIO</w:t>
      </w:r>
    </w:p>
    <w:p>
      <w:pPr>
        <w:spacing w:after="200"/>
        <w:ind w:left="0" w:hanging="2"/>
        <w:rPr>
          <w:rFonts w:ascii="Times New Roman" w:hAnsi="Times New Roman" w:cs="Times New Roman"/>
        </w:rPr>
      </w:pPr>
      <w:r>
        <w:rPr>
          <w:rFonts w:ascii="Times New Roman" w:hAnsi="Times New Roman" w:eastAsia="Times New Roman" w:cs="Times New Roman"/>
        </w:rPr>
        <w:t xml:space="preserve">  4. CONSIDERAÇÕES FINAIS</w:t>
      </w:r>
    </w:p>
    <w:p>
      <w:pPr>
        <w:spacing w:after="200"/>
        <w:ind w:left="0" w:hanging="2"/>
        <w:rPr>
          <w:rFonts w:ascii="Times New Roman" w:hAnsi="Times New Roman" w:cs="Times New Roman"/>
        </w:rPr>
      </w:pPr>
      <w:r>
        <w:rPr>
          <w:rFonts w:ascii="Times New Roman" w:hAnsi="Times New Roman" w:eastAsia="Times New Roman" w:cs="Times New Roman"/>
        </w:rPr>
        <w:t>(Retomar as atividades realizadas, as avaliações recebidas e ponderar sobre como elas contribuíram positiva ou negativamente para o seu aprendizado e, principalmente, para sua atuação como futuro professor.)</w:t>
      </w:r>
    </w:p>
    <w:p>
      <w:pPr>
        <w:spacing w:after="200"/>
        <w:ind w:left="0" w:hanging="2"/>
        <w:rPr>
          <w:rFonts w:ascii="Times New Roman" w:hAnsi="Times New Roman" w:cs="Times New Roman"/>
        </w:rPr>
      </w:pPr>
      <w:r>
        <w:rPr>
          <w:rFonts w:ascii="Times New Roman" w:hAnsi="Times New Roman" w:eastAsia="Times New Roman" w:cs="Times New Roman"/>
        </w:rPr>
        <w:t>5. REFERÊNCIAS</w:t>
      </w:r>
    </w:p>
    <w:p>
      <w:pPr>
        <w:spacing w:after="200"/>
        <w:ind w:left="0" w:hanging="2"/>
        <w:rPr>
          <w:rFonts w:ascii="Times New Roman" w:hAnsi="Times New Roman" w:cs="Times New Roman"/>
        </w:rPr>
      </w:pPr>
      <w:r>
        <w:rPr>
          <w:rFonts w:ascii="Times New Roman" w:hAnsi="Times New Roman" w:eastAsia="Times New Roman" w:cs="Times New Roman"/>
        </w:rPr>
        <w:t>6. ANEXOS E APÊNDICES</w:t>
      </w:r>
    </w:p>
    <w:p>
      <w:pPr>
        <w:spacing w:after="200"/>
        <w:ind w:left="0" w:hanging="2"/>
        <w:rPr>
          <w:rFonts w:ascii="Times New Roman" w:hAnsi="Times New Roman" w:cs="Times New Roman"/>
        </w:rPr>
      </w:pPr>
      <w:r>
        <w:rPr>
          <w:rFonts w:ascii="Times New Roman" w:hAnsi="Times New Roman" w:eastAsia="Times New Roman" w:cs="Times New Roman"/>
        </w:rPr>
        <w:t>6.1. Termo de compromisso assinado</w:t>
      </w:r>
    </w:p>
    <w:p>
      <w:pPr>
        <w:spacing w:after="200"/>
        <w:ind w:left="0" w:hanging="2"/>
        <w:rPr>
          <w:rFonts w:ascii="Times New Roman" w:hAnsi="Times New Roman" w:cs="Times New Roman"/>
        </w:rPr>
      </w:pPr>
      <w:r>
        <w:rPr>
          <w:rFonts w:ascii="Times New Roman" w:hAnsi="Times New Roman" w:eastAsia="Times New Roman" w:cs="Times New Roman"/>
        </w:rPr>
        <w:t>6.2. Controle de freqüência e atividades preenchido e assinado</w:t>
      </w:r>
    </w:p>
    <w:p>
      <w:pPr>
        <w:spacing w:after="200"/>
        <w:ind w:left="0" w:hanging="2"/>
        <w:rPr>
          <w:rFonts w:ascii="Times New Roman" w:hAnsi="Times New Roman" w:cs="Times New Roman"/>
        </w:rPr>
      </w:pPr>
      <w:r>
        <w:rPr>
          <w:rFonts w:ascii="Times New Roman" w:hAnsi="Times New Roman" w:eastAsia="Times New Roman" w:cs="Times New Roman"/>
        </w:rPr>
        <w:t>6.3. Avaliação do(a) professor (a)supervisor(a) do Campo de Estágio preenchida e assinada</w:t>
      </w:r>
    </w:p>
    <w:p>
      <w:pPr>
        <w:spacing w:after="200"/>
        <w:ind w:left="0" w:hanging="2"/>
        <w:rPr>
          <w:rFonts w:ascii="Times New Roman" w:hAnsi="Times New Roman" w:cs="Times New Roman"/>
        </w:rPr>
      </w:pPr>
      <w:r>
        <w:rPr>
          <w:rFonts w:ascii="Times New Roman" w:hAnsi="Times New Roman" w:eastAsia="Times New Roman" w:cs="Times New Roman"/>
        </w:rPr>
        <w:t>6.4. Avaliação do(a) professor(a) orientador(a) da UFOP preenchida e assinada</w:t>
      </w:r>
    </w:p>
    <w:p>
      <w:pPr>
        <w:spacing w:after="200"/>
        <w:ind w:left="0" w:hanging="2"/>
        <w:rPr>
          <w:rFonts w:ascii="Times New Roman" w:hAnsi="Times New Roman" w:cs="Times New Roman"/>
        </w:rPr>
      </w:pPr>
      <w:r>
        <w:rPr>
          <w:rFonts w:ascii="Times New Roman" w:hAnsi="Times New Roman" w:eastAsia="Times New Roman" w:cs="Times New Roman"/>
        </w:rPr>
        <w:t>6.5. Declaração de realização de estágio preenchida e assinada</w:t>
      </w:r>
    </w:p>
    <w:p>
      <w:pPr>
        <w:spacing w:after="200"/>
        <w:ind w:left="0" w:hanging="2"/>
        <w:rPr>
          <w:rFonts w:ascii="Times New Roman" w:hAnsi="Times New Roman" w:cs="Times New Roman"/>
        </w:rPr>
      </w:pPr>
      <w:r>
        <w:rPr>
          <w:rFonts w:ascii="Times New Roman" w:hAnsi="Times New Roman" w:eastAsia="Times New Roman" w:cs="Times New Roman"/>
        </w:rPr>
        <w:t xml:space="preserve">6.6. Cópia do arquivo contendo o </w:t>
      </w:r>
      <w:r>
        <w:rPr>
          <w:rFonts w:ascii="Times New Roman" w:hAnsi="Times New Roman" w:eastAsia="Times New Roman" w:cs="Times New Roman"/>
          <w:i/>
        </w:rPr>
        <w:t>Plano de atividades</w:t>
      </w:r>
      <w:r>
        <w:rPr>
          <w:rFonts w:ascii="Times New Roman" w:hAnsi="Times New Roman" w:eastAsia="Times New Roman" w:cs="Times New Roman"/>
        </w:rPr>
        <w:t xml:space="preserve"> no Campo de Estágio</w:t>
      </w:r>
    </w:p>
    <w:p>
      <w:pPr>
        <w:spacing w:after="200"/>
        <w:ind w:left="0" w:hanging="2"/>
        <w:rPr>
          <w:rFonts w:ascii="Times New Roman" w:hAnsi="Times New Roman" w:cs="Times New Roman"/>
        </w:rPr>
      </w:pPr>
      <w:r>
        <w:rPr>
          <w:rFonts w:ascii="Times New Roman" w:hAnsi="Times New Roman" w:eastAsia="Times New Roman" w:cs="Times New Roman"/>
        </w:rPr>
        <w:t xml:space="preserve">6.7. Cópia dos arquivos contendo os </w:t>
      </w:r>
      <w:r>
        <w:rPr>
          <w:rFonts w:ascii="Times New Roman" w:hAnsi="Times New Roman" w:eastAsia="Times New Roman" w:cs="Times New Roman"/>
          <w:i/>
        </w:rPr>
        <w:t>Planos de aula</w:t>
      </w:r>
      <w:r>
        <w:rPr>
          <w:rFonts w:ascii="Times New Roman" w:hAnsi="Times New Roman" w:eastAsia="Times New Roman" w:cs="Times New Roman"/>
        </w:rPr>
        <w:t xml:space="preserve"> e os materiais utilizados</w:t>
      </w:r>
    </w:p>
    <w:p>
      <w:pPr>
        <w:spacing w:before="360" w:after="240"/>
        <w:ind w:left="0" w:hanging="2"/>
        <w:jc w:val="both"/>
        <w:rPr>
          <w:rFonts w:ascii="Times New Roman" w:hAnsi="Times New Roman" w:eastAsia="Times New Roman" w:cs="Times New Roman"/>
        </w:rPr>
      </w:pPr>
    </w:p>
    <w:p>
      <w:pPr>
        <w:spacing w:before="360" w:after="240"/>
        <w:ind w:left="0" w:hanging="2"/>
        <w:jc w:val="both"/>
        <w:rPr>
          <w:rFonts w:ascii="Times New Roman" w:hAnsi="Times New Roman" w:eastAsia="Times New Roman" w:cs="Times New Roman"/>
        </w:rPr>
      </w:pPr>
    </w:p>
    <w:p>
      <w:pPr>
        <w:spacing w:before="360" w:after="240"/>
        <w:ind w:left="0" w:hanging="2"/>
        <w:jc w:val="both"/>
        <w:rPr>
          <w:rFonts w:ascii="Times New Roman" w:hAnsi="Times New Roman" w:eastAsia="Times New Roman" w:cs="Times New Roman"/>
        </w:rPr>
      </w:pPr>
    </w:p>
    <w:p>
      <w:pPr>
        <w:spacing w:before="360" w:after="240"/>
        <w:ind w:left="0" w:hanging="2"/>
        <w:jc w:val="both"/>
        <w:rPr>
          <w:rFonts w:ascii="Times New Roman" w:hAnsi="Times New Roman" w:eastAsia="Times New Roman" w:cs="Times New Roman"/>
        </w:rPr>
      </w:pPr>
    </w:p>
    <w:p>
      <w:pPr>
        <w:ind w:left="0" w:hanging="2"/>
        <w:jc w:val="both"/>
        <w:rPr>
          <w:rFonts w:ascii="Times New Roman" w:hAnsi="Times New Roman" w:eastAsia="Times New Roman" w:cs="Times New Roman"/>
        </w:rPr>
      </w:pPr>
    </w:p>
    <w:p>
      <w:pPr>
        <w:ind w:left="0" w:hanging="2"/>
        <w:jc w:val="both"/>
        <w:rPr>
          <w:rFonts w:ascii="Times New Roman" w:hAnsi="Times New Roman" w:eastAsia="Times New Roman" w:cs="Times New Roman"/>
        </w:rPr>
      </w:pPr>
      <w:r>
        <w:rPr>
          <w:rFonts w:ascii="Times New Roman" w:hAnsi="Times New Roman" w:eastAsia="Times New Roman" w:cs="Times New Roman"/>
        </w:rPr>
        <w:t>12. AVALIAÇÃO DO ESTAGIÁRIO REALIZADA PELO(A) PROFESSOR(A) ORIENTADOR(A) DA UFOP.</w:t>
      </w:r>
    </w:p>
    <w:p>
      <w:pPr>
        <w:ind w:left="0" w:hanging="2"/>
        <w:jc w:val="both"/>
        <w:rPr>
          <w:rFonts w:ascii="Times New Roman" w:hAnsi="Times New Roman" w:eastAsia="Times New Roman" w:cs="Times New Roman"/>
        </w:rPr>
      </w:pPr>
    </w:p>
    <w:p>
      <w:pPr>
        <w:ind w:left="0" w:hanging="2"/>
        <w:jc w:val="center"/>
        <w:rPr>
          <w:rFonts w:ascii="Times New Roman" w:hAnsi="Times New Roman" w:cs="Times New Roman"/>
        </w:rPr>
      </w:pPr>
    </w:p>
    <w:tbl>
      <w:tblPr>
        <w:tblStyle w:val="672"/>
        <w:tblW w:w="8514" w:type="dxa"/>
        <w:tblInd w:w="99" w:type="dxa"/>
        <w:tblLayout w:type="fixed"/>
        <w:tblCellMar>
          <w:top w:w="0" w:type="dxa"/>
          <w:left w:w="108" w:type="dxa"/>
          <w:bottom w:w="0" w:type="dxa"/>
          <w:right w:w="108" w:type="dxa"/>
        </w:tblCellMar>
      </w:tblPr>
      <w:tblGrid>
        <w:gridCol w:w="8514"/>
      </w:tblGrid>
      <w:tr>
        <w:tblPrEx>
          <w:tblCellMar>
            <w:top w:w="0" w:type="dxa"/>
            <w:left w:w="108" w:type="dxa"/>
            <w:bottom w:w="0" w:type="dxa"/>
            <w:right w:w="108" w:type="dxa"/>
          </w:tblCellMar>
        </w:tblPrEx>
        <w:tc>
          <w:tcPr>
            <w:tcW w:w="8514" w:type="dxa"/>
            <w:tcBorders>
              <w:top w:val="single" w:color="000000" w:sz="4" w:space="0"/>
              <w:left w:val="single" w:color="000000" w:sz="4" w:space="0"/>
              <w:bottom w:val="single" w:color="000000" w:sz="4" w:space="0"/>
              <w:right w:val="single" w:color="000000" w:sz="4" w:space="0"/>
            </w:tcBorders>
          </w:tcPr>
          <w:p>
            <w:pPr>
              <w:ind w:left="0" w:hanging="2"/>
              <w:rPr>
                <w:rFonts w:ascii="Times New Roman" w:hAnsi="Times New Roman" w:cs="Times New Roman"/>
              </w:rPr>
            </w:pPr>
            <w:r>
              <w:rPr>
                <w:rFonts w:ascii="Times New Roman" w:hAnsi="Times New Roman" w:eastAsia="Times New Roman" w:cs="Times New Roman"/>
              </w:rPr>
              <w:t xml:space="preserve">Estagiário(a):  </w:t>
            </w:r>
          </w:p>
        </w:tc>
      </w:tr>
      <w:tr>
        <w:tblPrEx>
          <w:tblCellMar>
            <w:top w:w="0" w:type="dxa"/>
            <w:left w:w="108" w:type="dxa"/>
            <w:bottom w:w="0" w:type="dxa"/>
            <w:right w:w="108" w:type="dxa"/>
          </w:tblCellMar>
        </w:tblPrEx>
        <w:tc>
          <w:tcPr>
            <w:tcW w:w="8514" w:type="dxa"/>
            <w:tcBorders>
              <w:top w:val="single" w:color="000000" w:sz="4" w:space="0"/>
              <w:left w:val="single" w:color="000000" w:sz="4" w:space="0"/>
              <w:bottom w:val="single" w:color="000000" w:sz="4" w:space="0"/>
              <w:right w:val="single" w:color="000000" w:sz="4" w:space="0"/>
            </w:tcBorders>
          </w:tcPr>
          <w:p>
            <w:pPr>
              <w:ind w:left="0" w:hanging="2"/>
              <w:rPr>
                <w:rFonts w:ascii="Times New Roman" w:hAnsi="Times New Roman" w:cs="Times New Roman"/>
              </w:rPr>
            </w:pPr>
            <w:r>
              <w:rPr>
                <w:rFonts w:ascii="Times New Roman" w:hAnsi="Times New Roman" w:eastAsia="Times New Roman" w:cs="Times New Roman"/>
              </w:rPr>
              <w:t>Campo de Estágio:</w:t>
            </w:r>
          </w:p>
        </w:tc>
      </w:tr>
      <w:tr>
        <w:tblPrEx>
          <w:tblCellMar>
            <w:top w:w="0" w:type="dxa"/>
            <w:left w:w="108" w:type="dxa"/>
            <w:bottom w:w="0" w:type="dxa"/>
            <w:right w:w="108" w:type="dxa"/>
          </w:tblCellMar>
        </w:tblPrEx>
        <w:tc>
          <w:tcPr>
            <w:tcW w:w="8514" w:type="dxa"/>
            <w:tcBorders>
              <w:top w:val="single" w:color="000000" w:sz="4" w:space="0"/>
              <w:left w:val="single" w:color="000000" w:sz="4" w:space="0"/>
              <w:bottom w:val="single" w:color="000000" w:sz="4" w:space="0"/>
              <w:right w:val="single" w:color="000000" w:sz="4" w:space="0"/>
            </w:tcBorders>
          </w:tcPr>
          <w:p>
            <w:pPr>
              <w:ind w:left="0" w:hanging="2"/>
              <w:rPr>
                <w:rFonts w:ascii="Times New Roman" w:hAnsi="Times New Roman" w:cs="Times New Roman"/>
              </w:rPr>
            </w:pPr>
            <w:r>
              <w:rPr>
                <w:rFonts w:ascii="Times New Roman" w:hAnsi="Times New Roman" w:eastAsia="Times New Roman" w:cs="Times New Roman"/>
              </w:rPr>
              <w:t>Nome do(a) Professor(a) Orientador(a) da UFOP:</w:t>
            </w:r>
          </w:p>
        </w:tc>
      </w:tr>
      <w:tr>
        <w:tblPrEx>
          <w:tblCellMar>
            <w:top w:w="0" w:type="dxa"/>
            <w:left w:w="108" w:type="dxa"/>
            <w:bottom w:w="0" w:type="dxa"/>
            <w:right w:w="108" w:type="dxa"/>
          </w:tblCellMar>
        </w:tblPrEx>
        <w:tc>
          <w:tcPr>
            <w:tcW w:w="8514" w:type="dxa"/>
            <w:tcBorders>
              <w:top w:val="single" w:color="000000" w:sz="4" w:space="0"/>
              <w:left w:val="single" w:color="000000" w:sz="4" w:space="0"/>
              <w:bottom w:val="single" w:color="000000" w:sz="4" w:space="0"/>
              <w:right w:val="single" w:color="000000" w:sz="4" w:space="0"/>
            </w:tcBorders>
          </w:tcPr>
          <w:p>
            <w:pPr>
              <w:ind w:left="0" w:hanging="2"/>
              <w:rPr>
                <w:rFonts w:ascii="Times New Roman" w:hAnsi="Times New Roman" w:cs="Times New Roman"/>
              </w:rPr>
            </w:pPr>
            <w:r>
              <w:rPr>
                <w:rFonts w:ascii="Times New Roman" w:hAnsi="Times New Roman" w:eastAsia="Times New Roman" w:cs="Times New Roman"/>
              </w:rPr>
              <w:t>Disciplina:</w:t>
            </w:r>
          </w:p>
        </w:tc>
      </w:tr>
      <w:tr>
        <w:tblPrEx>
          <w:tblCellMar>
            <w:top w:w="0" w:type="dxa"/>
            <w:left w:w="108" w:type="dxa"/>
            <w:bottom w:w="0" w:type="dxa"/>
            <w:right w:w="108" w:type="dxa"/>
          </w:tblCellMar>
        </w:tblPrEx>
        <w:tc>
          <w:tcPr>
            <w:tcW w:w="8514" w:type="dxa"/>
            <w:tcBorders>
              <w:top w:val="single" w:color="000000" w:sz="4" w:space="0"/>
              <w:left w:val="single" w:color="000000" w:sz="4" w:space="0"/>
              <w:bottom w:val="single" w:color="000000" w:sz="4" w:space="0"/>
              <w:right w:val="single" w:color="000000" w:sz="4" w:space="0"/>
            </w:tcBorders>
          </w:tcPr>
          <w:p>
            <w:pPr>
              <w:ind w:left="0" w:hanging="2"/>
              <w:rPr>
                <w:rFonts w:ascii="Times New Roman" w:hAnsi="Times New Roman" w:cs="Times New Roman"/>
              </w:rPr>
            </w:pPr>
            <w:r>
              <w:rPr>
                <w:rFonts w:ascii="Times New Roman" w:hAnsi="Times New Roman" w:eastAsia="Times New Roman" w:cs="Times New Roman"/>
              </w:rPr>
              <w:t>Série/Ano:</w:t>
            </w:r>
          </w:p>
        </w:tc>
      </w:tr>
      <w:tr>
        <w:tblPrEx>
          <w:tblCellMar>
            <w:top w:w="0" w:type="dxa"/>
            <w:left w:w="108" w:type="dxa"/>
            <w:bottom w:w="0" w:type="dxa"/>
            <w:right w:w="108" w:type="dxa"/>
          </w:tblCellMar>
        </w:tblPrEx>
        <w:tc>
          <w:tcPr>
            <w:tcW w:w="8514" w:type="dxa"/>
            <w:tcBorders>
              <w:top w:val="single" w:color="000000" w:sz="4" w:space="0"/>
              <w:left w:val="single" w:color="000000" w:sz="4" w:space="0"/>
              <w:bottom w:val="single" w:color="000000" w:sz="4" w:space="0"/>
              <w:right w:val="single" w:color="000000" w:sz="4" w:space="0"/>
            </w:tcBorders>
          </w:tcPr>
          <w:p>
            <w:pPr>
              <w:ind w:left="0" w:hanging="2"/>
              <w:rPr>
                <w:rFonts w:ascii="Times New Roman" w:hAnsi="Times New Roman" w:cs="Times New Roman"/>
              </w:rPr>
            </w:pPr>
            <w:r>
              <w:rPr>
                <w:rFonts w:ascii="Times New Roman" w:hAnsi="Times New Roman" w:eastAsia="Times New Roman" w:cs="Times New Roman"/>
              </w:rPr>
              <w:t>Turma:</w:t>
            </w:r>
          </w:p>
        </w:tc>
      </w:tr>
      <w:tr>
        <w:tblPrEx>
          <w:tblCellMar>
            <w:top w:w="0" w:type="dxa"/>
            <w:left w:w="108" w:type="dxa"/>
            <w:bottom w:w="0" w:type="dxa"/>
            <w:right w:w="108" w:type="dxa"/>
          </w:tblCellMar>
        </w:tblPrEx>
        <w:tc>
          <w:tcPr>
            <w:tcW w:w="8514" w:type="dxa"/>
            <w:tcBorders>
              <w:top w:val="single" w:color="000000" w:sz="4" w:space="0"/>
              <w:left w:val="single" w:color="000000" w:sz="4" w:space="0"/>
              <w:bottom w:val="single" w:color="000000" w:sz="4" w:space="0"/>
              <w:right w:val="single" w:color="000000" w:sz="4" w:space="0"/>
            </w:tcBorders>
          </w:tcPr>
          <w:p>
            <w:pPr>
              <w:ind w:left="0" w:hanging="2"/>
              <w:rPr>
                <w:rFonts w:ascii="Times New Roman" w:hAnsi="Times New Roman" w:cs="Times New Roman"/>
              </w:rPr>
            </w:pPr>
            <w:r>
              <w:rPr>
                <w:rFonts w:ascii="Times New Roman" w:hAnsi="Times New Roman" w:eastAsia="Times New Roman" w:cs="Times New Roman"/>
              </w:rPr>
              <w:t>Favor utilizar um dos conceitos abaixo para cada uma das 12 questões</w:t>
            </w:r>
          </w:p>
        </w:tc>
      </w:tr>
      <w:tr>
        <w:tblPrEx>
          <w:tblCellMar>
            <w:top w:w="0" w:type="dxa"/>
            <w:left w:w="108" w:type="dxa"/>
            <w:bottom w:w="0" w:type="dxa"/>
            <w:right w:w="108" w:type="dxa"/>
          </w:tblCellMar>
        </w:tblPrEx>
        <w:tc>
          <w:tcPr>
            <w:tcW w:w="8514" w:type="dxa"/>
            <w:tcBorders>
              <w:top w:val="single" w:color="000000" w:sz="4" w:space="0"/>
              <w:left w:val="single" w:color="000000" w:sz="4" w:space="0"/>
              <w:bottom w:val="single" w:color="000000" w:sz="4" w:space="0"/>
              <w:right w:val="single" w:color="000000" w:sz="4" w:space="0"/>
            </w:tcBorders>
          </w:tcPr>
          <w:p>
            <w:pPr>
              <w:ind w:left="0" w:hanging="2"/>
              <w:rPr>
                <w:rFonts w:ascii="Times New Roman" w:hAnsi="Times New Roman" w:cs="Times New Roman"/>
              </w:rPr>
            </w:pPr>
            <w:r>
              <w:rPr>
                <w:rFonts w:ascii="Times New Roman" w:hAnsi="Times New Roman" w:eastAsia="Times New Roman" w:cs="Times New Roman"/>
              </w:rPr>
              <w:t xml:space="preserve">(E) Excelente = desempenho excedeu as expectativas; </w:t>
            </w:r>
          </w:p>
          <w:p>
            <w:pPr>
              <w:ind w:left="0" w:hanging="2"/>
              <w:rPr>
                <w:rFonts w:ascii="Times New Roman" w:hAnsi="Times New Roman" w:cs="Times New Roman"/>
              </w:rPr>
            </w:pPr>
            <w:r>
              <w:rPr>
                <w:rFonts w:ascii="Times New Roman" w:hAnsi="Times New Roman" w:eastAsia="Times New Roman" w:cs="Times New Roman"/>
              </w:rPr>
              <w:t xml:space="preserve">(O) Ótimo = desempenho plenamente satisfatório; </w:t>
            </w:r>
          </w:p>
          <w:p>
            <w:pPr>
              <w:ind w:left="0" w:hanging="2"/>
              <w:rPr>
                <w:rFonts w:ascii="Times New Roman" w:hAnsi="Times New Roman" w:cs="Times New Roman"/>
              </w:rPr>
            </w:pPr>
            <w:r>
              <w:rPr>
                <w:rFonts w:ascii="Times New Roman" w:hAnsi="Times New Roman" w:eastAsia="Times New Roman" w:cs="Times New Roman"/>
              </w:rPr>
              <w:t xml:space="preserve">(B) Bom = desempenho satisfatório; </w:t>
            </w:r>
          </w:p>
          <w:p>
            <w:pPr>
              <w:ind w:left="0" w:hanging="2"/>
              <w:rPr>
                <w:rFonts w:ascii="Times New Roman" w:hAnsi="Times New Roman" w:cs="Times New Roman"/>
              </w:rPr>
            </w:pPr>
            <w:r>
              <w:rPr>
                <w:rFonts w:ascii="Times New Roman" w:hAnsi="Times New Roman" w:eastAsia="Times New Roman" w:cs="Times New Roman"/>
              </w:rPr>
              <w:t xml:space="preserve">(R) Regular = desempenho aquém das expectativas; </w:t>
            </w:r>
          </w:p>
          <w:p>
            <w:pPr>
              <w:ind w:left="0" w:hanging="2"/>
              <w:rPr>
                <w:rFonts w:ascii="Times New Roman" w:hAnsi="Times New Roman" w:cs="Times New Roman"/>
              </w:rPr>
            </w:pPr>
            <w:r>
              <w:rPr>
                <w:rFonts w:ascii="Times New Roman" w:hAnsi="Times New Roman" w:eastAsia="Times New Roman" w:cs="Times New Roman"/>
              </w:rPr>
              <w:t>(I) Insuficiente = desempenho ruim.</w:t>
            </w:r>
          </w:p>
        </w:tc>
      </w:tr>
      <w:tr>
        <w:tblPrEx>
          <w:tblCellMar>
            <w:top w:w="0" w:type="dxa"/>
            <w:left w:w="108" w:type="dxa"/>
            <w:bottom w:w="0" w:type="dxa"/>
            <w:right w:w="108" w:type="dxa"/>
          </w:tblCellMar>
        </w:tblPrEx>
        <w:tc>
          <w:tcPr>
            <w:tcW w:w="8514" w:type="dxa"/>
            <w:tcBorders>
              <w:top w:val="single" w:color="000000" w:sz="4" w:space="0"/>
              <w:left w:val="single" w:color="000000" w:sz="4" w:space="0"/>
              <w:bottom w:val="single" w:color="000000" w:sz="4" w:space="0"/>
              <w:right w:val="single" w:color="000000" w:sz="4" w:space="0"/>
            </w:tcBorders>
          </w:tcPr>
          <w:p>
            <w:pPr>
              <w:ind w:left="0" w:hanging="2"/>
              <w:rPr>
                <w:rFonts w:ascii="Times New Roman" w:hAnsi="Times New Roman" w:cs="Times New Roman"/>
              </w:rPr>
            </w:pPr>
            <w:r>
              <w:rPr>
                <w:rFonts w:ascii="Times New Roman" w:hAnsi="Times New Roman" w:eastAsia="Times New Roman" w:cs="Times New Roman"/>
              </w:rPr>
              <w:t xml:space="preserve">01 - (      ) Participação nos encontros de orientação e nas aulas na UFOP. </w:t>
            </w:r>
          </w:p>
          <w:p>
            <w:pPr>
              <w:ind w:left="0" w:hanging="2"/>
              <w:rPr>
                <w:rFonts w:ascii="Times New Roman" w:hAnsi="Times New Roman" w:cs="Times New Roman"/>
              </w:rPr>
            </w:pPr>
            <w:r>
              <w:rPr>
                <w:rFonts w:ascii="Times New Roman" w:hAnsi="Times New Roman" w:eastAsia="Times New Roman" w:cs="Times New Roman"/>
              </w:rPr>
              <w:t xml:space="preserve">02 - (      ) Efetivação das leituras recomendadas e realização das tarefas propostas nos encontros de orientação e nas aulas na UFOP. </w:t>
            </w:r>
          </w:p>
          <w:p>
            <w:pPr>
              <w:ind w:left="0" w:hanging="2"/>
              <w:rPr>
                <w:rFonts w:ascii="Times New Roman" w:hAnsi="Times New Roman" w:cs="Times New Roman"/>
              </w:rPr>
            </w:pPr>
            <w:r>
              <w:rPr>
                <w:rFonts w:ascii="Times New Roman" w:hAnsi="Times New Roman" w:eastAsia="Times New Roman" w:cs="Times New Roman"/>
              </w:rPr>
              <w:t xml:space="preserve">03 - (       ) Assiduidade e pontualidade nos encontros de orientação e nas aulas na UFOP. </w:t>
            </w:r>
          </w:p>
          <w:p>
            <w:pPr>
              <w:ind w:left="0" w:hanging="2"/>
              <w:rPr>
                <w:rFonts w:ascii="Times New Roman" w:hAnsi="Times New Roman" w:cs="Times New Roman"/>
              </w:rPr>
            </w:pPr>
            <w:r>
              <w:rPr>
                <w:rFonts w:ascii="Times New Roman" w:hAnsi="Times New Roman" w:eastAsia="Times New Roman" w:cs="Times New Roman"/>
              </w:rPr>
              <w:t xml:space="preserve">04 - (       ) Quanto ao Plano de Atividades no Campo de Estágio - Capacidade de adequação e articulação com as necessidades do professor supervisor e do Campo de Estágio. </w:t>
            </w:r>
          </w:p>
          <w:p>
            <w:pPr>
              <w:ind w:left="0" w:hanging="2"/>
              <w:rPr>
                <w:rFonts w:ascii="Times New Roman" w:hAnsi="Times New Roman" w:cs="Times New Roman"/>
              </w:rPr>
            </w:pPr>
            <w:r>
              <w:rPr>
                <w:rFonts w:ascii="Times New Roman" w:hAnsi="Times New Roman" w:eastAsia="Times New Roman" w:cs="Times New Roman"/>
              </w:rPr>
              <w:t xml:space="preserve">05 - (       ) Quanto ao Plano de Atividades no Campo de Estágio – Apresentação e clareza textual.  </w:t>
            </w:r>
          </w:p>
          <w:p>
            <w:pPr>
              <w:ind w:left="0" w:hanging="2"/>
              <w:rPr>
                <w:rFonts w:ascii="Times New Roman" w:hAnsi="Times New Roman" w:cs="Times New Roman"/>
              </w:rPr>
            </w:pPr>
            <w:r>
              <w:rPr>
                <w:rFonts w:ascii="Times New Roman" w:hAnsi="Times New Roman" w:eastAsia="Times New Roman" w:cs="Times New Roman"/>
              </w:rPr>
              <w:t xml:space="preserve">06 - (       ) Quanto ao Plano de Atividades no Campo de Estágio - Cumprimento de prazos na entrega de documentos e demais expedientes acadêmico-administrativos. </w:t>
            </w:r>
          </w:p>
          <w:p>
            <w:pPr>
              <w:ind w:left="0" w:hanging="2"/>
              <w:rPr>
                <w:rFonts w:ascii="Times New Roman" w:hAnsi="Times New Roman" w:cs="Times New Roman"/>
              </w:rPr>
            </w:pPr>
            <w:r>
              <w:rPr>
                <w:rFonts w:ascii="Times New Roman" w:hAnsi="Times New Roman" w:eastAsia="Times New Roman" w:cs="Times New Roman"/>
              </w:rPr>
              <w:t xml:space="preserve">07 - (       ) Qualidade didático-pedagógica da(s) atividade(s) proposta(s). </w:t>
            </w:r>
          </w:p>
          <w:p>
            <w:pPr>
              <w:ind w:left="0" w:hanging="2"/>
              <w:rPr>
                <w:rFonts w:ascii="Times New Roman" w:hAnsi="Times New Roman" w:cs="Times New Roman"/>
              </w:rPr>
            </w:pPr>
            <w:r>
              <w:rPr>
                <w:rFonts w:ascii="Times New Roman" w:hAnsi="Times New Roman" w:eastAsia="Times New Roman" w:cs="Times New Roman"/>
              </w:rPr>
              <w:t xml:space="preserve">08 - (       ) Utilização dos materiais selecionados para a(s) atividade(s) proposta(s). </w:t>
            </w:r>
          </w:p>
          <w:p>
            <w:pPr>
              <w:ind w:left="0" w:hanging="2"/>
              <w:rPr>
                <w:rFonts w:ascii="Times New Roman" w:hAnsi="Times New Roman" w:cs="Times New Roman"/>
              </w:rPr>
            </w:pPr>
            <w:r>
              <w:rPr>
                <w:rFonts w:ascii="Times New Roman" w:hAnsi="Times New Roman" w:eastAsia="Times New Roman" w:cs="Times New Roman"/>
              </w:rPr>
              <w:t xml:space="preserve">09 - (       ) Sobre a atuação observada no Campo de Estágio - Interação com os alunos do Campo de Estágio. </w:t>
            </w:r>
          </w:p>
          <w:p>
            <w:pPr>
              <w:ind w:left="0" w:hanging="2"/>
              <w:rPr>
                <w:rFonts w:ascii="Times New Roman" w:hAnsi="Times New Roman" w:cs="Times New Roman"/>
              </w:rPr>
            </w:pPr>
            <w:r>
              <w:rPr>
                <w:rFonts w:ascii="Times New Roman" w:hAnsi="Times New Roman" w:eastAsia="Times New Roman" w:cs="Times New Roman"/>
              </w:rPr>
              <w:t xml:space="preserve">10 - (       ) Sobre a atuação observada no Campo de Estágio - Interação com professor(a) supervisor(a) e demais profissionais do Campo de Estágio. </w:t>
            </w:r>
          </w:p>
          <w:p>
            <w:pPr>
              <w:ind w:left="0" w:hanging="2"/>
              <w:rPr>
                <w:rFonts w:ascii="Times New Roman" w:hAnsi="Times New Roman" w:cs="Times New Roman"/>
              </w:rPr>
            </w:pPr>
            <w:r>
              <w:rPr>
                <w:rFonts w:ascii="Times New Roman" w:hAnsi="Times New Roman" w:eastAsia="Times New Roman" w:cs="Times New Roman"/>
              </w:rPr>
              <w:t xml:space="preserve">11 - (       ) Sobre a atuação observada no Campo de Estágio – Realização da(s) atividade(s) outras proposta(s) [Especificar atividade(s): ______________________________________________________ ]. </w:t>
            </w:r>
          </w:p>
          <w:p>
            <w:pPr>
              <w:ind w:left="0" w:hanging="2"/>
              <w:rPr>
                <w:rFonts w:ascii="Times New Roman" w:hAnsi="Times New Roman" w:cs="Times New Roman"/>
              </w:rPr>
            </w:pPr>
            <w:r>
              <w:rPr>
                <w:rFonts w:ascii="Times New Roman" w:hAnsi="Times New Roman" w:eastAsia="Times New Roman" w:cs="Times New Roman"/>
              </w:rPr>
              <w:t xml:space="preserve">12 - (       ) Sobre a atuação observada no Campo de Estágio - Interesse suscitado nos alunos pela(s) atividade(s) proposta(s) [Especificar atividade(s): </w:t>
            </w:r>
          </w:p>
        </w:tc>
      </w:tr>
      <w:tr>
        <w:tblPrEx>
          <w:tblCellMar>
            <w:top w:w="0" w:type="dxa"/>
            <w:left w:w="108" w:type="dxa"/>
            <w:bottom w:w="0" w:type="dxa"/>
            <w:right w:w="108" w:type="dxa"/>
          </w:tblCellMar>
        </w:tblPrEx>
        <w:tc>
          <w:tcPr>
            <w:tcW w:w="8514" w:type="dxa"/>
            <w:tcBorders>
              <w:top w:val="single" w:color="000000" w:sz="4" w:space="0"/>
              <w:left w:val="single" w:color="000000" w:sz="4" w:space="0"/>
              <w:bottom w:val="single" w:color="000000" w:sz="4" w:space="0"/>
              <w:right w:val="single" w:color="000000" w:sz="4" w:space="0"/>
            </w:tcBorders>
          </w:tcPr>
          <w:p>
            <w:pPr>
              <w:ind w:left="0" w:hanging="2"/>
              <w:rPr>
                <w:rFonts w:ascii="Times New Roman" w:hAnsi="Times New Roman" w:cs="Times New Roman"/>
              </w:rPr>
            </w:pPr>
            <w:r>
              <w:rPr>
                <w:rFonts w:ascii="Times New Roman" w:hAnsi="Times New Roman" w:eastAsia="Times New Roman" w:cs="Times New Roman"/>
              </w:rPr>
              <w:t>Outras observações:</w:t>
            </w:r>
          </w:p>
        </w:tc>
      </w:tr>
    </w:tbl>
    <w:p>
      <w:pPr>
        <w:ind w:left="0" w:hanging="2"/>
        <w:rPr>
          <w:rFonts w:ascii="Times New Roman" w:hAnsi="Times New Roman" w:cs="Times New Roman"/>
        </w:rPr>
      </w:pPr>
      <w:r>
        <w:rPr>
          <w:rFonts w:ascii="Times New Roman" w:hAnsi="Times New Roman" w:eastAsia="Times New Roman" w:cs="Times New Roman"/>
        </w:rPr>
        <w:t xml:space="preserve">DATA: ___/___/___ Assinatura do(a)Professor(a) Orientador(a): ___________________________________ </w:t>
      </w: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jc w:val="both"/>
        <w:rPr>
          <w:rFonts w:ascii="Times New Roman" w:hAnsi="Times New Roman" w:eastAsia="Times New Roman" w:cs="Times New Roman"/>
        </w:rPr>
      </w:pPr>
    </w:p>
    <w:p>
      <w:pPr>
        <w:ind w:left="0" w:hanging="2"/>
        <w:jc w:val="both"/>
        <w:rPr>
          <w:rFonts w:ascii="Times New Roman" w:hAnsi="Times New Roman" w:cs="Times New Roman"/>
        </w:rPr>
      </w:pPr>
      <w:r>
        <w:rPr>
          <w:rFonts w:ascii="Times New Roman" w:hAnsi="Times New Roman" w:eastAsia="Times New Roman" w:cs="Times New Roman"/>
        </w:rPr>
        <w:t>13</w:t>
      </w:r>
      <w:r>
        <w:rPr>
          <w:rFonts w:ascii="Times New Roman" w:hAnsi="Times New Roman" w:cs="Times New Roman"/>
        </w:rPr>
        <w:t>.</w:t>
      </w:r>
      <w:r>
        <w:rPr>
          <w:rFonts w:ascii="Times New Roman" w:hAnsi="Times New Roman" w:eastAsia="Times New Roman" w:cs="Times New Roman"/>
        </w:rPr>
        <w:t xml:space="preserve"> AVALIAÇÃO DO ESTAGIÁRIO REALIZADA PELO(A) PROFESSOR(A) SUPERVISOR(A) DO CAMPO DE ESTÁGIO </w:t>
      </w:r>
    </w:p>
    <w:p>
      <w:pPr>
        <w:ind w:left="0" w:hanging="2"/>
        <w:rPr>
          <w:rFonts w:ascii="Times New Roman" w:hAnsi="Times New Roman" w:eastAsia="Times New Roman" w:cs="Times New Roman"/>
        </w:rPr>
      </w:pPr>
    </w:p>
    <w:tbl>
      <w:tblPr>
        <w:tblStyle w:val="673"/>
        <w:tblW w:w="8514" w:type="dxa"/>
        <w:tblInd w:w="99" w:type="dxa"/>
        <w:tblLayout w:type="fixed"/>
        <w:tblCellMar>
          <w:top w:w="0" w:type="dxa"/>
          <w:left w:w="108" w:type="dxa"/>
          <w:bottom w:w="0" w:type="dxa"/>
          <w:right w:w="108" w:type="dxa"/>
        </w:tblCellMar>
      </w:tblPr>
      <w:tblGrid>
        <w:gridCol w:w="8514"/>
      </w:tblGrid>
      <w:tr>
        <w:tblPrEx>
          <w:tblCellMar>
            <w:top w:w="0" w:type="dxa"/>
            <w:left w:w="108" w:type="dxa"/>
            <w:bottom w:w="0" w:type="dxa"/>
            <w:right w:w="108" w:type="dxa"/>
          </w:tblCellMar>
        </w:tblPrEx>
        <w:tc>
          <w:tcPr>
            <w:tcW w:w="8514" w:type="dxa"/>
            <w:tcBorders>
              <w:top w:val="single" w:color="000000" w:sz="4" w:space="0"/>
              <w:left w:val="single" w:color="000000" w:sz="4" w:space="0"/>
              <w:bottom w:val="single" w:color="000000" w:sz="4" w:space="0"/>
              <w:right w:val="single" w:color="000000" w:sz="4" w:space="0"/>
            </w:tcBorders>
          </w:tcPr>
          <w:p>
            <w:pPr>
              <w:ind w:left="0" w:hanging="2"/>
              <w:rPr>
                <w:rFonts w:ascii="Times New Roman" w:hAnsi="Times New Roman" w:cs="Times New Roman"/>
              </w:rPr>
            </w:pPr>
            <w:r>
              <w:rPr>
                <w:rFonts w:ascii="Times New Roman" w:hAnsi="Times New Roman" w:eastAsia="Times New Roman" w:cs="Times New Roman"/>
              </w:rPr>
              <w:t xml:space="preserve">Estagiário(a):  </w:t>
            </w:r>
          </w:p>
        </w:tc>
      </w:tr>
      <w:tr>
        <w:tblPrEx>
          <w:tblCellMar>
            <w:top w:w="0" w:type="dxa"/>
            <w:left w:w="108" w:type="dxa"/>
            <w:bottom w:w="0" w:type="dxa"/>
            <w:right w:w="108" w:type="dxa"/>
          </w:tblCellMar>
        </w:tblPrEx>
        <w:tc>
          <w:tcPr>
            <w:tcW w:w="8514" w:type="dxa"/>
            <w:tcBorders>
              <w:top w:val="single" w:color="000000" w:sz="4" w:space="0"/>
              <w:left w:val="single" w:color="000000" w:sz="4" w:space="0"/>
              <w:bottom w:val="single" w:color="000000" w:sz="4" w:space="0"/>
              <w:right w:val="single" w:color="000000" w:sz="4" w:space="0"/>
            </w:tcBorders>
          </w:tcPr>
          <w:p>
            <w:pPr>
              <w:ind w:left="0" w:hanging="2"/>
              <w:rPr>
                <w:rFonts w:ascii="Times New Roman" w:hAnsi="Times New Roman" w:cs="Times New Roman"/>
              </w:rPr>
            </w:pPr>
            <w:r>
              <w:rPr>
                <w:rFonts w:ascii="Times New Roman" w:hAnsi="Times New Roman" w:eastAsia="Times New Roman" w:cs="Times New Roman"/>
              </w:rPr>
              <w:t>Campo de Estágio:</w:t>
            </w:r>
          </w:p>
        </w:tc>
      </w:tr>
      <w:tr>
        <w:tblPrEx>
          <w:tblCellMar>
            <w:top w:w="0" w:type="dxa"/>
            <w:left w:w="108" w:type="dxa"/>
            <w:bottom w:w="0" w:type="dxa"/>
            <w:right w:w="108" w:type="dxa"/>
          </w:tblCellMar>
        </w:tblPrEx>
        <w:tc>
          <w:tcPr>
            <w:tcW w:w="8514" w:type="dxa"/>
            <w:tcBorders>
              <w:top w:val="single" w:color="000000" w:sz="4" w:space="0"/>
              <w:left w:val="single" w:color="000000" w:sz="4" w:space="0"/>
              <w:bottom w:val="single" w:color="000000" w:sz="4" w:space="0"/>
              <w:right w:val="single" w:color="000000" w:sz="4" w:space="0"/>
            </w:tcBorders>
          </w:tcPr>
          <w:p>
            <w:pPr>
              <w:ind w:left="0" w:hanging="2"/>
              <w:rPr>
                <w:rFonts w:ascii="Times New Roman" w:hAnsi="Times New Roman" w:cs="Times New Roman"/>
              </w:rPr>
            </w:pPr>
            <w:r>
              <w:rPr>
                <w:rFonts w:ascii="Times New Roman" w:hAnsi="Times New Roman" w:eastAsia="Times New Roman" w:cs="Times New Roman"/>
              </w:rPr>
              <w:t>Nome do Professor(a) Supervisor(a) do Campo de Estágio:</w:t>
            </w:r>
          </w:p>
        </w:tc>
      </w:tr>
      <w:tr>
        <w:tblPrEx>
          <w:tblCellMar>
            <w:top w:w="0" w:type="dxa"/>
            <w:left w:w="108" w:type="dxa"/>
            <w:bottom w:w="0" w:type="dxa"/>
            <w:right w:w="108" w:type="dxa"/>
          </w:tblCellMar>
        </w:tblPrEx>
        <w:tc>
          <w:tcPr>
            <w:tcW w:w="8514" w:type="dxa"/>
            <w:tcBorders>
              <w:top w:val="single" w:color="000000" w:sz="4" w:space="0"/>
              <w:left w:val="single" w:color="000000" w:sz="4" w:space="0"/>
              <w:bottom w:val="single" w:color="000000" w:sz="4" w:space="0"/>
              <w:right w:val="single" w:color="000000" w:sz="4" w:space="0"/>
            </w:tcBorders>
          </w:tcPr>
          <w:p>
            <w:pPr>
              <w:ind w:left="0" w:hanging="2"/>
              <w:rPr>
                <w:rFonts w:ascii="Times New Roman" w:hAnsi="Times New Roman" w:cs="Times New Roman"/>
              </w:rPr>
            </w:pPr>
            <w:r>
              <w:rPr>
                <w:rFonts w:ascii="Times New Roman" w:hAnsi="Times New Roman" w:eastAsia="Times New Roman" w:cs="Times New Roman"/>
              </w:rPr>
              <w:t>Disciplina:</w:t>
            </w:r>
          </w:p>
        </w:tc>
      </w:tr>
      <w:tr>
        <w:tblPrEx>
          <w:tblCellMar>
            <w:top w:w="0" w:type="dxa"/>
            <w:left w:w="108" w:type="dxa"/>
            <w:bottom w:w="0" w:type="dxa"/>
            <w:right w:w="108" w:type="dxa"/>
          </w:tblCellMar>
        </w:tblPrEx>
        <w:tc>
          <w:tcPr>
            <w:tcW w:w="8514" w:type="dxa"/>
            <w:tcBorders>
              <w:top w:val="single" w:color="000000" w:sz="4" w:space="0"/>
              <w:left w:val="single" w:color="000000" w:sz="4" w:space="0"/>
              <w:bottom w:val="single" w:color="000000" w:sz="4" w:space="0"/>
              <w:right w:val="single" w:color="000000" w:sz="4" w:space="0"/>
            </w:tcBorders>
          </w:tcPr>
          <w:p>
            <w:pPr>
              <w:ind w:left="0" w:hanging="2"/>
              <w:rPr>
                <w:rFonts w:ascii="Times New Roman" w:hAnsi="Times New Roman" w:cs="Times New Roman"/>
              </w:rPr>
            </w:pPr>
            <w:r>
              <w:rPr>
                <w:rFonts w:ascii="Times New Roman" w:hAnsi="Times New Roman" w:eastAsia="Times New Roman" w:cs="Times New Roman"/>
              </w:rPr>
              <w:t>Série/Ano:</w:t>
            </w:r>
          </w:p>
        </w:tc>
      </w:tr>
      <w:tr>
        <w:tblPrEx>
          <w:tblCellMar>
            <w:top w:w="0" w:type="dxa"/>
            <w:left w:w="108" w:type="dxa"/>
            <w:bottom w:w="0" w:type="dxa"/>
            <w:right w:w="108" w:type="dxa"/>
          </w:tblCellMar>
        </w:tblPrEx>
        <w:tc>
          <w:tcPr>
            <w:tcW w:w="8514" w:type="dxa"/>
            <w:tcBorders>
              <w:top w:val="single" w:color="000000" w:sz="4" w:space="0"/>
              <w:left w:val="single" w:color="000000" w:sz="4" w:space="0"/>
              <w:bottom w:val="single" w:color="000000" w:sz="4" w:space="0"/>
              <w:right w:val="single" w:color="000000" w:sz="4" w:space="0"/>
            </w:tcBorders>
          </w:tcPr>
          <w:p>
            <w:pPr>
              <w:ind w:left="0" w:hanging="2"/>
              <w:rPr>
                <w:rFonts w:ascii="Times New Roman" w:hAnsi="Times New Roman" w:cs="Times New Roman"/>
              </w:rPr>
            </w:pPr>
            <w:r>
              <w:rPr>
                <w:rFonts w:ascii="Times New Roman" w:hAnsi="Times New Roman" w:eastAsia="Times New Roman" w:cs="Times New Roman"/>
              </w:rPr>
              <w:t>Turma:</w:t>
            </w:r>
          </w:p>
        </w:tc>
      </w:tr>
      <w:tr>
        <w:tblPrEx>
          <w:tblCellMar>
            <w:top w:w="0" w:type="dxa"/>
            <w:left w:w="108" w:type="dxa"/>
            <w:bottom w:w="0" w:type="dxa"/>
            <w:right w:w="108" w:type="dxa"/>
          </w:tblCellMar>
        </w:tblPrEx>
        <w:tc>
          <w:tcPr>
            <w:tcW w:w="8514" w:type="dxa"/>
            <w:tcBorders>
              <w:top w:val="single" w:color="000000" w:sz="4" w:space="0"/>
              <w:left w:val="single" w:color="000000" w:sz="4" w:space="0"/>
              <w:bottom w:val="single" w:color="000000" w:sz="4" w:space="0"/>
              <w:right w:val="single" w:color="000000" w:sz="4" w:space="0"/>
            </w:tcBorders>
          </w:tcPr>
          <w:p>
            <w:pPr>
              <w:ind w:left="0" w:hanging="2"/>
              <w:rPr>
                <w:rFonts w:ascii="Times New Roman" w:hAnsi="Times New Roman" w:cs="Times New Roman"/>
              </w:rPr>
            </w:pPr>
            <w:r>
              <w:rPr>
                <w:rFonts w:ascii="Times New Roman" w:hAnsi="Times New Roman" w:eastAsia="Times New Roman" w:cs="Times New Roman"/>
              </w:rPr>
              <w:t>Favor utilizar um dos conceitos abaixo para cada uma das 12 questões</w:t>
            </w:r>
          </w:p>
        </w:tc>
      </w:tr>
      <w:tr>
        <w:tblPrEx>
          <w:tblCellMar>
            <w:top w:w="0" w:type="dxa"/>
            <w:left w:w="108" w:type="dxa"/>
            <w:bottom w:w="0" w:type="dxa"/>
            <w:right w:w="108" w:type="dxa"/>
          </w:tblCellMar>
        </w:tblPrEx>
        <w:tc>
          <w:tcPr>
            <w:tcW w:w="8514" w:type="dxa"/>
            <w:tcBorders>
              <w:top w:val="single" w:color="000000" w:sz="4" w:space="0"/>
              <w:left w:val="single" w:color="000000" w:sz="4" w:space="0"/>
              <w:bottom w:val="single" w:color="000000" w:sz="4" w:space="0"/>
              <w:right w:val="single" w:color="000000" w:sz="4" w:space="0"/>
            </w:tcBorders>
          </w:tcPr>
          <w:p>
            <w:pPr>
              <w:ind w:left="0" w:hanging="2"/>
              <w:rPr>
                <w:rFonts w:ascii="Times New Roman" w:hAnsi="Times New Roman" w:cs="Times New Roman"/>
              </w:rPr>
            </w:pPr>
            <w:r>
              <w:rPr>
                <w:rFonts w:ascii="Times New Roman" w:hAnsi="Times New Roman" w:eastAsia="Times New Roman" w:cs="Times New Roman"/>
              </w:rPr>
              <w:t xml:space="preserve">(E) Excelente = desempenho excedeu as expectativas; </w:t>
            </w:r>
          </w:p>
          <w:p>
            <w:pPr>
              <w:ind w:left="0" w:hanging="2"/>
              <w:rPr>
                <w:rFonts w:ascii="Times New Roman" w:hAnsi="Times New Roman" w:cs="Times New Roman"/>
              </w:rPr>
            </w:pPr>
            <w:r>
              <w:rPr>
                <w:rFonts w:ascii="Times New Roman" w:hAnsi="Times New Roman" w:eastAsia="Times New Roman" w:cs="Times New Roman"/>
              </w:rPr>
              <w:t xml:space="preserve">(O) Ótimo = desempenho plenamente satisfatório; </w:t>
            </w:r>
          </w:p>
          <w:p>
            <w:pPr>
              <w:ind w:left="0" w:hanging="2"/>
              <w:rPr>
                <w:rFonts w:ascii="Times New Roman" w:hAnsi="Times New Roman" w:cs="Times New Roman"/>
              </w:rPr>
            </w:pPr>
            <w:r>
              <w:rPr>
                <w:rFonts w:ascii="Times New Roman" w:hAnsi="Times New Roman" w:eastAsia="Times New Roman" w:cs="Times New Roman"/>
              </w:rPr>
              <w:t xml:space="preserve">(B) Bom = desempenho satisfatório; </w:t>
            </w:r>
          </w:p>
          <w:p>
            <w:pPr>
              <w:ind w:left="0" w:hanging="2"/>
              <w:rPr>
                <w:rFonts w:ascii="Times New Roman" w:hAnsi="Times New Roman" w:cs="Times New Roman"/>
              </w:rPr>
            </w:pPr>
            <w:r>
              <w:rPr>
                <w:rFonts w:ascii="Times New Roman" w:hAnsi="Times New Roman" w:eastAsia="Times New Roman" w:cs="Times New Roman"/>
              </w:rPr>
              <w:t xml:space="preserve">(R) Regular = desempenho aquém das expectativas; </w:t>
            </w:r>
          </w:p>
          <w:p>
            <w:pPr>
              <w:ind w:left="0" w:hanging="2"/>
              <w:rPr>
                <w:rFonts w:ascii="Times New Roman" w:hAnsi="Times New Roman" w:cs="Times New Roman"/>
              </w:rPr>
            </w:pPr>
            <w:r>
              <w:rPr>
                <w:rFonts w:ascii="Times New Roman" w:hAnsi="Times New Roman" w:eastAsia="Times New Roman" w:cs="Times New Roman"/>
              </w:rPr>
              <w:t>(I) Insuficiente = desempenho ruim.</w:t>
            </w:r>
          </w:p>
        </w:tc>
      </w:tr>
      <w:tr>
        <w:tblPrEx>
          <w:tblCellMar>
            <w:top w:w="0" w:type="dxa"/>
            <w:left w:w="108" w:type="dxa"/>
            <w:bottom w:w="0" w:type="dxa"/>
            <w:right w:w="108" w:type="dxa"/>
          </w:tblCellMar>
        </w:tblPrEx>
        <w:tc>
          <w:tcPr>
            <w:tcW w:w="8514" w:type="dxa"/>
            <w:tcBorders>
              <w:top w:val="single" w:color="000000" w:sz="4" w:space="0"/>
              <w:left w:val="single" w:color="000000" w:sz="4" w:space="0"/>
              <w:bottom w:val="single" w:color="000000" w:sz="4" w:space="0"/>
              <w:right w:val="single" w:color="000000" w:sz="4" w:space="0"/>
            </w:tcBorders>
          </w:tcPr>
          <w:p>
            <w:pPr>
              <w:ind w:left="0" w:hanging="2"/>
              <w:rPr>
                <w:rFonts w:ascii="Times New Roman" w:hAnsi="Times New Roman" w:cs="Times New Roman"/>
              </w:rPr>
            </w:pPr>
            <w:r>
              <w:rPr>
                <w:rFonts w:ascii="Times New Roman" w:hAnsi="Times New Roman" w:eastAsia="Times New Roman" w:cs="Times New Roman"/>
              </w:rPr>
              <w:t xml:space="preserve">01 - (    ) Capacidade de execução do Plano de Estágio. </w:t>
            </w:r>
          </w:p>
          <w:p>
            <w:pPr>
              <w:ind w:left="0" w:hanging="2"/>
              <w:rPr>
                <w:rFonts w:ascii="Times New Roman" w:hAnsi="Times New Roman" w:cs="Times New Roman"/>
              </w:rPr>
            </w:pPr>
            <w:r>
              <w:rPr>
                <w:rFonts w:ascii="Times New Roman" w:hAnsi="Times New Roman" w:eastAsia="Times New Roman" w:cs="Times New Roman"/>
              </w:rPr>
              <w:t>02 - (    ) Relação do(a) estagiário(a) com o(a) professor(a) supervisor(a).</w:t>
            </w:r>
          </w:p>
          <w:p>
            <w:pPr>
              <w:ind w:left="0" w:hanging="2"/>
              <w:rPr>
                <w:rFonts w:ascii="Times New Roman" w:hAnsi="Times New Roman" w:cs="Times New Roman"/>
              </w:rPr>
            </w:pPr>
            <w:r>
              <w:rPr>
                <w:rFonts w:ascii="Times New Roman" w:hAnsi="Times New Roman" w:eastAsia="Times New Roman" w:cs="Times New Roman"/>
              </w:rPr>
              <w:t xml:space="preserve"> 03 - (    ) Relação do(a) estagiário(a) com os(as) demais funcionários(as). </w:t>
            </w:r>
          </w:p>
          <w:p>
            <w:pPr>
              <w:ind w:left="0" w:hanging="2"/>
              <w:rPr>
                <w:rFonts w:ascii="Times New Roman" w:hAnsi="Times New Roman" w:cs="Times New Roman"/>
              </w:rPr>
            </w:pPr>
            <w:r>
              <w:rPr>
                <w:rFonts w:ascii="Times New Roman" w:hAnsi="Times New Roman" w:eastAsia="Times New Roman" w:cs="Times New Roman"/>
              </w:rPr>
              <w:t xml:space="preserve">04 - (    ) Relação do(a) estagiário(a) com os(as) alunos(as). </w:t>
            </w:r>
          </w:p>
          <w:p>
            <w:pPr>
              <w:ind w:left="0" w:hanging="2"/>
              <w:rPr>
                <w:rFonts w:ascii="Times New Roman" w:hAnsi="Times New Roman" w:cs="Times New Roman"/>
              </w:rPr>
            </w:pPr>
            <w:r>
              <w:rPr>
                <w:rFonts w:ascii="Times New Roman" w:hAnsi="Times New Roman" w:eastAsia="Times New Roman" w:cs="Times New Roman"/>
              </w:rPr>
              <w:t xml:space="preserve">05 - (    ) Capacidade do estagiário(a) seguir as normas da instituição.  </w:t>
            </w:r>
          </w:p>
          <w:p>
            <w:pPr>
              <w:ind w:left="0" w:hanging="2"/>
              <w:rPr>
                <w:rFonts w:ascii="Times New Roman" w:hAnsi="Times New Roman" w:cs="Times New Roman"/>
              </w:rPr>
            </w:pPr>
            <w:r>
              <w:rPr>
                <w:rFonts w:ascii="Times New Roman" w:hAnsi="Times New Roman" w:eastAsia="Times New Roman" w:cs="Times New Roman"/>
              </w:rPr>
              <w:t xml:space="preserve">06 - (    ) Capacidade de aplicar a teoria de sua formação na prática do estágio (intervenções). 07 - (    ) Desenvoltura na aplicação/realização das intervenções. </w:t>
            </w:r>
          </w:p>
          <w:p>
            <w:pPr>
              <w:ind w:left="0" w:hanging="2"/>
              <w:rPr>
                <w:rFonts w:ascii="Times New Roman" w:hAnsi="Times New Roman" w:cs="Times New Roman"/>
              </w:rPr>
            </w:pPr>
            <w:r>
              <w:rPr>
                <w:rFonts w:ascii="Times New Roman" w:hAnsi="Times New Roman" w:eastAsia="Times New Roman" w:cs="Times New Roman"/>
              </w:rPr>
              <w:t xml:space="preserve">08 - (    ) Capacidade de resolver situações imprevistas. </w:t>
            </w:r>
          </w:p>
          <w:p>
            <w:pPr>
              <w:ind w:left="0" w:hanging="2"/>
              <w:rPr>
                <w:rFonts w:ascii="Times New Roman" w:hAnsi="Times New Roman" w:cs="Times New Roman"/>
              </w:rPr>
            </w:pPr>
            <w:r>
              <w:rPr>
                <w:rFonts w:ascii="Times New Roman" w:hAnsi="Times New Roman" w:eastAsia="Times New Roman" w:cs="Times New Roman"/>
              </w:rPr>
              <w:t xml:space="preserve">09 - (    ) Pro-atividade e interesse do(a) estagiário(a). </w:t>
            </w:r>
          </w:p>
          <w:p>
            <w:pPr>
              <w:ind w:left="0" w:hanging="2"/>
              <w:rPr>
                <w:rFonts w:ascii="Times New Roman" w:hAnsi="Times New Roman" w:cs="Times New Roman"/>
              </w:rPr>
            </w:pPr>
            <w:r>
              <w:rPr>
                <w:rFonts w:ascii="Times New Roman" w:hAnsi="Times New Roman" w:eastAsia="Times New Roman" w:cs="Times New Roman"/>
              </w:rPr>
              <w:t xml:space="preserve">10 - (    ) Conduta ética do(a) estagiário(a). </w:t>
            </w:r>
          </w:p>
          <w:p>
            <w:pPr>
              <w:ind w:left="0" w:hanging="2"/>
              <w:rPr>
                <w:rFonts w:ascii="Times New Roman" w:hAnsi="Times New Roman" w:cs="Times New Roman"/>
              </w:rPr>
            </w:pPr>
            <w:r>
              <w:rPr>
                <w:rFonts w:ascii="Times New Roman" w:hAnsi="Times New Roman" w:eastAsia="Times New Roman" w:cs="Times New Roman"/>
              </w:rPr>
              <w:t xml:space="preserve">11 - (    ) Pontualidade e frequência do estagiário(a). </w:t>
            </w:r>
          </w:p>
          <w:p>
            <w:pPr>
              <w:ind w:left="0" w:hanging="2"/>
              <w:rPr>
                <w:rFonts w:ascii="Times New Roman" w:hAnsi="Times New Roman" w:cs="Times New Roman"/>
              </w:rPr>
            </w:pPr>
            <w:r>
              <w:rPr>
                <w:rFonts w:ascii="Times New Roman" w:hAnsi="Times New Roman" w:eastAsia="Times New Roman" w:cs="Times New Roman"/>
              </w:rPr>
              <w:t xml:space="preserve">12 - (    ) Zelo com os materiais pertencentes ao Campo de Estágio.  </w:t>
            </w:r>
          </w:p>
          <w:p>
            <w:pPr>
              <w:ind w:left="0" w:hanging="2"/>
              <w:rPr>
                <w:rFonts w:ascii="Times New Roman" w:hAnsi="Times New Roman" w:eastAsia="Times New Roman" w:cs="Times New Roman"/>
              </w:rPr>
            </w:pPr>
          </w:p>
        </w:tc>
      </w:tr>
      <w:tr>
        <w:tblPrEx>
          <w:tblCellMar>
            <w:top w:w="0" w:type="dxa"/>
            <w:left w:w="108" w:type="dxa"/>
            <w:bottom w:w="0" w:type="dxa"/>
            <w:right w:w="108" w:type="dxa"/>
          </w:tblCellMar>
        </w:tblPrEx>
        <w:tc>
          <w:tcPr>
            <w:tcW w:w="8514" w:type="dxa"/>
            <w:tcBorders>
              <w:top w:val="single" w:color="000000" w:sz="4" w:space="0"/>
              <w:left w:val="single" w:color="000000" w:sz="4" w:space="0"/>
              <w:bottom w:val="single" w:color="000000" w:sz="4" w:space="0"/>
              <w:right w:val="single" w:color="000000" w:sz="4" w:space="0"/>
            </w:tcBorders>
          </w:tcPr>
          <w:p>
            <w:pPr>
              <w:ind w:left="0" w:hanging="2"/>
              <w:rPr>
                <w:rFonts w:ascii="Times New Roman" w:hAnsi="Times New Roman" w:cs="Times New Roman"/>
              </w:rPr>
            </w:pPr>
            <w:r>
              <w:rPr>
                <w:rFonts w:ascii="Times New Roman" w:hAnsi="Times New Roman" w:eastAsia="Times New Roman" w:cs="Times New Roman"/>
              </w:rPr>
              <w:t xml:space="preserve">Outras observações: </w:t>
            </w: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c>
      </w:tr>
    </w:tbl>
    <w:p>
      <w:pPr>
        <w:ind w:left="0" w:hanging="2"/>
        <w:rPr>
          <w:rFonts w:ascii="Times New Roman" w:hAnsi="Times New Roman" w:eastAsia="Times New Roman" w:cs="Times New Roman"/>
        </w:rPr>
      </w:pPr>
    </w:p>
    <w:p>
      <w:pPr>
        <w:ind w:left="0" w:hanging="2"/>
        <w:rPr>
          <w:rFonts w:ascii="Times New Roman" w:hAnsi="Times New Roman" w:cs="Times New Roman"/>
        </w:rPr>
      </w:pPr>
      <w:r>
        <w:rPr>
          <w:rFonts w:ascii="Times New Roman" w:hAnsi="Times New Roman" w:eastAsia="Times New Roman" w:cs="Times New Roman"/>
        </w:rPr>
        <w:t xml:space="preserve">Tendo em vista o desempenho alcançado pelo(a) estagiário(a), indico: </w:t>
      </w:r>
    </w:p>
    <w:p>
      <w:pPr>
        <w:ind w:left="0" w:hanging="2"/>
        <w:rPr>
          <w:rFonts w:ascii="Times New Roman" w:hAnsi="Times New Roman" w:cs="Times New Roman"/>
        </w:rPr>
      </w:pPr>
      <w:r>
        <w:rPr>
          <w:rFonts w:ascii="Times New Roman" w:hAnsi="Times New Roman" w:eastAsia="Times New Roman" w:cs="Times New Roman"/>
        </w:rPr>
        <w:t xml:space="preserve">(     ) aprovação do(a) estgiário(a). </w:t>
      </w:r>
    </w:p>
    <w:p>
      <w:pPr>
        <w:ind w:left="0" w:hanging="2"/>
        <w:rPr>
          <w:rFonts w:ascii="Times New Roman" w:hAnsi="Times New Roman" w:cs="Times New Roman"/>
        </w:rPr>
      </w:pPr>
      <w:r>
        <w:rPr>
          <w:rFonts w:ascii="Times New Roman" w:hAnsi="Times New Roman" w:eastAsia="Times New Roman" w:cs="Times New Roman"/>
        </w:rPr>
        <w:t xml:space="preserve">(     ) novo período de estágio. </w:t>
      </w:r>
    </w:p>
    <w:p>
      <w:pPr>
        <w:ind w:left="0" w:hanging="2"/>
        <w:rPr>
          <w:rFonts w:ascii="Times New Roman" w:hAnsi="Times New Roman" w:cs="Times New Roman"/>
        </w:rPr>
      </w:pPr>
      <w:r>
        <w:rPr>
          <w:rFonts w:ascii="Times New Roman" w:hAnsi="Times New Roman" w:eastAsia="Times New Roman" w:cs="Times New Roman"/>
        </w:rPr>
        <w:t xml:space="preserve">(     ) reprovação do(a) estagiário(a) </w:t>
      </w:r>
    </w:p>
    <w:p>
      <w:pPr>
        <w:ind w:left="0" w:hanging="2"/>
        <w:rPr>
          <w:rFonts w:ascii="Times New Roman" w:hAnsi="Times New Roman" w:cs="Times New Roman"/>
        </w:rPr>
      </w:pPr>
      <w:r>
        <w:rPr>
          <w:rFonts w:ascii="Times New Roman" w:hAnsi="Times New Roman" w:eastAsia="Times New Roman" w:cs="Times New Roman"/>
        </w:rPr>
        <w:t>DATA: ___/___/___</w:t>
      </w:r>
    </w:p>
    <w:p>
      <w:pPr>
        <w:ind w:left="0" w:hanging="2"/>
        <w:rPr>
          <w:rFonts w:ascii="Times New Roman" w:hAnsi="Times New Roman" w:eastAsia="Times New Roman" w:cs="Times New Roman"/>
        </w:rPr>
      </w:pPr>
    </w:p>
    <w:p>
      <w:pPr>
        <w:ind w:left="0" w:hanging="2"/>
        <w:rPr>
          <w:rFonts w:ascii="Times New Roman" w:hAnsi="Times New Roman" w:cs="Times New Roman"/>
        </w:rPr>
      </w:pPr>
      <w:r>
        <w:rPr>
          <w:rFonts w:ascii="Times New Roman" w:hAnsi="Times New Roman" w:eastAsia="Times New Roman" w:cs="Times New Roman"/>
        </w:rPr>
        <w:t xml:space="preserve"> Assinatura do professor(a) supervisor(a):______________________________</w:t>
      </w:r>
    </w:p>
    <w:p>
      <w:pPr>
        <w:ind w:left="0" w:hanging="2"/>
        <w:jc w:val="center"/>
        <w:rPr>
          <w:rFonts w:ascii="Times New Roman" w:hAnsi="Times New Roman" w:eastAsia="Times New Roman" w:cs="Times New Roman"/>
        </w:rPr>
      </w:pPr>
    </w:p>
    <w:p>
      <w:pPr>
        <w:ind w:left="0" w:hanging="2"/>
        <w:jc w:val="both"/>
        <w:rPr>
          <w:rFonts w:ascii="Times New Roman" w:hAnsi="Times New Roman" w:eastAsia="Times New Roman" w:cs="Times New Roman"/>
        </w:rPr>
      </w:pPr>
    </w:p>
    <w:p>
      <w:pPr>
        <w:ind w:left="0" w:hanging="2"/>
        <w:jc w:val="both"/>
        <w:rPr>
          <w:rFonts w:ascii="Times New Roman" w:hAnsi="Times New Roman" w:eastAsia="Times New Roman" w:cs="Times New Roman"/>
        </w:rPr>
      </w:pPr>
    </w:p>
    <w:p>
      <w:pPr>
        <w:ind w:left="0" w:hanging="2"/>
        <w:jc w:val="both"/>
        <w:rPr>
          <w:rFonts w:ascii="Times New Roman" w:hAnsi="Times New Roman" w:eastAsia="Times New Roman" w:cs="Times New Roman"/>
        </w:rPr>
      </w:pPr>
    </w:p>
    <w:p>
      <w:pPr>
        <w:ind w:left="0" w:hanging="2"/>
        <w:jc w:val="both"/>
        <w:rPr>
          <w:rFonts w:ascii="Times New Roman" w:hAnsi="Times New Roman" w:eastAsia="Times New Roman" w:cs="Times New Roman"/>
        </w:rPr>
      </w:pPr>
    </w:p>
    <w:p>
      <w:pPr>
        <w:ind w:left="0" w:hanging="2"/>
        <w:jc w:val="both"/>
        <w:rPr>
          <w:rFonts w:ascii="Times New Roman" w:hAnsi="Times New Roman" w:eastAsia="Times New Roman" w:cs="Times New Roman"/>
        </w:rPr>
      </w:pPr>
    </w:p>
    <w:p>
      <w:pPr>
        <w:ind w:left="0" w:hanging="2"/>
        <w:jc w:val="both"/>
        <w:rPr>
          <w:rFonts w:ascii="Times New Roman" w:hAnsi="Times New Roman" w:cs="Times New Roman"/>
        </w:rPr>
      </w:pPr>
      <w:r>
        <w:rPr>
          <w:rFonts w:ascii="Times New Roman" w:hAnsi="Times New Roman" w:eastAsia="Times New Roman" w:cs="Times New Roman"/>
          <w:b/>
        </w:rPr>
        <w:t>Anexo 03:</w:t>
      </w:r>
    </w:p>
    <w:p>
      <w:pPr>
        <w:ind w:left="0" w:hanging="2"/>
        <w:jc w:val="center"/>
        <w:rPr>
          <w:rFonts w:ascii="Times New Roman" w:hAnsi="Times New Roman" w:cs="Times New Roman"/>
        </w:rPr>
      </w:pPr>
      <w:r>
        <w:rPr>
          <w:rFonts w:ascii="Times New Roman" w:hAnsi="Times New Roman" w:eastAsia="Times New Roman" w:cs="Times New Roman"/>
          <w:b/>
        </w:rPr>
        <w:t>RESOLUÇÃO COHIS Nº 01/2019</w:t>
      </w:r>
    </w:p>
    <w:p>
      <w:pPr>
        <w:ind w:left="0" w:hanging="2"/>
        <w:rPr>
          <w:rFonts w:ascii="Times New Roman" w:hAnsi="Times New Roman" w:eastAsia="Times New Roman" w:cs="Times New Roman"/>
        </w:rPr>
      </w:pPr>
    </w:p>
    <w:p>
      <w:pPr>
        <w:ind w:left="0" w:hanging="2"/>
        <w:jc w:val="both"/>
        <w:rPr>
          <w:rFonts w:ascii="Times New Roman" w:hAnsi="Times New Roman" w:eastAsia="Times New Roman" w:cs="Times New Roman"/>
        </w:rPr>
      </w:pPr>
    </w:p>
    <w:p>
      <w:pPr>
        <w:ind w:left="0" w:hanging="2"/>
        <w:jc w:val="both"/>
        <w:rPr>
          <w:rFonts w:ascii="Times New Roman" w:hAnsi="Times New Roman" w:cs="Times New Roman"/>
        </w:rPr>
      </w:pPr>
      <w:r>
        <w:rPr>
          <w:rFonts w:ascii="Times New Roman" w:hAnsi="Times New Roman" w:eastAsia="Times New Roman" w:cs="Times New Roman"/>
        </w:rPr>
        <w:t xml:space="preserve">Dispõe sobre a regulamentação do desenvolvimento de Trabalhos de Conclusão de Curso (TCC1 e TCC2)  </w:t>
      </w:r>
    </w:p>
    <w:p>
      <w:pPr>
        <w:ind w:left="0" w:hanging="2"/>
        <w:jc w:val="both"/>
        <w:rPr>
          <w:rFonts w:ascii="Times New Roman" w:hAnsi="Times New Roman" w:eastAsia="Times New Roman" w:cs="Times New Roman"/>
        </w:rPr>
      </w:pPr>
    </w:p>
    <w:p>
      <w:pPr>
        <w:spacing w:before="396" w:line="276" w:lineRule="auto"/>
        <w:ind w:left="0" w:hanging="2"/>
        <w:jc w:val="both"/>
        <w:rPr>
          <w:rFonts w:ascii="Times New Roman" w:hAnsi="Times New Roman" w:cs="Times New Roman"/>
        </w:rPr>
      </w:pPr>
      <w:r>
        <w:rPr>
          <w:rFonts w:ascii="Times New Roman" w:hAnsi="Times New Roman" w:eastAsia="Times New Roman" w:cs="Times New Roman"/>
          <w:color w:val="000000"/>
        </w:rPr>
        <w:t>O trabalho de Conclusão de Curso (TCC) é componente curricular obrigatório (Resolução CNE/CP no 2/2015; Diretrizes Curriculares Nacionais para Licenciatura) e etapa formativa fundamental na proposta curricular da Licenciatura em História. Neste momento do curso, o estudante terá a oportunidade de colocar em prática toda a formação adquirida no curso ao projetar e realizar urn trabalho acadêmico na área de história e no campo de estudos que mais lhe interessou ao longo do curso.</w:t>
      </w:r>
    </w:p>
    <w:p>
      <w:pPr>
        <w:spacing w:before="180" w:line="266" w:lineRule="auto"/>
        <w:ind w:left="0" w:right="72" w:hanging="2"/>
        <w:jc w:val="both"/>
        <w:rPr>
          <w:rFonts w:ascii="Times New Roman" w:hAnsi="Times New Roman" w:cs="Times New Roman"/>
        </w:rPr>
      </w:pPr>
      <w:r>
        <w:rPr>
          <w:rFonts w:ascii="Times New Roman" w:hAnsi="Times New Roman" w:eastAsia="Times New Roman" w:cs="Times New Roman"/>
          <w:color w:val="000000"/>
        </w:rPr>
        <w:t>De acordo com as Diretrizes da UFOP para os cursos de Licenciaturas, espera-se que a pesquisa e o trabalho de Conclusão de Curso tenham formas distintas daquelas realizadas num curso de Bacharelado, em função da necessária reflexão sobre os objetos de ensino. Considerando-se essa orientação, o TCC na Licenciatura de história da UFOP consiste na elaboração e produção de urn trabalho voltado para o desenvolvimento de uma proposta de aprendizagem e/ou de divulgacao histórica durante a graduação.</w:t>
      </w:r>
    </w:p>
    <w:p>
      <w:pPr>
        <w:spacing w:before="144" w:line="266" w:lineRule="auto"/>
        <w:ind w:left="0" w:right="72" w:hanging="2"/>
        <w:jc w:val="both"/>
        <w:rPr>
          <w:rFonts w:ascii="Times New Roman" w:hAnsi="Times New Roman" w:cs="Times New Roman"/>
        </w:rPr>
      </w:pPr>
      <w:r>
        <w:rPr>
          <w:rFonts w:ascii="Times New Roman" w:hAnsi="Times New Roman" w:eastAsia="Times New Roman" w:cs="Times New Roman"/>
          <w:color w:val="000000"/>
        </w:rPr>
        <w:t>Por meio do Trabalho de Conclusão de Curso busca-se oportunizar ao discente mais uma atividade em que o ensino e a pesquisa acontecam de forma articulada, integrando os conteúdos especificados da disciplina acadêmica (saber de referência) às ações e atividades de aprendizagem ou divulgação histórica. Compreendemos que, assim como os conteúdos da área específica sejam fundamentais para formação docente, a mesma importância há nos conteúdos pedagógicos.</w:t>
      </w:r>
    </w:p>
    <w:p>
      <w:pPr>
        <w:spacing w:before="180" w:line="264" w:lineRule="auto"/>
        <w:ind w:left="0" w:right="72" w:hanging="2"/>
        <w:jc w:val="both"/>
        <w:rPr>
          <w:rFonts w:ascii="Times New Roman" w:hAnsi="Times New Roman" w:cs="Times New Roman"/>
        </w:rPr>
      </w:pPr>
      <w:r>
        <w:rPr>
          <w:rFonts w:ascii="Times New Roman" w:hAnsi="Times New Roman" w:eastAsia="Times New Roman" w:cs="Times New Roman"/>
          <w:color w:val="000000"/>
        </w:rPr>
        <w:t>O Trabalho de Conclusão de Curso é parte dos requisitos obrigatórios para a obtenção do título de Licenciado em História da UFOP. As atividades relacionadas ao Trabalho de Conclusão de Curso estão divididas em duas disciplinas, Trabalho de Conclusão de Curso I (TCC I) e Trabalho de Conclusão de Curso II (TCC2). Ambas as disciplinas possuem carga-horária de 90 horas, totalizando 180 horas-aula, previstas para serem realizadas uma após outra (em ordem de pré-requisito obrigatório), respectivamente nos sétimo e oitavo período do curso.</w:t>
      </w:r>
    </w:p>
    <w:p>
      <w:pPr>
        <w:spacing w:before="180" w:line="264" w:lineRule="auto"/>
        <w:ind w:left="0" w:right="72" w:hanging="2"/>
        <w:jc w:val="both"/>
        <w:rPr>
          <w:rFonts w:ascii="Times New Roman" w:hAnsi="Times New Roman" w:cs="Times New Roman"/>
        </w:rPr>
      </w:pPr>
      <w:r>
        <w:rPr>
          <w:rFonts w:ascii="Times New Roman" w:hAnsi="Times New Roman" w:eastAsia="Times New Roman" w:cs="Times New Roman"/>
          <w:color w:val="000000"/>
        </w:rPr>
        <w:t>A disciplina Trabalho de Conclusão de Curso I (TCC1) tern como objetivo "oferecer ao estudante uma visão geral sobre: (i) as possibilidades de desenvolvimento de TCC corn foco na docência, (ii) as metodologias de pesquisa na área a serem empregadas e (iii) apresentação de subsídios para a elaboração de um projeto de pesquisa/intervenção didática a ser elaborado conjuntamente corn um professor orientador (Diretrizes da UFOP para os cursos de Licenciaturas). Além disso, o estudante terá seu projeto de TCC avaliado pelo orientador ao fim do semestre letivo no qual o aluno estiver regulamente matriculado.</w:t>
      </w:r>
    </w:p>
    <w:p>
      <w:pPr>
        <w:spacing w:before="144" w:line="264" w:lineRule="auto"/>
        <w:ind w:left="0" w:right="72" w:hanging="2"/>
        <w:jc w:val="both"/>
        <w:rPr>
          <w:rFonts w:ascii="Times New Roman" w:hAnsi="Times New Roman" w:cs="Times New Roman"/>
        </w:rPr>
      </w:pPr>
      <w:r>
        <w:rPr>
          <w:rFonts w:ascii="Times New Roman" w:hAnsi="Times New Roman" w:eastAsia="Times New Roman" w:cs="Times New Roman"/>
          <w:color w:val="000000"/>
        </w:rPr>
        <w:t>Tendo finalizado e sido aprovado no TCC1, o aluno esta habilitado a se matricular no Trabalho de Conclusão de Curso II (TCC2), em que terá como tarefa o desenvolvimento de um trabalho que busque articular os conhecimentos específicos da área e as dimensões do ensino-aprendizagem da história e/ou divulgação histórica. 0 trabalho de Conclusão de curso será realizado individualmente.</w:t>
      </w:r>
    </w:p>
    <w:p>
      <w:pPr>
        <w:ind w:left="0" w:right="72" w:hanging="2"/>
        <w:jc w:val="both"/>
        <w:rPr>
          <w:rFonts w:ascii="Times New Roman" w:hAnsi="Times New Roman" w:eastAsia="Times New Roman" w:cs="Times New Roman"/>
          <w:color w:val="000000"/>
        </w:rPr>
      </w:pPr>
    </w:p>
    <w:p>
      <w:pPr>
        <w:ind w:left="0" w:right="72" w:hanging="2"/>
        <w:jc w:val="both"/>
        <w:rPr>
          <w:rFonts w:ascii="Times New Roman" w:hAnsi="Times New Roman" w:cs="Times New Roman"/>
        </w:rPr>
      </w:pPr>
      <w:r>
        <w:rPr>
          <w:rFonts w:ascii="Times New Roman" w:hAnsi="Times New Roman" w:eastAsia="Times New Roman" w:cs="Times New Roman"/>
          <w:color w:val="000000"/>
        </w:rPr>
        <w:t>As atividades das disciplinas Trabalho de Conclusão de Curso podem ser de natureza escrita (artigo de divulgação histórica, portfólio ou relato de experiência didática sobre aprendizagem histórica, inventário de documentos organizado para o ensino aprendizagem da história, artigos sobre pesquisas empíricas e teóricas sobre vários aspectos/temas relacionados a educação, aos processos de ensino e de aprendizagem, ao currículo, a avaliação, a formação de professores no campo da história; produção de sequências didáticas e de intervenceies pedagogicas), audiovisual (video ou documentario de divulgacao histórica ou sobre experiência didática no campo da história) e auditiva (Podcast) ou equivalente. Considerando as possibilidades contemporâneas na produção da cultura de história, a etapa final consolidada no TCC permitira desenvolver trabalhos alternativos, desde que a justificativa da proposta seja aceita pelo orientador.</w:t>
      </w:r>
    </w:p>
    <w:p>
      <w:pPr>
        <w:spacing w:before="396"/>
        <w:ind w:left="0" w:right="72" w:hanging="2"/>
        <w:jc w:val="both"/>
        <w:rPr>
          <w:rFonts w:ascii="Times New Roman" w:hAnsi="Times New Roman" w:cs="Times New Roman"/>
        </w:rPr>
      </w:pPr>
      <w:r>
        <w:rPr>
          <w:rFonts w:ascii="Times New Roman" w:hAnsi="Times New Roman" w:eastAsia="Times New Roman" w:cs="Times New Roman"/>
          <w:color w:val="000000"/>
        </w:rPr>
        <w:t>A diversidade de formas para o Trabalho de Conclusão de Curso está associada necessidade da incorporação a formação docente do acesso as tecnologias de informação e comunicação do mundo contemporâneo, assim como tais tecnologias impactam o trabalho dos historiadores/professores de história.</w:t>
      </w:r>
    </w:p>
    <w:p>
      <w:pPr>
        <w:spacing w:before="252"/>
        <w:ind w:left="0" w:right="72" w:hanging="2"/>
        <w:jc w:val="both"/>
        <w:rPr>
          <w:rFonts w:ascii="Times New Roman" w:hAnsi="Times New Roman" w:cs="Times New Roman"/>
        </w:rPr>
      </w:pPr>
      <w:r>
        <w:rPr>
          <w:rFonts w:ascii="Times New Roman" w:hAnsi="Times New Roman" w:eastAsia="Times New Roman" w:cs="Times New Roman"/>
          <w:color w:val="000000"/>
        </w:rPr>
        <w:t xml:space="preserve">A escolha do orientador é de iniciativa do estudante, respeitada a relação entre o currículo acadêmico deste profissional e as escolhas teóricas, metodologicas e temáticas que norteiam o trabalho que será produzido. </w:t>
      </w:r>
      <w:r>
        <w:rPr>
          <w:rFonts w:ascii="Times New Roman" w:hAnsi="Times New Roman" w:eastAsia="Times New Roman" w:cs="Times New Roman"/>
        </w:rPr>
        <w:t xml:space="preserve">A entrega do Termo de Compromisso (assinado pelo orientador e pelo aluno) na Secretaria do Colegiado será feita </w:t>
      </w:r>
      <w:r>
        <w:rPr>
          <w:rFonts w:ascii="Times New Roman" w:hAnsi="Times New Roman" w:eastAsia="Times New Roman" w:cs="Times New Roman"/>
          <w:u w:val="single"/>
        </w:rPr>
        <w:t>pelo aluno</w:t>
      </w:r>
      <w:r>
        <w:rPr>
          <w:rFonts w:ascii="Times New Roman" w:hAnsi="Times New Roman" w:eastAsia="Times New Roman" w:cs="Times New Roman"/>
        </w:rPr>
        <w:t xml:space="preserve"> após o início do semestre letivo em que este estiver matriculado nas discilinas de TCC1 ou TCC2.</w:t>
      </w:r>
    </w:p>
    <w:p>
      <w:pPr>
        <w:spacing w:before="216"/>
        <w:ind w:left="0" w:right="72" w:hanging="2"/>
        <w:jc w:val="both"/>
        <w:rPr>
          <w:rFonts w:ascii="Times New Roman" w:hAnsi="Times New Roman" w:cs="Times New Roman"/>
        </w:rPr>
      </w:pPr>
      <w:r>
        <w:rPr>
          <w:rFonts w:ascii="Times New Roman" w:hAnsi="Times New Roman" w:eastAsia="Times New Roman" w:cs="Times New Roman"/>
          <w:color w:val="000000"/>
        </w:rPr>
        <w:t>De acordo corn a política institucional de formação de professores da UFOP (Diretrizes da UFOP para os cursos de Licenciaturas) é recomendável que todos os professores dos cursos de licenciatura atuem como orientadores dos projetos.</w:t>
      </w:r>
    </w:p>
    <w:p>
      <w:pPr>
        <w:spacing w:before="252"/>
        <w:ind w:left="0" w:right="72" w:hanging="2"/>
        <w:jc w:val="both"/>
        <w:rPr>
          <w:rFonts w:ascii="Times New Roman" w:hAnsi="Times New Roman" w:cs="Times New Roman"/>
        </w:rPr>
      </w:pPr>
      <w:r>
        <w:rPr>
          <w:rFonts w:ascii="Times New Roman" w:hAnsi="Times New Roman" w:eastAsia="Times New Roman" w:cs="Times New Roman"/>
          <w:color w:val="000000"/>
        </w:rPr>
        <w:t>0 orientador pode ser de fora do Departamento de História, mas a escolha do estudante neste sentido sera avaliada pelo Colegiado.</w:t>
      </w:r>
    </w:p>
    <w:p>
      <w:pPr>
        <w:spacing w:before="180"/>
        <w:ind w:left="0" w:right="72" w:hanging="2"/>
        <w:jc w:val="both"/>
        <w:rPr>
          <w:rFonts w:ascii="Times New Roman" w:hAnsi="Times New Roman" w:cs="Times New Roman"/>
        </w:rPr>
      </w:pPr>
      <w:r>
        <w:rPr>
          <w:rFonts w:ascii="Times New Roman" w:hAnsi="Times New Roman" w:eastAsia="Times New Roman" w:cs="Times New Roman"/>
          <w:color w:val="000000"/>
        </w:rPr>
        <w:t xml:space="preserve">A avaliação do componente curricular Trabalho de Conclusao de Curso é feita na forma de leitura crítica e confecção de pareceres, realizada por professor. do Departamento ou de fora. O envio do texto para os leitores é de responsabilidade do aluno/orientador e deve ser feito </w:t>
      </w:r>
      <w:r>
        <w:rPr>
          <w:rFonts w:ascii="Times New Roman" w:hAnsi="Times New Roman" w:eastAsia="Times New Roman" w:cs="Times New Roman"/>
        </w:rPr>
        <w:t xml:space="preserve"> até 1 mês antes do término do semestre.</w:t>
      </w:r>
    </w:p>
    <w:p>
      <w:pPr>
        <w:spacing w:before="288"/>
        <w:ind w:left="0" w:right="72" w:hanging="2"/>
        <w:jc w:val="both"/>
        <w:rPr>
          <w:rFonts w:ascii="Times New Roman" w:hAnsi="Times New Roman" w:cs="Times New Roman"/>
        </w:rPr>
      </w:pPr>
      <w:r>
        <w:rPr>
          <w:rFonts w:ascii="Times New Roman" w:hAnsi="Times New Roman" w:eastAsia="Times New Roman" w:cs="Times New Roman"/>
          <w:color w:val="000000"/>
        </w:rPr>
        <w:t>Por fim, de acordo corn as Diretrizes da UFOP para os cursos de Licenciaturas, a versão final do Trabalho de Conclusão de Curso do estudante deve ser depositada, obrigatoriamente, na BDTCC, de acordo corn as instruções e padrões estabelecidos pela Resolução CEPE 7.210 de 29 de junho de 2017.</w:t>
      </w:r>
    </w:p>
    <w:p>
      <w:pPr>
        <w:spacing w:before="288"/>
        <w:ind w:left="0" w:right="72" w:hanging="2"/>
        <w:jc w:val="both"/>
        <w:rPr>
          <w:rFonts w:ascii="Times New Roman" w:hAnsi="Times New Roman" w:eastAsia="Times New Roman" w:cs="Times New Roman"/>
          <w:color w:val="FF0000"/>
          <w:highlight w:val="yellow"/>
        </w:rPr>
      </w:pPr>
    </w:p>
    <w:p>
      <w:pPr>
        <w:ind w:left="0" w:hanging="2"/>
        <w:jc w:val="both"/>
        <w:rPr>
          <w:rFonts w:ascii="Times New Roman" w:hAnsi="Times New Roman" w:eastAsia="Times New Roman" w:cs="Times New Roman"/>
          <w:color w:val="FF0000"/>
          <w:highlight w:val="yellow"/>
        </w:rPr>
      </w:pPr>
    </w:p>
    <w:p>
      <w:pPr>
        <w:ind w:left="0" w:hanging="2"/>
        <w:jc w:val="both"/>
        <w:rPr>
          <w:rFonts w:ascii="Times New Roman" w:hAnsi="Times New Roman" w:cs="Times New Roman"/>
        </w:rPr>
      </w:pPr>
      <w:r>
        <w:rPr>
          <w:rFonts w:ascii="Times New Roman" w:hAnsi="Times New Roman" w:eastAsia="Times New Roman" w:cs="Times New Roman"/>
        </w:rPr>
        <w:t>Mariana, 18 de dezembro de 2019.</w:t>
      </w:r>
    </w:p>
    <w:p>
      <w:pPr>
        <w:ind w:left="0" w:hanging="2"/>
        <w:jc w:val="both"/>
        <w:rPr>
          <w:rFonts w:ascii="Times New Roman" w:hAnsi="Times New Roman" w:eastAsia="Times New Roman" w:cs="Times New Roman"/>
        </w:rPr>
      </w:pPr>
    </w:p>
    <w:p>
      <w:pPr>
        <w:ind w:left="0" w:hanging="2"/>
        <w:jc w:val="both"/>
        <w:rPr>
          <w:rFonts w:ascii="Times New Roman" w:hAnsi="Times New Roman" w:eastAsia="Times New Roman" w:cs="Times New Roman"/>
        </w:rPr>
      </w:pPr>
    </w:p>
    <w:p>
      <w:pPr>
        <w:ind w:left="0" w:hanging="2"/>
        <w:jc w:val="both"/>
        <w:rPr>
          <w:rFonts w:ascii="Times New Roman" w:hAnsi="Times New Roman" w:eastAsia="Times New Roman" w:cs="Times New Roman"/>
        </w:rPr>
      </w:pPr>
    </w:p>
    <w:p>
      <w:pPr>
        <w:ind w:left="0" w:hanging="2"/>
        <w:jc w:val="center"/>
        <w:rPr>
          <w:rFonts w:ascii="Times New Roman" w:hAnsi="Times New Roman" w:cs="Times New Roman"/>
        </w:rPr>
      </w:pPr>
      <w:r>
        <w:rPr>
          <w:rFonts w:ascii="Times New Roman" w:hAnsi="Times New Roman" w:eastAsia="Times New Roman" w:cs="Times New Roman"/>
          <w:b/>
        </w:rPr>
        <w:t>Profa. Dra. Ana Mônica Henriques Lopes</w:t>
      </w:r>
    </w:p>
    <w:p>
      <w:pPr>
        <w:ind w:left="0" w:hanging="2"/>
        <w:jc w:val="center"/>
        <w:rPr>
          <w:rFonts w:ascii="Times New Roman" w:hAnsi="Times New Roman" w:cs="Times New Roman"/>
        </w:rPr>
      </w:pPr>
      <w:r>
        <w:rPr>
          <w:rFonts w:ascii="Times New Roman" w:hAnsi="Times New Roman" w:eastAsia="Times New Roman" w:cs="Times New Roman"/>
          <w:b/>
        </w:rPr>
        <w:t>Coordnadora do curso de História Licenciatura</w:t>
      </w:r>
    </w:p>
    <w:p>
      <w:pPr>
        <w:ind w:left="0" w:hanging="2"/>
        <w:jc w:val="center"/>
        <w:rPr>
          <w:rFonts w:ascii="Times New Roman" w:hAnsi="Times New Roman" w:cs="Times New Roman"/>
        </w:rPr>
      </w:pPr>
      <w:r>
        <w:rPr>
          <w:rFonts w:ascii="Times New Roman" w:hAnsi="Times New Roman" w:eastAsia="Times New Roman" w:cs="Times New Roman"/>
          <w:b/>
        </w:rPr>
        <w:t>ICHS/UFOP</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b/>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b/>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b/>
          <w:color w:val="000000"/>
        </w:rPr>
        <w:t>Anexo 04:</w:t>
      </w:r>
    </w:p>
    <w:p>
      <w:pPr>
        <w:widowControl w:val="0"/>
        <w:numPr>
          <w:ilvl w:val="0"/>
          <w:numId w:val="25"/>
        </w:numPr>
        <w:pBdr>
          <w:top w:val="none" w:color="auto" w:sz="0" w:space="0"/>
          <w:left w:val="none" w:color="auto" w:sz="0" w:space="0"/>
          <w:bottom w:val="none" w:color="auto" w:sz="0" w:space="0"/>
          <w:right w:val="none" w:color="auto" w:sz="0" w:space="0"/>
          <w:between w:val="none" w:color="auto" w:sz="0" w:space="0"/>
        </w:pBdr>
        <w:tabs>
          <w:tab w:val="left" w:pos="0"/>
        </w:tabs>
        <w:spacing w:before="90" w:line="240" w:lineRule="auto"/>
        <w:ind w:hanging="2"/>
        <w:jc w:val="center"/>
        <w:rPr>
          <w:rFonts w:ascii="Times New Roman" w:hAnsi="Times New Roman" w:eastAsia="Times New Roman" w:cs="Times New Roman"/>
          <w:b/>
          <w:color w:val="000000"/>
        </w:rPr>
      </w:pPr>
      <w:r>
        <w:rPr>
          <w:rFonts w:ascii="Times New Roman" w:hAnsi="Times New Roman" w:eastAsia="Times New Roman" w:cs="Times New Roman"/>
          <w:b/>
          <w:color w:val="000000"/>
        </w:rPr>
        <w:t>RESOLUÇÃO COHIS Nº 02/2019</w:t>
      </w: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jc w:val="both"/>
        <w:rPr>
          <w:rFonts w:ascii="Times New Roman" w:hAnsi="Times New Roman" w:cs="Times New Roman"/>
        </w:rPr>
      </w:pPr>
      <w:r>
        <w:rPr>
          <w:rFonts w:ascii="Times New Roman" w:hAnsi="Times New Roman" w:eastAsia="Times New Roman" w:cs="Times New Roman"/>
        </w:rPr>
        <w:t>Dispõe sobre as normas para cumprimento das Atividades Acadêmicas, Científicas e Culturais (ATVs 022 e 023):</w:t>
      </w:r>
    </w:p>
    <w:p>
      <w:pPr>
        <w:ind w:left="0" w:hanging="2"/>
        <w:jc w:val="both"/>
        <w:rPr>
          <w:rFonts w:ascii="Times New Roman" w:hAnsi="Times New Roman" w:eastAsia="Times New Roman" w:cs="Times New Roman"/>
        </w:rPr>
      </w:pPr>
    </w:p>
    <w:p>
      <w:pPr>
        <w:ind w:left="0" w:hanging="2"/>
        <w:jc w:val="both"/>
        <w:rPr>
          <w:rFonts w:ascii="Times New Roman" w:hAnsi="Times New Roman" w:eastAsia="Times New Roman" w:cs="Times New Roman"/>
        </w:rPr>
      </w:pPr>
    </w:p>
    <w:p>
      <w:pPr>
        <w:spacing w:line="360" w:lineRule="auto"/>
        <w:ind w:left="0" w:hanging="2"/>
        <w:jc w:val="both"/>
        <w:rPr>
          <w:rFonts w:ascii="Times New Roman" w:hAnsi="Times New Roman" w:cs="Times New Roman"/>
        </w:rPr>
      </w:pPr>
      <w:r>
        <w:rPr>
          <w:rFonts w:ascii="Times New Roman" w:hAnsi="Times New Roman" w:eastAsia="Times New Roman" w:cs="Times New Roman"/>
          <w:b/>
        </w:rPr>
        <w:t>1</w:t>
      </w:r>
      <w:r>
        <w:rPr>
          <w:rFonts w:ascii="Times New Roman" w:hAnsi="Times New Roman" w:eastAsia="Times New Roman" w:cs="Times New Roman"/>
        </w:rPr>
        <w:t xml:space="preserve"> - Para as turmas ingressantes nos currículos 5 (excetuando-se as turmas 2019/02), as Atividades Complementares (ATVs 022 e 023), referentes a 200 horas, poderão ser cumpridas através das seguintes opções:</w:t>
      </w:r>
    </w:p>
    <w:p>
      <w:pPr>
        <w:spacing w:line="360" w:lineRule="auto"/>
        <w:ind w:left="0" w:hanging="2"/>
        <w:jc w:val="both"/>
        <w:rPr>
          <w:rFonts w:ascii="Times New Roman" w:hAnsi="Times New Roman" w:eastAsia="Times New Roman" w:cs="Times New Roman"/>
        </w:rPr>
      </w:pPr>
    </w:p>
    <w:p>
      <w:pPr>
        <w:spacing w:line="360" w:lineRule="auto"/>
        <w:ind w:left="0" w:hanging="2"/>
        <w:jc w:val="both"/>
        <w:rPr>
          <w:rFonts w:ascii="Times New Roman" w:hAnsi="Times New Roman" w:cs="Times New Roman"/>
        </w:rPr>
      </w:pPr>
      <w:r>
        <w:rPr>
          <w:rFonts w:ascii="Times New Roman" w:hAnsi="Times New Roman" w:eastAsia="Times New Roman" w:cs="Times New Roman"/>
        </w:rPr>
        <w:t>a) Representação estudantil nos órgãos administrativos da Universidade Federal de Ouro Preto. Cada semestre de representação equivalerá a 50 horas;</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b) Exercício de tutorias, monitorias e de bolsas pró-ativa, cada semestre de atividade equivalendo a 50 horas;</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c) Participação em museus, arquivos, editoração de revistas e congêneres, que equivalerá a 50 horas por semestre;</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d) Participação em eventos, oficinas, cursos e congêneres. No caso de eventos, oficinas, cursos e congêneres, serão reconhecidas as horas indicadas nos certificados de participação. </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e) A apresentação de trabalhos em eventos, oficinas, cursos e congêneres equivalerá ao dobro das horas indicadas no certificado. Em caso de não haver indicação de horas, serão atribuídas 4 horas por apresentação.</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f) A organização de em eventos, oficinas, cursos e congêneres equivalerá ao dobro das horas indicadas no certificado tendo como limite 25 horas (que equivalerão a 50 horas) por semestre. Em caso de não haver indicação de horas, as horas não serão consideradas.</w:t>
      </w:r>
    </w:p>
    <w:p>
      <w:pPr>
        <w:spacing w:line="360" w:lineRule="auto"/>
        <w:ind w:left="0" w:hanging="2"/>
        <w:jc w:val="both"/>
        <w:rPr>
          <w:rFonts w:ascii="Times New Roman" w:hAnsi="Times New Roman" w:cs="Times New Roman"/>
        </w:rPr>
      </w:pPr>
      <w:r>
        <w:rPr>
          <w:rFonts w:ascii="Times New Roman" w:hAnsi="Times New Roman" w:eastAsia="Times New Roman" w:cs="Times New Roman"/>
        </w:rPr>
        <w:t>g) A realização de Iniciação Científica (IC), contando 50 horas de ATVs a cada semestre de pesquisa. Caso a IC já tenha sido utilizada para o aproveitamento de Estágio III ou IV, é vedado ao aluno utilizá-la para cômputo de hora de ATVs. Caso o faça, sofrerá processo disciplinar e terá pena equivalente à descrita no item 4.</w:t>
      </w:r>
    </w:p>
    <w:p>
      <w:pPr>
        <w:spacing w:line="360" w:lineRule="auto"/>
        <w:ind w:left="0" w:hanging="2"/>
        <w:jc w:val="both"/>
        <w:rPr>
          <w:rFonts w:ascii="Times New Roman" w:hAnsi="Times New Roman" w:cs="Times New Roman"/>
        </w:rPr>
      </w:pPr>
      <w:r>
        <w:rPr>
          <w:rFonts w:ascii="Times New Roman" w:hAnsi="Times New Roman" w:eastAsia="Times New Roman" w:cs="Times New Roman"/>
          <w:b/>
        </w:rPr>
        <w:t>2</w:t>
      </w:r>
      <w:r>
        <w:rPr>
          <w:rFonts w:ascii="Times New Roman" w:hAnsi="Times New Roman" w:eastAsia="Times New Roman" w:cs="Times New Roman"/>
        </w:rPr>
        <w:t xml:space="preserve"> - Além das alternativas sugeridas acima, os alunos poderão apresentar, desde que comprovadas, outras propostas de atividades, cuja pertinência e equivalência em termos de horas serão avaliadas pelo presidente do Colegiado.</w:t>
      </w:r>
    </w:p>
    <w:p>
      <w:pPr>
        <w:spacing w:line="360" w:lineRule="auto"/>
        <w:ind w:left="0" w:hanging="2"/>
        <w:jc w:val="both"/>
        <w:rPr>
          <w:rFonts w:ascii="Times New Roman" w:hAnsi="Times New Roman" w:eastAsia="Times New Roman" w:cs="Times New Roman"/>
        </w:rPr>
      </w:pPr>
    </w:p>
    <w:p>
      <w:pPr>
        <w:spacing w:line="360" w:lineRule="auto"/>
        <w:ind w:left="0" w:hanging="2"/>
        <w:jc w:val="both"/>
        <w:rPr>
          <w:rFonts w:ascii="Times New Roman" w:hAnsi="Times New Roman" w:cs="Times New Roman"/>
        </w:rPr>
      </w:pPr>
      <w:r>
        <w:rPr>
          <w:rFonts w:ascii="Times New Roman" w:hAnsi="Times New Roman" w:eastAsia="Times New Roman" w:cs="Times New Roman"/>
          <w:b/>
        </w:rPr>
        <w:t>3</w:t>
      </w:r>
      <w:r>
        <w:rPr>
          <w:rFonts w:ascii="Times New Roman" w:hAnsi="Times New Roman" w:eastAsia="Times New Roman" w:cs="Times New Roman"/>
        </w:rPr>
        <w:t xml:space="preserve"> - É vedado o cômputo concomitante de ATVs com outras atividades desenvolvidas para o cumprimento da carga horária das disciplinas do curso, assim como com atividades desenvolvidas dentro do Estágio Curricular.</w:t>
      </w:r>
    </w:p>
    <w:p>
      <w:pPr>
        <w:spacing w:line="360" w:lineRule="auto"/>
        <w:ind w:left="0" w:hanging="2"/>
        <w:jc w:val="both"/>
        <w:rPr>
          <w:rFonts w:ascii="Times New Roman" w:hAnsi="Times New Roman" w:eastAsia="Times New Roman" w:cs="Times New Roman"/>
        </w:rPr>
      </w:pPr>
    </w:p>
    <w:p>
      <w:pPr>
        <w:tabs>
          <w:tab w:val="left" w:pos="142"/>
        </w:tabs>
        <w:spacing w:line="360" w:lineRule="auto"/>
        <w:ind w:left="0" w:hanging="2"/>
        <w:jc w:val="both"/>
        <w:rPr>
          <w:rFonts w:ascii="Times New Roman" w:hAnsi="Times New Roman" w:cs="Times New Roman"/>
        </w:rPr>
      </w:pPr>
      <w:r>
        <w:rPr>
          <w:rFonts w:ascii="Times New Roman" w:hAnsi="Times New Roman" w:eastAsia="Times New Roman" w:cs="Times New Roman"/>
          <w:b/>
        </w:rPr>
        <w:t xml:space="preserve">4- </w:t>
      </w:r>
      <w:r>
        <w:rPr>
          <w:rFonts w:ascii="Times New Roman" w:hAnsi="Times New Roman" w:eastAsia="Times New Roman" w:cs="Times New Roman"/>
        </w:rPr>
        <w:t>Um mesmo documento não pode ser apresentado mais de uma vez para cômputo de horas de ATVs ou para outro tipo de aproveitamento, sob pena de processo disciplinar que levará à pena de advertência ao aluno mais a perda de 3 horas de atividades por hora pedida e comprovadamente duplicada.</w:t>
      </w:r>
    </w:p>
    <w:p>
      <w:pPr>
        <w:spacing w:line="360" w:lineRule="auto"/>
        <w:ind w:left="0" w:hanging="2"/>
        <w:jc w:val="both"/>
        <w:rPr>
          <w:rFonts w:ascii="Times New Roman" w:hAnsi="Times New Roman" w:eastAsia="Times New Roman" w:cs="Times New Roman"/>
        </w:rPr>
      </w:pPr>
    </w:p>
    <w:p>
      <w:pPr>
        <w:spacing w:line="360" w:lineRule="auto"/>
        <w:ind w:left="0" w:hanging="2"/>
        <w:jc w:val="both"/>
        <w:rPr>
          <w:rFonts w:ascii="Times New Roman" w:hAnsi="Times New Roman" w:cs="Times New Roman"/>
        </w:rPr>
      </w:pPr>
      <w:r>
        <w:rPr>
          <w:rFonts w:ascii="Times New Roman" w:hAnsi="Times New Roman" w:eastAsia="Times New Roman" w:cs="Times New Roman"/>
          <w:b/>
        </w:rPr>
        <w:t>5</w:t>
      </w:r>
      <w:r>
        <w:rPr>
          <w:rFonts w:ascii="Times New Roman" w:hAnsi="Times New Roman" w:eastAsia="Times New Roman" w:cs="Times New Roman"/>
        </w:rPr>
        <w:t xml:space="preserve"> – Caberá ao estudante efetuar a comprovação do cumprimento das referidas atividades por meio do envio da documentação comprobatória ao Colegiado do Curso, obedecendo às seguintes recomendações:</w:t>
      </w:r>
    </w:p>
    <w:p>
      <w:pPr>
        <w:spacing w:line="360" w:lineRule="auto"/>
        <w:ind w:left="0" w:hanging="2"/>
        <w:jc w:val="both"/>
        <w:rPr>
          <w:rFonts w:ascii="Times New Roman" w:hAnsi="Times New Roman" w:eastAsia="Times New Roman" w:cs="Times New Roman"/>
        </w:rPr>
      </w:pPr>
    </w:p>
    <w:p>
      <w:pPr>
        <w:tabs>
          <w:tab w:val="left" w:pos="1080"/>
        </w:tabs>
        <w:spacing w:line="360" w:lineRule="auto"/>
        <w:ind w:left="0" w:hanging="2"/>
        <w:jc w:val="both"/>
        <w:rPr>
          <w:rFonts w:ascii="Times New Roman" w:hAnsi="Times New Roman" w:cs="Times New Roman"/>
        </w:rPr>
      </w:pPr>
      <w:r>
        <w:rPr>
          <w:rFonts w:ascii="Times New Roman" w:hAnsi="Times New Roman" w:eastAsia="Times New Roman" w:cs="Times New Roman"/>
        </w:rPr>
        <w:t xml:space="preserve">a) </w:t>
      </w:r>
      <w:r>
        <w:rPr>
          <w:rFonts w:ascii="Times New Roman" w:hAnsi="Times New Roman" w:eastAsia="Times New Roman" w:cs="Times New Roman"/>
        </w:rPr>
        <w:tab/>
      </w:r>
      <w:r>
        <w:rPr>
          <w:rFonts w:ascii="Times New Roman" w:hAnsi="Times New Roman" w:eastAsia="Times New Roman" w:cs="Times New Roman"/>
        </w:rPr>
        <w:t xml:space="preserve">A documentação enviada ao Colegiado com pedido de validação do cumprimento das ATVs deve ser protocolada a qualquer prazo, desde que cumprida integralmente a carga horária prevista para cada uma das ATVs, a saber </w:t>
      </w:r>
      <w:r>
        <w:rPr>
          <w:rFonts w:ascii="Times New Roman" w:hAnsi="Times New Roman" w:eastAsia="Times New Roman" w:cs="Times New Roman"/>
          <w:b/>
        </w:rPr>
        <w:t>ATV022 – 100 horas e ATV023 – 100 horas.</w:t>
      </w:r>
    </w:p>
    <w:p>
      <w:pPr>
        <w:tabs>
          <w:tab w:val="left" w:pos="1080"/>
        </w:tabs>
        <w:spacing w:line="360" w:lineRule="auto"/>
        <w:ind w:left="0" w:hanging="2"/>
        <w:jc w:val="both"/>
        <w:rPr>
          <w:rFonts w:ascii="Times New Roman" w:hAnsi="Times New Roman" w:cs="Times New Roman"/>
        </w:rPr>
      </w:pPr>
      <w:r>
        <w:rPr>
          <w:rFonts w:ascii="Times New Roman" w:hAnsi="Times New Roman" w:eastAsia="Times New Roman" w:cs="Times New Roman"/>
        </w:rPr>
        <w:t>b)</w:t>
      </w:r>
      <w:r>
        <w:rPr>
          <w:rFonts w:ascii="Times New Roman" w:hAnsi="Times New Roman" w:eastAsia="Times New Roman" w:cs="Times New Roman"/>
        </w:rPr>
        <w:tab/>
      </w:r>
      <w:r>
        <w:rPr>
          <w:rFonts w:ascii="Times New Roman" w:hAnsi="Times New Roman" w:eastAsia="Times New Roman" w:cs="Times New Roman"/>
        </w:rPr>
        <w:t xml:space="preserve">As atividades deverão ser registradas e numeradas em formulário apropriado (ver Anexo 1), especificando-se a natureza da atividade, a carga horária cumprida, a instituição onde foi realizada, o local e a data. </w:t>
      </w:r>
    </w:p>
    <w:p>
      <w:pPr>
        <w:tabs>
          <w:tab w:val="left" w:pos="1080"/>
        </w:tabs>
        <w:spacing w:line="360" w:lineRule="auto"/>
        <w:ind w:left="0" w:hanging="2"/>
        <w:jc w:val="both"/>
        <w:rPr>
          <w:rFonts w:ascii="Times New Roman" w:hAnsi="Times New Roman" w:cs="Times New Roman"/>
        </w:rPr>
      </w:pPr>
      <w:r>
        <w:rPr>
          <w:rFonts w:ascii="Times New Roman" w:hAnsi="Times New Roman" w:eastAsia="Times New Roman" w:cs="Times New Roman"/>
        </w:rPr>
        <w:t>c)</w:t>
      </w:r>
      <w:r>
        <w:rPr>
          <w:rFonts w:ascii="Times New Roman" w:hAnsi="Times New Roman" w:eastAsia="Times New Roman" w:cs="Times New Roman"/>
        </w:rPr>
        <w:tab/>
      </w:r>
      <w:r>
        <w:rPr>
          <w:rFonts w:ascii="Times New Roman" w:hAnsi="Times New Roman" w:eastAsia="Times New Roman" w:cs="Times New Roman"/>
        </w:rPr>
        <w:t>Para cada atividade registrada o estudante deverá anexar cópia da documentação comprobatória, devidamente numerada;</w:t>
      </w:r>
    </w:p>
    <w:p>
      <w:pPr>
        <w:tabs>
          <w:tab w:val="left" w:pos="1080"/>
        </w:tabs>
        <w:spacing w:line="360" w:lineRule="auto"/>
        <w:ind w:left="0" w:hanging="2"/>
        <w:jc w:val="both"/>
        <w:rPr>
          <w:rFonts w:ascii="Times New Roman" w:hAnsi="Times New Roman" w:cs="Times New Roman"/>
        </w:rPr>
      </w:pPr>
      <w:r>
        <w:rPr>
          <w:rFonts w:ascii="Times New Roman" w:hAnsi="Times New Roman" w:eastAsia="Times New Roman" w:cs="Times New Roman"/>
        </w:rPr>
        <w:t>d)</w:t>
      </w:r>
      <w:r>
        <w:rPr>
          <w:rFonts w:ascii="Times New Roman" w:hAnsi="Times New Roman" w:eastAsia="Times New Roman" w:cs="Times New Roman"/>
        </w:rPr>
        <w:tab/>
      </w:r>
      <w:r>
        <w:rPr>
          <w:rFonts w:ascii="Times New Roman" w:hAnsi="Times New Roman" w:eastAsia="Times New Roman" w:cs="Times New Roman"/>
        </w:rPr>
        <w:t>A concessão de carga horária a cada atividade realizada pelo estudante será feita pelo Colegiado de Curso, ou comissão por ele designada, mediante análise da documentação protocolada pelo estudante e em obediência à “Tabela de Conversão de Atividades” (ver Anexo 2);</w:t>
      </w:r>
    </w:p>
    <w:p>
      <w:pPr>
        <w:tabs>
          <w:tab w:val="left" w:pos="1080"/>
        </w:tabs>
        <w:spacing w:line="360" w:lineRule="auto"/>
        <w:ind w:left="0" w:hanging="2"/>
        <w:jc w:val="both"/>
        <w:rPr>
          <w:rFonts w:ascii="Times New Roman" w:hAnsi="Times New Roman" w:eastAsia="Times New Roman" w:cs="Times New Roman"/>
        </w:rPr>
      </w:pPr>
    </w:p>
    <w:p>
      <w:pPr>
        <w:tabs>
          <w:tab w:val="left" w:pos="142"/>
        </w:tabs>
        <w:spacing w:line="360" w:lineRule="auto"/>
        <w:ind w:left="0" w:hanging="2"/>
        <w:jc w:val="both"/>
        <w:rPr>
          <w:rFonts w:ascii="Times New Roman" w:hAnsi="Times New Roman" w:cs="Times New Roman"/>
        </w:rPr>
      </w:pPr>
      <w:r>
        <w:rPr>
          <w:rFonts w:ascii="Times New Roman" w:hAnsi="Times New Roman" w:eastAsia="Times New Roman" w:cs="Times New Roman"/>
          <w:b/>
        </w:rPr>
        <w:t>6-</w:t>
      </w:r>
      <w:r>
        <w:rPr>
          <w:rFonts w:ascii="Times New Roman" w:hAnsi="Times New Roman" w:eastAsia="Times New Roman" w:cs="Times New Roman"/>
        </w:rPr>
        <w:t xml:space="preserve"> Após a análise da documentação protocolada pelo estudante, o Cohis deverá solicitar à Seção de Ensino o registro da carga horária cumprida pelo aluno. </w:t>
      </w:r>
    </w:p>
    <w:p>
      <w:pPr>
        <w:tabs>
          <w:tab w:val="left" w:pos="142"/>
        </w:tabs>
        <w:spacing w:line="360" w:lineRule="auto"/>
        <w:ind w:left="0" w:hanging="2"/>
        <w:jc w:val="both"/>
        <w:rPr>
          <w:rFonts w:ascii="Times New Roman" w:hAnsi="Times New Roman" w:eastAsia="Times New Roman" w:cs="Times New Roman"/>
        </w:rPr>
      </w:pPr>
    </w:p>
    <w:p>
      <w:pPr>
        <w:ind w:left="0" w:hanging="2"/>
        <w:jc w:val="both"/>
        <w:rPr>
          <w:rFonts w:ascii="Times New Roman" w:hAnsi="Times New Roman" w:cs="Times New Roman"/>
        </w:rPr>
      </w:pPr>
      <w:r>
        <w:rPr>
          <w:rFonts w:ascii="Times New Roman" w:hAnsi="Times New Roman" w:eastAsia="Times New Roman" w:cs="Times New Roman"/>
        </w:rPr>
        <w:t>Esta resolução entra em vigor a partir do primeiro semestre letivo de 2020.</w:t>
      </w:r>
    </w:p>
    <w:p>
      <w:pPr>
        <w:spacing w:line="360" w:lineRule="auto"/>
        <w:ind w:left="0" w:hanging="2"/>
        <w:jc w:val="both"/>
        <w:rPr>
          <w:rFonts w:ascii="Times New Roman" w:hAnsi="Times New Roman" w:eastAsia="Times New Roman" w:cs="Times New Roman"/>
        </w:rPr>
      </w:pPr>
    </w:p>
    <w:p>
      <w:pPr>
        <w:spacing w:line="360" w:lineRule="auto"/>
        <w:ind w:left="0" w:hanging="2"/>
        <w:jc w:val="both"/>
        <w:rPr>
          <w:rFonts w:ascii="Times New Roman" w:hAnsi="Times New Roman" w:cs="Times New Roman"/>
        </w:rPr>
      </w:pPr>
      <w:r>
        <w:rPr>
          <w:rFonts w:ascii="Times New Roman" w:hAnsi="Times New Roman" w:eastAsia="Times New Roman" w:cs="Times New Roman"/>
        </w:rPr>
        <w:t>Mariana, 03 de Dezembro de 2019.</w:t>
      </w:r>
    </w:p>
    <w:p>
      <w:pPr>
        <w:spacing w:line="360" w:lineRule="auto"/>
        <w:ind w:left="0" w:hanging="2"/>
        <w:jc w:val="both"/>
        <w:rPr>
          <w:rFonts w:ascii="Times New Roman" w:hAnsi="Times New Roman" w:eastAsia="Times New Roman" w:cs="Times New Roman"/>
        </w:rPr>
      </w:pPr>
    </w:p>
    <w:p>
      <w:pPr>
        <w:spacing w:line="360" w:lineRule="auto"/>
        <w:ind w:left="0" w:hanging="2"/>
        <w:jc w:val="both"/>
        <w:rPr>
          <w:rFonts w:ascii="Times New Roman" w:hAnsi="Times New Roman" w:eastAsia="Times New Roman" w:cs="Times New Roman"/>
        </w:rPr>
      </w:pPr>
    </w:p>
    <w:p>
      <w:pPr>
        <w:ind w:left="0" w:hanging="2"/>
        <w:jc w:val="both"/>
        <w:rPr>
          <w:rFonts w:ascii="Times New Roman" w:hAnsi="Times New Roman" w:eastAsia="Times New Roman" w:cs="Times New Roman"/>
        </w:rPr>
      </w:pPr>
    </w:p>
    <w:p>
      <w:pPr>
        <w:ind w:left="0" w:hanging="2"/>
        <w:jc w:val="center"/>
        <w:rPr>
          <w:rFonts w:ascii="Times New Roman" w:hAnsi="Times New Roman" w:cs="Times New Roman"/>
        </w:rPr>
      </w:pPr>
      <w:r>
        <w:rPr>
          <w:rFonts w:ascii="Times New Roman" w:hAnsi="Times New Roman" w:eastAsia="Times New Roman" w:cs="Times New Roman"/>
          <w:b/>
        </w:rPr>
        <w:t>Profa. Dra. Ana Mônica Henriques Lopes</w:t>
      </w:r>
    </w:p>
    <w:p>
      <w:pPr>
        <w:ind w:left="0" w:hanging="2"/>
        <w:jc w:val="center"/>
        <w:rPr>
          <w:rFonts w:ascii="Times New Roman" w:hAnsi="Times New Roman" w:cs="Times New Roman"/>
        </w:rPr>
        <w:sectPr>
          <w:headerReference r:id="rId34" w:type="first"/>
          <w:footerReference r:id="rId37" w:type="first"/>
          <w:headerReference r:id="rId32" w:type="default"/>
          <w:footerReference r:id="rId35" w:type="default"/>
          <w:headerReference r:id="rId33" w:type="even"/>
          <w:footerReference r:id="rId36" w:type="even"/>
          <w:pgSz w:w="11906" w:h="16838"/>
          <w:pgMar w:top="1418" w:right="1701" w:bottom="1418" w:left="1701" w:header="573" w:footer="936" w:gutter="0"/>
          <w:cols w:space="720" w:num="1"/>
        </w:sectPr>
      </w:pPr>
      <w:r>
        <w:rPr>
          <w:rFonts w:ascii="Times New Roman" w:hAnsi="Times New Roman" w:eastAsia="Times New Roman" w:cs="Times New Roman"/>
          <w:b/>
        </w:rPr>
        <w:t>Coordnadora do curso de História Licenciatura</w:t>
      </w:r>
    </w:p>
    <w:p>
      <w:pPr>
        <w:widowControl w:val="0"/>
        <w:numPr>
          <w:ilvl w:val="0"/>
          <w:numId w:val="25"/>
        </w:numPr>
        <w:pBdr>
          <w:top w:val="none" w:color="auto" w:sz="0" w:space="0"/>
          <w:left w:val="none" w:color="auto" w:sz="0" w:space="0"/>
          <w:bottom w:val="none" w:color="auto" w:sz="0" w:space="0"/>
          <w:right w:val="none" w:color="auto" w:sz="0" w:space="0"/>
          <w:between w:val="none" w:color="auto" w:sz="0" w:space="0"/>
        </w:pBdr>
        <w:tabs>
          <w:tab w:val="left" w:pos="0"/>
        </w:tabs>
        <w:spacing w:before="90" w:line="240" w:lineRule="auto"/>
        <w:ind w:right="-10" w:hanging="2"/>
        <w:rPr>
          <w:rFonts w:ascii="Times New Roman" w:hAnsi="Times New Roman" w:eastAsia="Times New Roman" w:cs="Times New Roman"/>
          <w:b/>
          <w:color w:val="000000"/>
        </w:rPr>
      </w:pPr>
      <w:r>
        <w:rPr>
          <w:rFonts w:ascii="Times New Roman" w:hAnsi="Times New Roman" w:eastAsia="Times New Roman" w:cs="Times New Roman"/>
          <w:b/>
          <w:color w:val="000000"/>
        </w:rPr>
        <w:t>ANEXO 1 - FICHA DE “ATIVIDADES ACADÊMICO-CIENTÍFICO-CULTURAIS”</w:t>
      </w:r>
    </w:p>
    <w:p>
      <w:pPr>
        <w:tabs>
          <w:tab w:val="left" w:pos="9498"/>
          <w:tab w:val="left" w:pos="15593"/>
        </w:tabs>
        <w:ind w:left="0" w:hanging="2"/>
        <w:rPr>
          <w:rFonts w:ascii="Times New Roman" w:hAnsi="Times New Roman" w:eastAsia="Times New Roman" w:cs="Times New Roman"/>
        </w:rPr>
      </w:pPr>
      <w:r>
        <w:rPr>
          <w:rFonts w:ascii="Times New Roman" w:hAnsi="Times New Roman" w:cs="Times New Roman"/>
          <w:lang w:eastAsia="pt-BR" w:bidi="ar-SA"/>
        </w:rPr>
        <mc:AlternateContent>
          <mc:Choice Requires="wps">
            <w:drawing>
              <wp:anchor distT="0" distB="0" distL="0" distR="0" simplePos="0" relativeHeight="251668480" behindDoc="0" locked="0" layoutInCell="1" allowOverlap="1">
                <wp:simplePos x="0" y="0"/>
                <wp:positionH relativeFrom="column">
                  <wp:posOffset>0</wp:posOffset>
                </wp:positionH>
                <wp:positionV relativeFrom="paragraph">
                  <wp:posOffset>0</wp:posOffset>
                </wp:positionV>
                <wp:extent cx="6394450" cy="178435"/>
                <wp:effectExtent l="0" t="0" r="0" b="0"/>
                <wp:wrapTopAndBottom/>
                <wp:docPr id="1054" name="Retângulo 1054"/>
                <wp:cNvGraphicFramePr/>
                <a:graphic xmlns:a="http://schemas.openxmlformats.org/drawingml/2006/main">
                  <a:graphicData uri="http://schemas.microsoft.com/office/word/2010/wordprocessingShape">
                    <wps:wsp>
                      <wps:cNvSpPr/>
                      <wps:spPr>
                        <a:xfrm>
                          <a:off x="2153538" y="3695545"/>
                          <a:ext cx="6384925" cy="168910"/>
                        </a:xfrm>
                        <a:prstGeom prst="rect">
                          <a:avLst/>
                        </a:prstGeom>
                        <a:solidFill>
                          <a:srgbClr val="FFFFFF"/>
                        </a:solidFill>
                        <a:ln>
                          <a:noFill/>
                        </a:ln>
                      </wps:spPr>
                      <wps:txbx>
                        <w:txbxContent>
                          <w:p>
                            <w:pPr>
                              <w:spacing w:line="240" w:lineRule="auto"/>
                              <w:ind w:left="0" w:hanging="2"/>
                              <w:jc w:val="center"/>
                            </w:pPr>
                            <w:r>
                              <w:rPr>
                                <w:rFonts w:ascii="Times New Roman" w:hAnsi="Times New Roman" w:eastAsia="Times New Roman" w:cs="Times New Roman"/>
                                <w:b/>
                                <w:color w:val="000000"/>
                              </w:rPr>
                              <w:t>ICHS/UFOP</w:t>
                            </w:r>
                          </w:p>
                          <w:p>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id="_x0000_s1026" o:spid="_x0000_s1026" o:spt="1" style="position:absolute;left:0pt;margin-left:0pt;margin-top:0pt;height:14.05pt;width:503.5pt;mso-wrap-distance-bottom:0pt;mso-wrap-distance-top:0pt;z-index:251668480;mso-width-relative:page;mso-height-relative:page;" fillcolor="#FFFFFF" filled="t" stroked="f" coordsize="21600,21600" o:gfxdata="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Ex7jdMAAAAFAQAADwAAAAAAAAABACAAAAAiAAAAZHJzL2Rv&#10;d25yZXYueG1sUEsBAhQAFAAAAAgAh07iQOHzPXAGAgAA/gMAAA4AAAAAAAAAAQAgAAAAIgEAAGRy&#10;cy9lMm9Eb2MueG1sUEsFBgAAAAAGAAYAWQEAAJoFAAAAAA==&#10;">
                <v:fill on="t" focussize="0,0"/>
                <v:stroke on="f"/>
                <v:imagedata o:title=""/>
                <o:lock v:ext="edit" aspectratio="f"/>
                <v:textbox inset="7.1988188976378pt,3.59842519685039pt,7.1988188976378pt,3.59842519685039pt">
                  <w:txbxContent>
                    <w:p>
                      <w:pPr>
                        <w:spacing w:line="240" w:lineRule="auto"/>
                        <w:ind w:left="0" w:hanging="2"/>
                        <w:jc w:val="center"/>
                      </w:pPr>
                      <w:r>
                        <w:rPr>
                          <w:rFonts w:ascii="Times New Roman" w:hAnsi="Times New Roman" w:eastAsia="Times New Roman" w:cs="Times New Roman"/>
                          <w:b/>
                          <w:color w:val="000000"/>
                        </w:rPr>
                        <w:t>ICHS/UFOP</w:t>
                      </w:r>
                    </w:p>
                    <w:p>
                      <w:pPr>
                        <w:spacing w:line="240" w:lineRule="auto"/>
                        <w:ind w:left="0" w:hanging="2"/>
                      </w:pPr>
                    </w:p>
                  </w:txbxContent>
                </v:textbox>
                <w10:wrap type="topAndBottom"/>
              </v:rect>
            </w:pict>
          </mc:Fallback>
        </mc:AlternateContent>
      </w:r>
    </w:p>
    <w:p>
      <w:pPr>
        <w:tabs>
          <w:tab w:val="left" w:pos="9498"/>
          <w:tab w:val="left" w:pos="15593"/>
        </w:tabs>
        <w:ind w:left="0" w:hanging="2"/>
        <w:rPr>
          <w:rFonts w:ascii="Times New Roman" w:hAnsi="Times New Roman" w:cs="Times New Roman"/>
        </w:rPr>
      </w:pPr>
      <w:r>
        <w:rPr>
          <w:rFonts w:ascii="Times New Roman" w:hAnsi="Times New Roman" w:eastAsia="Times New Roman" w:cs="Times New Roman"/>
          <w:b/>
        </w:rPr>
        <w:t>ALUNO(A):</w:t>
      </w:r>
      <w:r>
        <w:rPr>
          <w:rFonts w:ascii="Times New Roman" w:hAnsi="Times New Roman" w:eastAsia="Times New Roman" w:cs="Times New Roman"/>
        </w:rPr>
        <w:tab/>
      </w:r>
      <w:r>
        <w:rPr>
          <w:rFonts w:ascii="Times New Roman" w:hAnsi="Times New Roman" w:eastAsia="Times New Roman" w:cs="Times New Roman"/>
        </w:rPr>
        <w:t>Matrícula_________________________ Telefone: _______________ Endereço eletrônico: _________________________________</w:t>
      </w:r>
    </w:p>
    <w:p>
      <w:pPr>
        <w:tabs>
          <w:tab w:val="left" w:pos="9498"/>
          <w:tab w:val="left" w:pos="15593"/>
        </w:tabs>
        <w:ind w:left="0" w:hanging="2"/>
        <w:rPr>
          <w:rFonts w:ascii="Times New Roman" w:hAnsi="Times New Roman" w:eastAsia="Times New Roman" w:cs="Times New Roman"/>
        </w:rPr>
      </w:pPr>
    </w:p>
    <w:p>
      <w:pPr>
        <w:tabs>
          <w:tab w:val="left" w:pos="9498"/>
          <w:tab w:val="left" w:pos="15593"/>
        </w:tabs>
        <w:ind w:left="0" w:hanging="2"/>
        <w:jc w:val="center"/>
        <w:rPr>
          <w:rFonts w:ascii="Times New Roman" w:hAnsi="Times New Roman" w:cs="Times New Roman"/>
        </w:rPr>
      </w:pPr>
      <w:r>
        <w:rPr>
          <w:rFonts w:ascii="Times New Roman" w:hAnsi="Times New Roman" w:eastAsia="Times New Roman" w:cs="Times New Roman"/>
          <w:b/>
        </w:rPr>
        <w:t>(   ) ATV 022</w:t>
      </w:r>
      <w:r>
        <w:rPr>
          <w:rFonts w:ascii="Times New Roman" w:hAnsi="Times New Roman" w:eastAsia="Times New Roman" w:cs="Times New Roman"/>
        </w:rPr>
        <w:t xml:space="preserve">                                  </w:t>
      </w:r>
      <w:r>
        <w:rPr>
          <w:rFonts w:ascii="Times New Roman" w:hAnsi="Times New Roman" w:eastAsia="Times New Roman" w:cs="Times New Roman"/>
          <w:b/>
        </w:rPr>
        <w:t xml:space="preserve">     (   ) ATV 023</w:t>
      </w:r>
    </w:p>
    <w:p>
      <w:pPr>
        <w:tabs>
          <w:tab w:val="left" w:pos="9498"/>
          <w:tab w:val="left" w:pos="15593"/>
        </w:tabs>
        <w:ind w:left="0" w:hanging="2"/>
        <w:jc w:val="center"/>
        <w:rPr>
          <w:rFonts w:ascii="Times New Roman" w:hAnsi="Times New Roman" w:eastAsia="Times New Roman" w:cs="Times New Roman"/>
        </w:rPr>
      </w:pPr>
    </w:p>
    <w:tbl>
      <w:tblPr>
        <w:tblStyle w:val="674"/>
        <w:tblW w:w="10936" w:type="dxa"/>
        <w:tblInd w:w="2348" w:type="dxa"/>
        <w:tblLayout w:type="fixed"/>
        <w:tblCellMar>
          <w:top w:w="0" w:type="dxa"/>
          <w:left w:w="70" w:type="dxa"/>
          <w:bottom w:w="0" w:type="dxa"/>
          <w:right w:w="70" w:type="dxa"/>
        </w:tblCellMar>
      </w:tblPr>
      <w:tblGrid>
        <w:gridCol w:w="10936"/>
      </w:tblGrid>
      <w:tr>
        <w:tblPrEx>
          <w:tblCellMar>
            <w:top w:w="0" w:type="dxa"/>
            <w:left w:w="70" w:type="dxa"/>
            <w:bottom w:w="0" w:type="dxa"/>
            <w:right w:w="70" w:type="dxa"/>
          </w:tblCellMar>
        </w:tblPrEx>
        <w:trPr>
          <w:trHeight w:val="165" w:hRule="atLeast"/>
        </w:trPr>
        <w:tc>
          <w:tcPr>
            <w:tcW w:w="10936" w:type="dxa"/>
            <w:tcBorders>
              <w:top w:val="single" w:color="000000" w:sz="4" w:space="0"/>
              <w:left w:val="single" w:color="000000" w:sz="4" w:space="0"/>
              <w:bottom w:val="single" w:color="000000" w:sz="4" w:space="0"/>
              <w:right w:val="single" w:color="000000" w:sz="4" w:space="0"/>
            </w:tcBorders>
            <w:shd w:val="clear" w:color="auto" w:fill="C0C0C0"/>
            <w:vAlign w:val="center"/>
          </w:tcPr>
          <w:p>
            <w:pPr>
              <w:numPr>
                <w:ilvl w:val="6"/>
                <w:numId w:val="25"/>
              </w:numPr>
              <w:pBdr>
                <w:top w:val="none" w:color="auto" w:sz="0" w:space="0"/>
                <w:left w:val="none" w:color="auto" w:sz="0" w:space="0"/>
                <w:bottom w:val="none" w:color="auto" w:sz="0" w:space="0"/>
                <w:right w:val="none" w:color="auto" w:sz="0" w:space="0"/>
                <w:between w:val="none" w:color="auto" w:sz="0" w:space="0"/>
              </w:pBdr>
              <w:tabs>
                <w:tab w:val="left" w:pos="0"/>
              </w:tabs>
              <w:spacing w:before="240" w:after="60" w:line="240" w:lineRule="auto"/>
              <w:ind w:hanging="2"/>
              <w:jc w:val="center"/>
              <w:rPr>
                <w:rFonts w:ascii="Times New Roman" w:hAnsi="Times New Roman" w:eastAsia="Calibri" w:cs="Times New Roman"/>
                <w:color w:val="000000"/>
              </w:rPr>
            </w:pPr>
            <w:r>
              <w:rPr>
                <w:rFonts w:ascii="Times New Roman" w:hAnsi="Times New Roman" w:eastAsia="Times New Roman" w:cs="Times New Roman"/>
                <w:color w:val="000000"/>
              </w:rPr>
              <w:t>ORDENE E NUMERE AS CÓPIAS DOS COMPROVANTES ANTES DE RELACIONÁ-LAS</w:t>
            </w:r>
          </w:p>
        </w:tc>
      </w:tr>
    </w:tbl>
    <w:p>
      <w:pPr>
        <w:tabs>
          <w:tab w:val="left" w:pos="14175"/>
        </w:tabs>
        <w:ind w:left="0" w:hanging="2"/>
        <w:rPr>
          <w:rFonts w:ascii="Times New Roman" w:hAnsi="Times New Roman" w:cs="Times New Roman"/>
        </w:rPr>
      </w:pPr>
      <w:r>
        <w:rPr>
          <w:rFonts w:ascii="Times New Roman" w:hAnsi="Times New Roman" w:eastAsia="Times New Roman" w:cs="Times New Roman"/>
        </w:rPr>
        <w:t xml:space="preserve"> </w:t>
      </w:r>
    </w:p>
    <w:tbl>
      <w:tblPr>
        <w:tblStyle w:val="675"/>
        <w:tblW w:w="15450" w:type="dxa"/>
        <w:tblInd w:w="-385" w:type="dxa"/>
        <w:tblLayout w:type="fixed"/>
        <w:tblCellMar>
          <w:top w:w="0" w:type="dxa"/>
          <w:left w:w="70" w:type="dxa"/>
          <w:bottom w:w="0" w:type="dxa"/>
          <w:right w:w="70" w:type="dxa"/>
        </w:tblCellMar>
      </w:tblPr>
      <w:tblGrid>
        <w:gridCol w:w="1270"/>
        <w:gridCol w:w="1613"/>
        <w:gridCol w:w="1938"/>
        <w:gridCol w:w="2873"/>
        <w:gridCol w:w="426"/>
        <w:gridCol w:w="1981"/>
        <w:gridCol w:w="955"/>
        <w:gridCol w:w="1136"/>
        <w:gridCol w:w="1274"/>
        <w:gridCol w:w="1984"/>
      </w:tblGrid>
      <w:tr>
        <w:tblPrEx>
          <w:tblCellMar>
            <w:top w:w="0" w:type="dxa"/>
            <w:left w:w="70" w:type="dxa"/>
            <w:bottom w:w="0" w:type="dxa"/>
            <w:right w:w="70" w:type="dxa"/>
          </w:tblCellMar>
        </w:tblPrEx>
        <w:trPr>
          <w:cantSplit/>
          <w:trHeight w:val="400" w:hRule="atLeast"/>
        </w:trPr>
        <w:tc>
          <w:tcPr>
            <w:tcW w:w="1270" w:type="dxa"/>
            <w:tcBorders>
              <w:top w:val="single" w:color="000000" w:sz="12" w:space="0"/>
              <w:left w:val="single" w:color="000000" w:sz="12" w:space="0"/>
              <w:bottom w:val="single" w:color="000000" w:sz="6" w:space="0"/>
            </w:tcBorders>
            <w:shd w:val="clear" w:color="auto" w:fill="C0C0C0"/>
            <w:vAlign w:val="center"/>
          </w:tcPr>
          <w:p>
            <w:pPr>
              <w:tabs>
                <w:tab w:val="left" w:pos="8647"/>
              </w:tabs>
              <w:ind w:left="0" w:hanging="2"/>
              <w:jc w:val="center"/>
              <w:rPr>
                <w:rFonts w:ascii="Times New Roman" w:hAnsi="Times New Roman" w:cs="Times New Roman"/>
              </w:rPr>
            </w:pPr>
            <w:r>
              <w:rPr>
                <w:rFonts w:ascii="Times New Roman" w:hAnsi="Times New Roman" w:eastAsia="Times New Roman" w:cs="Times New Roman"/>
                <w:b/>
              </w:rPr>
              <w:t>Nº do documento</w:t>
            </w:r>
          </w:p>
        </w:tc>
        <w:tc>
          <w:tcPr>
            <w:tcW w:w="1613" w:type="dxa"/>
            <w:tcBorders>
              <w:top w:val="single" w:color="000000" w:sz="12" w:space="0"/>
              <w:left w:val="single" w:color="000000" w:sz="12" w:space="0"/>
              <w:bottom w:val="single" w:color="000000" w:sz="6" w:space="0"/>
            </w:tcBorders>
            <w:shd w:val="clear" w:color="auto" w:fill="C0C0C0"/>
            <w:vAlign w:val="center"/>
          </w:tcPr>
          <w:p>
            <w:pPr>
              <w:numPr>
                <w:ilvl w:val="4"/>
                <w:numId w:val="25"/>
              </w:numPr>
              <w:pBdr>
                <w:top w:val="none" w:color="auto" w:sz="0" w:space="0"/>
                <w:left w:val="none" w:color="auto" w:sz="0" w:space="0"/>
                <w:bottom w:val="none" w:color="auto" w:sz="0" w:space="0"/>
                <w:right w:val="none" w:color="auto" w:sz="0" w:space="0"/>
                <w:between w:val="none" w:color="auto" w:sz="0" w:space="0"/>
              </w:pBdr>
              <w:tabs>
                <w:tab w:val="left" w:pos="0"/>
              </w:tabs>
              <w:spacing w:before="240" w:after="60" w:line="240" w:lineRule="auto"/>
              <w:ind w:hanging="2"/>
              <w:jc w:val="center"/>
              <w:rPr>
                <w:rFonts w:ascii="Times New Roman" w:hAnsi="Times New Roman" w:eastAsia="Calibri" w:cs="Times New Roman"/>
                <w:b/>
                <w:i/>
                <w:color w:val="000000"/>
              </w:rPr>
            </w:pPr>
            <w:r>
              <w:rPr>
                <w:rFonts w:ascii="Times New Roman" w:hAnsi="Times New Roman" w:eastAsia="Times New Roman" w:cs="Times New Roman"/>
                <w:b/>
                <w:i/>
                <w:color w:val="000000"/>
              </w:rPr>
              <w:t>Data/Período</w:t>
            </w:r>
          </w:p>
        </w:tc>
        <w:tc>
          <w:tcPr>
            <w:tcW w:w="1938" w:type="dxa"/>
            <w:tcBorders>
              <w:top w:val="single" w:color="000000" w:sz="12" w:space="0"/>
              <w:left w:val="single" w:color="000000" w:sz="6" w:space="0"/>
              <w:bottom w:val="single" w:color="000000" w:sz="6" w:space="0"/>
            </w:tcBorders>
            <w:shd w:val="clear" w:color="auto" w:fill="C0C0C0"/>
            <w:vAlign w:val="center"/>
          </w:tcPr>
          <w:p>
            <w:pPr>
              <w:numPr>
                <w:ilvl w:val="4"/>
                <w:numId w:val="25"/>
              </w:numPr>
              <w:pBdr>
                <w:top w:val="none" w:color="auto" w:sz="0" w:space="0"/>
                <w:left w:val="none" w:color="auto" w:sz="0" w:space="0"/>
                <w:bottom w:val="none" w:color="auto" w:sz="0" w:space="0"/>
                <w:right w:val="none" w:color="auto" w:sz="0" w:space="0"/>
                <w:between w:val="none" w:color="auto" w:sz="0" w:space="0"/>
              </w:pBdr>
              <w:tabs>
                <w:tab w:val="left" w:pos="0"/>
                <w:tab w:val="left" w:pos="7892"/>
              </w:tabs>
              <w:spacing w:before="240" w:after="60" w:line="240" w:lineRule="auto"/>
              <w:ind w:hanging="2"/>
              <w:jc w:val="center"/>
              <w:rPr>
                <w:rFonts w:ascii="Times New Roman" w:hAnsi="Times New Roman" w:eastAsia="Calibri" w:cs="Times New Roman"/>
                <w:b/>
                <w:i/>
                <w:color w:val="000000"/>
              </w:rPr>
            </w:pPr>
            <w:r>
              <w:rPr>
                <w:rFonts w:ascii="Times New Roman" w:hAnsi="Times New Roman" w:eastAsia="Times New Roman" w:cs="Times New Roman"/>
                <w:b/>
                <w:i/>
                <w:color w:val="000000"/>
              </w:rPr>
              <w:t>Instituição/local</w:t>
            </w:r>
          </w:p>
        </w:tc>
        <w:tc>
          <w:tcPr>
            <w:tcW w:w="6235" w:type="dxa"/>
            <w:gridSpan w:val="4"/>
            <w:tcBorders>
              <w:top w:val="single" w:color="000000" w:sz="12" w:space="0"/>
              <w:left w:val="single" w:color="000000" w:sz="6" w:space="0"/>
              <w:bottom w:val="single" w:color="000000" w:sz="6" w:space="0"/>
            </w:tcBorders>
            <w:shd w:val="clear" w:color="auto" w:fill="C0C0C0"/>
            <w:vAlign w:val="center"/>
          </w:tcPr>
          <w:p>
            <w:pPr>
              <w:numPr>
                <w:ilvl w:val="4"/>
                <w:numId w:val="25"/>
              </w:numPr>
              <w:pBdr>
                <w:top w:val="none" w:color="auto" w:sz="0" w:space="0"/>
                <w:left w:val="none" w:color="auto" w:sz="0" w:space="0"/>
                <w:bottom w:val="none" w:color="auto" w:sz="0" w:space="0"/>
                <w:right w:val="none" w:color="auto" w:sz="0" w:space="0"/>
                <w:between w:val="none" w:color="auto" w:sz="0" w:space="0"/>
              </w:pBdr>
              <w:tabs>
                <w:tab w:val="left" w:pos="0"/>
                <w:tab w:val="left" w:pos="7892"/>
              </w:tabs>
              <w:spacing w:before="240" w:after="60" w:line="240" w:lineRule="auto"/>
              <w:ind w:hanging="2"/>
              <w:jc w:val="center"/>
              <w:rPr>
                <w:rFonts w:ascii="Times New Roman" w:hAnsi="Times New Roman" w:eastAsia="Calibri" w:cs="Times New Roman"/>
                <w:b/>
                <w:i/>
                <w:color w:val="000000"/>
              </w:rPr>
            </w:pPr>
            <w:r>
              <w:rPr>
                <w:rFonts w:ascii="Times New Roman" w:hAnsi="Times New Roman" w:eastAsia="Times New Roman" w:cs="Times New Roman"/>
                <w:b/>
                <w:i/>
                <w:color w:val="000000"/>
              </w:rPr>
              <w:t>DISCRIMINAÇÃO DA ATIVIDADE</w:t>
            </w:r>
          </w:p>
        </w:tc>
        <w:tc>
          <w:tcPr>
            <w:tcW w:w="1136" w:type="dxa"/>
            <w:tcBorders>
              <w:top w:val="single" w:color="000000" w:sz="12" w:space="0"/>
              <w:left w:val="single" w:color="000000" w:sz="6" w:space="0"/>
              <w:bottom w:val="single" w:color="000000" w:sz="6" w:space="0"/>
            </w:tcBorders>
            <w:shd w:val="clear" w:color="auto" w:fill="C0C0C0"/>
            <w:vAlign w:val="center"/>
          </w:tcPr>
          <w:p>
            <w:pPr>
              <w:tabs>
                <w:tab w:val="left" w:pos="8647"/>
              </w:tabs>
              <w:ind w:left="0" w:hanging="2"/>
              <w:jc w:val="center"/>
              <w:rPr>
                <w:rFonts w:ascii="Times New Roman" w:hAnsi="Times New Roman" w:cs="Times New Roman"/>
              </w:rPr>
            </w:pPr>
            <w:r>
              <w:rPr>
                <w:rFonts w:ascii="Times New Roman" w:hAnsi="Times New Roman" w:eastAsia="Times New Roman" w:cs="Times New Roman"/>
                <w:b/>
              </w:rPr>
              <w:t xml:space="preserve">Nº. de horas atestadas </w:t>
            </w:r>
          </w:p>
        </w:tc>
        <w:tc>
          <w:tcPr>
            <w:tcW w:w="1274" w:type="dxa"/>
            <w:tcBorders>
              <w:top w:val="single" w:color="000000" w:sz="12" w:space="0"/>
              <w:left w:val="single" w:color="000000" w:sz="6" w:space="0"/>
              <w:bottom w:val="single" w:color="000000" w:sz="6" w:space="0"/>
            </w:tcBorders>
            <w:shd w:val="clear" w:color="auto" w:fill="C0C0C0"/>
          </w:tcPr>
          <w:p>
            <w:pPr>
              <w:tabs>
                <w:tab w:val="left" w:pos="7892"/>
              </w:tabs>
              <w:ind w:left="0" w:hanging="2"/>
              <w:jc w:val="center"/>
              <w:rPr>
                <w:rFonts w:ascii="Times New Roman" w:hAnsi="Times New Roman" w:cs="Times New Roman"/>
              </w:rPr>
            </w:pPr>
            <w:r>
              <w:rPr>
                <w:rFonts w:ascii="Times New Roman" w:hAnsi="Times New Roman" w:eastAsia="Times New Roman" w:cs="Times New Roman"/>
                <w:b/>
              </w:rPr>
              <w:t xml:space="preserve">Nº. de horas requeridas </w:t>
            </w:r>
          </w:p>
        </w:tc>
        <w:tc>
          <w:tcPr>
            <w:tcW w:w="1984" w:type="dxa"/>
            <w:tcBorders>
              <w:top w:val="single" w:color="000000" w:sz="12" w:space="0"/>
              <w:left w:val="single" w:color="000000" w:sz="6" w:space="0"/>
              <w:bottom w:val="single" w:color="000000" w:sz="6" w:space="0"/>
              <w:right w:val="single" w:color="000000" w:sz="6" w:space="0"/>
            </w:tcBorders>
            <w:shd w:val="clear" w:color="auto" w:fill="C0C0C0"/>
            <w:vAlign w:val="center"/>
          </w:tcPr>
          <w:p>
            <w:pPr>
              <w:tabs>
                <w:tab w:val="left" w:pos="7892"/>
              </w:tabs>
              <w:ind w:left="0" w:hanging="2"/>
              <w:jc w:val="center"/>
              <w:rPr>
                <w:rFonts w:ascii="Times New Roman" w:hAnsi="Times New Roman" w:cs="Times New Roman"/>
              </w:rPr>
            </w:pPr>
            <w:r>
              <w:rPr>
                <w:rFonts w:ascii="Times New Roman" w:hAnsi="Times New Roman" w:eastAsia="Times New Roman" w:cs="Times New Roman"/>
                <w:b/>
              </w:rPr>
              <w:t>Validação pelo</w:t>
            </w:r>
          </w:p>
          <w:p>
            <w:pPr>
              <w:tabs>
                <w:tab w:val="left" w:pos="2003"/>
                <w:tab w:val="left" w:pos="7892"/>
              </w:tabs>
              <w:ind w:left="0" w:hanging="2"/>
              <w:jc w:val="center"/>
              <w:rPr>
                <w:rFonts w:ascii="Times New Roman" w:hAnsi="Times New Roman" w:cs="Times New Roman"/>
              </w:rPr>
            </w:pPr>
            <w:r>
              <w:rPr>
                <w:rFonts w:ascii="Times New Roman" w:hAnsi="Times New Roman" w:eastAsia="Times New Roman" w:cs="Times New Roman"/>
                <w:b/>
              </w:rPr>
              <w:t>Colegiado</w:t>
            </w:r>
          </w:p>
        </w:tc>
      </w:tr>
      <w:tr>
        <w:tblPrEx>
          <w:tblCellMar>
            <w:top w:w="0" w:type="dxa"/>
            <w:left w:w="70" w:type="dxa"/>
            <w:bottom w:w="0" w:type="dxa"/>
            <w:right w:w="70" w:type="dxa"/>
          </w:tblCellMar>
        </w:tblPrEx>
        <w:trPr>
          <w:cantSplit/>
          <w:trHeight w:val="280" w:hRule="atLeast"/>
        </w:trPr>
        <w:tc>
          <w:tcPr>
            <w:tcW w:w="1270" w:type="dxa"/>
            <w:tcBorders>
              <w:top w:val="single" w:color="000000" w:sz="6" w:space="0"/>
              <w:left w:val="single" w:color="000000" w:sz="12" w:space="0"/>
              <w:bottom w:val="single" w:color="000000" w:sz="6" w:space="0"/>
            </w:tcBorders>
            <w:vAlign w:val="center"/>
          </w:tcPr>
          <w:p>
            <w:pPr>
              <w:tabs>
                <w:tab w:val="left" w:pos="8647"/>
              </w:tabs>
              <w:ind w:left="0" w:hanging="2"/>
              <w:jc w:val="center"/>
              <w:rPr>
                <w:rFonts w:ascii="Times New Roman" w:hAnsi="Times New Roman" w:eastAsia="Times New Roman" w:cs="Times New Roman"/>
              </w:rPr>
            </w:pPr>
          </w:p>
        </w:tc>
        <w:tc>
          <w:tcPr>
            <w:tcW w:w="1613" w:type="dxa"/>
            <w:tcBorders>
              <w:top w:val="single" w:color="000000" w:sz="6" w:space="0"/>
              <w:left w:val="single" w:color="000000" w:sz="12" w:space="0"/>
              <w:bottom w:val="single" w:color="000000" w:sz="6" w:space="0"/>
            </w:tcBorders>
            <w:vAlign w:val="center"/>
          </w:tcPr>
          <w:p>
            <w:pPr>
              <w:tabs>
                <w:tab w:val="left" w:pos="8647"/>
              </w:tabs>
              <w:ind w:left="0" w:hanging="2"/>
              <w:jc w:val="center"/>
              <w:rPr>
                <w:rFonts w:ascii="Times New Roman" w:hAnsi="Times New Roman" w:eastAsia="Times New Roman" w:cs="Times New Roman"/>
              </w:rPr>
            </w:pPr>
          </w:p>
        </w:tc>
        <w:tc>
          <w:tcPr>
            <w:tcW w:w="1938" w:type="dxa"/>
            <w:tcBorders>
              <w:top w:val="single" w:color="000000" w:sz="6" w:space="0"/>
              <w:left w:val="single" w:color="000000" w:sz="6" w:space="0"/>
              <w:bottom w:val="single" w:color="000000" w:sz="6" w:space="0"/>
            </w:tcBorders>
            <w:vAlign w:val="center"/>
          </w:tcPr>
          <w:p>
            <w:pPr>
              <w:pBdr>
                <w:top w:val="none" w:color="auto" w:sz="0" w:space="0"/>
                <w:left w:val="none" w:color="auto" w:sz="0" w:space="0"/>
                <w:bottom w:val="none" w:color="auto" w:sz="0" w:space="0"/>
                <w:right w:val="none" w:color="auto" w:sz="0" w:space="0"/>
                <w:between w:val="none" w:color="auto" w:sz="0" w:space="0"/>
              </w:pBdr>
              <w:tabs>
                <w:tab w:val="center" w:pos="4252"/>
                <w:tab w:val="right" w:pos="8504"/>
                <w:tab w:val="left" w:pos="8647"/>
              </w:tabs>
              <w:spacing w:line="240" w:lineRule="auto"/>
              <w:ind w:left="0" w:hanging="2"/>
              <w:jc w:val="center"/>
              <w:rPr>
                <w:rFonts w:ascii="Times New Roman" w:hAnsi="Times New Roman" w:eastAsia="Times New Roman" w:cs="Times New Roman"/>
                <w:color w:val="000000"/>
              </w:rPr>
            </w:pPr>
          </w:p>
        </w:tc>
        <w:tc>
          <w:tcPr>
            <w:tcW w:w="6235" w:type="dxa"/>
            <w:gridSpan w:val="4"/>
            <w:tcBorders>
              <w:top w:val="single" w:color="000000" w:sz="6" w:space="0"/>
              <w:left w:val="single" w:color="000000" w:sz="6" w:space="0"/>
              <w:bottom w:val="single" w:color="000000" w:sz="6" w:space="0"/>
            </w:tcBorders>
            <w:vAlign w:val="center"/>
          </w:tcPr>
          <w:p>
            <w:pPr>
              <w:pBdr>
                <w:top w:val="none" w:color="auto" w:sz="0" w:space="0"/>
                <w:left w:val="none" w:color="auto" w:sz="0" w:space="0"/>
                <w:bottom w:val="none" w:color="auto" w:sz="0" w:space="0"/>
                <w:right w:val="none" w:color="auto" w:sz="0" w:space="0"/>
                <w:between w:val="none" w:color="auto" w:sz="0" w:space="0"/>
              </w:pBdr>
              <w:tabs>
                <w:tab w:val="center" w:pos="4252"/>
                <w:tab w:val="right" w:pos="8504"/>
                <w:tab w:val="left" w:pos="8647"/>
              </w:tabs>
              <w:spacing w:line="240" w:lineRule="auto"/>
              <w:ind w:left="0" w:hanging="2"/>
              <w:jc w:val="center"/>
              <w:rPr>
                <w:rFonts w:ascii="Times New Roman" w:hAnsi="Times New Roman" w:eastAsia="Times New Roman" w:cs="Times New Roman"/>
                <w:color w:val="000000"/>
              </w:rPr>
            </w:pPr>
          </w:p>
        </w:tc>
        <w:tc>
          <w:tcPr>
            <w:tcW w:w="1136" w:type="dxa"/>
            <w:tcBorders>
              <w:top w:val="single" w:color="000000" w:sz="6" w:space="0"/>
              <w:left w:val="single" w:color="000000" w:sz="6" w:space="0"/>
              <w:bottom w:val="single" w:color="000000" w:sz="6" w:space="0"/>
            </w:tcBorders>
            <w:vAlign w:val="center"/>
          </w:tcPr>
          <w:p>
            <w:pPr>
              <w:tabs>
                <w:tab w:val="left" w:pos="8647"/>
              </w:tabs>
              <w:ind w:left="0" w:hanging="2"/>
              <w:jc w:val="center"/>
              <w:rPr>
                <w:rFonts w:ascii="Times New Roman" w:hAnsi="Times New Roman" w:eastAsia="Times New Roman" w:cs="Times New Roman"/>
              </w:rPr>
            </w:pPr>
          </w:p>
        </w:tc>
        <w:tc>
          <w:tcPr>
            <w:tcW w:w="1274" w:type="dxa"/>
            <w:tcBorders>
              <w:top w:val="single" w:color="000000" w:sz="6" w:space="0"/>
              <w:left w:val="single" w:color="000000" w:sz="6" w:space="0"/>
              <w:bottom w:val="single" w:color="000000" w:sz="6" w:space="0"/>
            </w:tcBorders>
          </w:tcPr>
          <w:p>
            <w:pPr>
              <w:tabs>
                <w:tab w:val="left" w:pos="8647"/>
              </w:tabs>
              <w:ind w:left="0" w:hanging="2"/>
              <w:jc w:val="center"/>
              <w:rPr>
                <w:rFonts w:ascii="Times New Roman" w:hAnsi="Times New Roman" w:eastAsia="Times New Roman" w:cs="Times New Roman"/>
              </w:rPr>
            </w:pPr>
          </w:p>
        </w:tc>
        <w:tc>
          <w:tcPr>
            <w:tcW w:w="1984" w:type="dxa"/>
            <w:tcBorders>
              <w:top w:val="single" w:color="000000" w:sz="6" w:space="0"/>
              <w:left w:val="single" w:color="000000" w:sz="6" w:space="0"/>
              <w:bottom w:val="single" w:color="000000" w:sz="6" w:space="0"/>
              <w:right w:val="single" w:color="000000" w:sz="6" w:space="0"/>
            </w:tcBorders>
            <w:vAlign w:val="center"/>
          </w:tcPr>
          <w:p>
            <w:pPr>
              <w:tabs>
                <w:tab w:val="left" w:pos="8647"/>
              </w:tabs>
              <w:ind w:left="0" w:hanging="2"/>
              <w:jc w:val="center"/>
              <w:rPr>
                <w:rFonts w:ascii="Times New Roman" w:hAnsi="Times New Roman" w:eastAsia="Times New Roman" w:cs="Times New Roman"/>
              </w:rPr>
            </w:pPr>
          </w:p>
        </w:tc>
      </w:tr>
      <w:tr>
        <w:tblPrEx>
          <w:tblCellMar>
            <w:top w:w="0" w:type="dxa"/>
            <w:left w:w="70" w:type="dxa"/>
            <w:bottom w:w="0" w:type="dxa"/>
            <w:right w:w="70" w:type="dxa"/>
          </w:tblCellMar>
        </w:tblPrEx>
        <w:trPr>
          <w:cantSplit/>
          <w:trHeight w:val="280" w:hRule="atLeast"/>
        </w:trPr>
        <w:tc>
          <w:tcPr>
            <w:tcW w:w="1270" w:type="dxa"/>
            <w:tcBorders>
              <w:top w:val="single" w:color="000000" w:sz="6" w:space="0"/>
              <w:left w:val="single" w:color="000000" w:sz="12" w:space="0"/>
              <w:bottom w:val="single" w:color="000000" w:sz="6" w:space="0"/>
            </w:tcBorders>
            <w:vAlign w:val="center"/>
          </w:tcPr>
          <w:p>
            <w:pPr>
              <w:tabs>
                <w:tab w:val="left" w:pos="8647"/>
              </w:tabs>
              <w:ind w:left="0" w:hanging="2"/>
              <w:jc w:val="center"/>
              <w:rPr>
                <w:rFonts w:ascii="Times New Roman" w:hAnsi="Times New Roman" w:eastAsia="Times New Roman" w:cs="Times New Roman"/>
              </w:rPr>
            </w:pPr>
          </w:p>
        </w:tc>
        <w:tc>
          <w:tcPr>
            <w:tcW w:w="1613" w:type="dxa"/>
            <w:tcBorders>
              <w:top w:val="single" w:color="000000" w:sz="6" w:space="0"/>
              <w:left w:val="single" w:color="000000" w:sz="12" w:space="0"/>
              <w:bottom w:val="single" w:color="000000" w:sz="6" w:space="0"/>
            </w:tcBorders>
            <w:vAlign w:val="center"/>
          </w:tcPr>
          <w:p>
            <w:pPr>
              <w:tabs>
                <w:tab w:val="left" w:pos="8647"/>
              </w:tabs>
              <w:ind w:left="0" w:hanging="2"/>
              <w:jc w:val="center"/>
              <w:rPr>
                <w:rFonts w:ascii="Times New Roman" w:hAnsi="Times New Roman" w:eastAsia="Times New Roman" w:cs="Times New Roman"/>
              </w:rPr>
            </w:pPr>
          </w:p>
        </w:tc>
        <w:tc>
          <w:tcPr>
            <w:tcW w:w="1938" w:type="dxa"/>
            <w:tcBorders>
              <w:top w:val="single" w:color="000000" w:sz="6" w:space="0"/>
              <w:left w:val="single" w:color="000000" w:sz="6" w:space="0"/>
              <w:bottom w:val="single" w:color="000000" w:sz="6" w:space="0"/>
            </w:tcBorders>
            <w:vAlign w:val="center"/>
          </w:tcPr>
          <w:p>
            <w:pPr>
              <w:tabs>
                <w:tab w:val="left" w:pos="8647"/>
              </w:tabs>
              <w:ind w:left="0" w:hanging="2"/>
              <w:jc w:val="center"/>
              <w:rPr>
                <w:rFonts w:ascii="Times New Roman" w:hAnsi="Times New Roman" w:eastAsia="Times New Roman" w:cs="Times New Roman"/>
              </w:rPr>
            </w:pPr>
          </w:p>
        </w:tc>
        <w:tc>
          <w:tcPr>
            <w:tcW w:w="6235" w:type="dxa"/>
            <w:gridSpan w:val="4"/>
            <w:tcBorders>
              <w:top w:val="single" w:color="000000" w:sz="6" w:space="0"/>
              <w:left w:val="single" w:color="000000" w:sz="6" w:space="0"/>
              <w:bottom w:val="single" w:color="000000" w:sz="6" w:space="0"/>
            </w:tcBorders>
            <w:vAlign w:val="center"/>
          </w:tcPr>
          <w:p>
            <w:pPr>
              <w:tabs>
                <w:tab w:val="left" w:pos="8647"/>
              </w:tabs>
              <w:ind w:left="0" w:hanging="2"/>
              <w:jc w:val="center"/>
              <w:rPr>
                <w:rFonts w:ascii="Times New Roman" w:hAnsi="Times New Roman" w:eastAsia="Times New Roman" w:cs="Times New Roman"/>
              </w:rPr>
            </w:pPr>
          </w:p>
        </w:tc>
        <w:tc>
          <w:tcPr>
            <w:tcW w:w="1136" w:type="dxa"/>
            <w:tcBorders>
              <w:top w:val="single" w:color="000000" w:sz="6" w:space="0"/>
              <w:left w:val="single" w:color="000000" w:sz="6" w:space="0"/>
              <w:bottom w:val="single" w:color="000000" w:sz="6" w:space="0"/>
            </w:tcBorders>
            <w:vAlign w:val="center"/>
          </w:tcPr>
          <w:p>
            <w:pPr>
              <w:tabs>
                <w:tab w:val="left" w:pos="8647"/>
              </w:tabs>
              <w:ind w:left="0" w:hanging="2"/>
              <w:jc w:val="center"/>
              <w:rPr>
                <w:rFonts w:ascii="Times New Roman" w:hAnsi="Times New Roman" w:eastAsia="Times New Roman" w:cs="Times New Roman"/>
              </w:rPr>
            </w:pPr>
          </w:p>
        </w:tc>
        <w:tc>
          <w:tcPr>
            <w:tcW w:w="1274" w:type="dxa"/>
            <w:tcBorders>
              <w:top w:val="single" w:color="000000" w:sz="6" w:space="0"/>
              <w:left w:val="single" w:color="000000" w:sz="6" w:space="0"/>
              <w:bottom w:val="single" w:color="000000" w:sz="6" w:space="0"/>
            </w:tcBorders>
          </w:tcPr>
          <w:p>
            <w:pPr>
              <w:tabs>
                <w:tab w:val="left" w:pos="8647"/>
              </w:tabs>
              <w:ind w:left="0" w:hanging="2"/>
              <w:jc w:val="center"/>
              <w:rPr>
                <w:rFonts w:ascii="Times New Roman" w:hAnsi="Times New Roman" w:eastAsia="Times New Roman" w:cs="Times New Roman"/>
              </w:rPr>
            </w:pPr>
          </w:p>
        </w:tc>
        <w:tc>
          <w:tcPr>
            <w:tcW w:w="1984" w:type="dxa"/>
            <w:tcBorders>
              <w:top w:val="single" w:color="000000" w:sz="6" w:space="0"/>
              <w:left w:val="single" w:color="000000" w:sz="6" w:space="0"/>
              <w:bottom w:val="single" w:color="000000" w:sz="6" w:space="0"/>
              <w:right w:val="single" w:color="000000" w:sz="6" w:space="0"/>
            </w:tcBorders>
            <w:vAlign w:val="center"/>
          </w:tcPr>
          <w:p>
            <w:pPr>
              <w:tabs>
                <w:tab w:val="left" w:pos="8647"/>
              </w:tabs>
              <w:ind w:left="0" w:hanging="2"/>
              <w:jc w:val="center"/>
              <w:rPr>
                <w:rFonts w:ascii="Times New Roman" w:hAnsi="Times New Roman" w:eastAsia="Times New Roman" w:cs="Times New Roman"/>
              </w:rPr>
            </w:pPr>
          </w:p>
        </w:tc>
      </w:tr>
      <w:tr>
        <w:tblPrEx>
          <w:tblCellMar>
            <w:top w:w="0" w:type="dxa"/>
            <w:left w:w="70" w:type="dxa"/>
            <w:bottom w:w="0" w:type="dxa"/>
            <w:right w:w="70" w:type="dxa"/>
          </w:tblCellMar>
        </w:tblPrEx>
        <w:trPr>
          <w:cantSplit/>
          <w:trHeight w:val="280" w:hRule="atLeast"/>
        </w:trPr>
        <w:tc>
          <w:tcPr>
            <w:tcW w:w="1270" w:type="dxa"/>
            <w:tcBorders>
              <w:top w:val="single" w:color="000000" w:sz="6" w:space="0"/>
              <w:left w:val="single" w:color="000000" w:sz="12" w:space="0"/>
              <w:bottom w:val="single" w:color="000000" w:sz="6" w:space="0"/>
            </w:tcBorders>
            <w:vAlign w:val="center"/>
          </w:tcPr>
          <w:p>
            <w:pPr>
              <w:tabs>
                <w:tab w:val="left" w:pos="8647"/>
              </w:tabs>
              <w:ind w:left="0" w:hanging="2"/>
              <w:jc w:val="center"/>
              <w:rPr>
                <w:rFonts w:ascii="Times New Roman" w:hAnsi="Times New Roman" w:eastAsia="Times New Roman" w:cs="Times New Roman"/>
              </w:rPr>
            </w:pPr>
          </w:p>
        </w:tc>
        <w:tc>
          <w:tcPr>
            <w:tcW w:w="1613" w:type="dxa"/>
            <w:tcBorders>
              <w:top w:val="single" w:color="000000" w:sz="6" w:space="0"/>
              <w:left w:val="single" w:color="000000" w:sz="12" w:space="0"/>
              <w:bottom w:val="single" w:color="000000" w:sz="6" w:space="0"/>
            </w:tcBorders>
            <w:vAlign w:val="center"/>
          </w:tcPr>
          <w:p>
            <w:pPr>
              <w:tabs>
                <w:tab w:val="left" w:pos="8647"/>
              </w:tabs>
              <w:ind w:left="0" w:hanging="2"/>
              <w:jc w:val="center"/>
              <w:rPr>
                <w:rFonts w:ascii="Times New Roman" w:hAnsi="Times New Roman" w:eastAsia="Times New Roman" w:cs="Times New Roman"/>
              </w:rPr>
            </w:pPr>
          </w:p>
        </w:tc>
        <w:tc>
          <w:tcPr>
            <w:tcW w:w="1938" w:type="dxa"/>
            <w:tcBorders>
              <w:top w:val="single" w:color="000000" w:sz="6" w:space="0"/>
              <w:left w:val="single" w:color="000000" w:sz="6" w:space="0"/>
              <w:bottom w:val="single" w:color="000000" w:sz="6" w:space="0"/>
            </w:tcBorders>
            <w:vAlign w:val="center"/>
          </w:tcPr>
          <w:p>
            <w:pPr>
              <w:tabs>
                <w:tab w:val="left" w:pos="8647"/>
              </w:tabs>
              <w:ind w:left="0" w:hanging="2"/>
              <w:jc w:val="center"/>
              <w:rPr>
                <w:rFonts w:ascii="Times New Roman" w:hAnsi="Times New Roman" w:eastAsia="Times New Roman" w:cs="Times New Roman"/>
              </w:rPr>
            </w:pPr>
          </w:p>
        </w:tc>
        <w:tc>
          <w:tcPr>
            <w:tcW w:w="6235" w:type="dxa"/>
            <w:gridSpan w:val="4"/>
            <w:tcBorders>
              <w:top w:val="single" w:color="000000" w:sz="6" w:space="0"/>
              <w:left w:val="single" w:color="000000" w:sz="6" w:space="0"/>
              <w:bottom w:val="single" w:color="000000" w:sz="6" w:space="0"/>
            </w:tcBorders>
            <w:vAlign w:val="center"/>
          </w:tcPr>
          <w:p>
            <w:pPr>
              <w:tabs>
                <w:tab w:val="left" w:pos="8647"/>
              </w:tabs>
              <w:ind w:left="0" w:hanging="2"/>
              <w:jc w:val="center"/>
              <w:rPr>
                <w:rFonts w:ascii="Times New Roman" w:hAnsi="Times New Roman" w:eastAsia="Times New Roman" w:cs="Times New Roman"/>
              </w:rPr>
            </w:pPr>
          </w:p>
        </w:tc>
        <w:tc>
          <w:tcPr>
            <w:tcW w:w="1136" w:type="dxa"/>
            <w:tcBorders>
              <w:top w:val="single" w:color="000000" w:sz="6" w:space="0"/>
              <w:left w:val="single" w:color="000000" w:sz="6" w:space="0"/>
              <w:bottom w:val="single" w:color="000000" w:sz="6" w:space="0"/>
            </w:tcBorders>
            <w:vAlign w:val="center"/>
          </w:tcPr>
          <w:p>
            <w:pPr>
              <w:tabs>
                <w:tab w:val="left" w:pos="8647"/>
              </w:tabs>
              <w:ind w:left="0" w:hanging="2"/>
              <w:jc w:val="center"/>
              <w:rPr>
                <w:rFonts w:ascii="Times New Roman" w:hAnsi="Times New Roman" w:eastAsia="Times New Roman" w:cs="Times New Roman"/>
              </w:rPr>
            </w:pPr>
          </w:p>
        </w:tc>
        <w:tc>
          <w:tcPr>
            <w:tcW w:w="1274" w:type="dxa"/>
            <w:tcBorders>
              <w:top w:val="single" w:color="000000" w:sz="6" w:space="0"/>
              <w:left w:val="single" w:color="000000" w:sz="6" w:space="0"/>
              <w:bottom w:val="single" w:color="000000" w:sz="6" w:space="0"/>
            </w:tcBorders>
          </w:tcPr>
          <w:p>
            <w:pPr>
              <w:tabs>
                <w:tab w:val="left" w:pos="8647"/>
              </w:tabs>
              <w:ind w:left="0" w:hanging="2"/>
              <w:jc w:val="center"/>
              <w:rPr>
                <w:rFonts w:ascii="Times New Roman" w:hAnsi="Times New Roman" w:eastAsia="Times New Roman" w:cs="Times New Roman"/>
              </w:rPr>
            </w:pPr>
          </w:p>
        </w:tc>
        <w:tc>
          <w:tcPr>
            <w:tcW w:w="1984" w:type="dxa"/>
            <w:tcBorders>
              <w:top w:val="single" w:color="000000" w:sz="6" w:space="0"/>
              <w:left w:val="single" w:color="000000" w:sz="6" w:space="0"/>
              <w:bottom w:val="single" w:color="000000" w:sz="6" w:space="0"/>
              <w:right w:val="single" w:color="000000" w:sz="6" w:space="0"/>
            </w:tcBorders>
            <w:vAlign w:val="center"/>
          </w:tcPr>
          <w:p>
            <w:pPr>
              <w:tabs>
                <w:tab w:val="left" w:pos="8647"/>
              </w:tabs>
              <w:ind w:left="0" w:hanging="2"/>
              <w:jc w:val="center"/>
              <w:rPr>
                <w:rFonts w:ascii="Times New Roman" w:hAnsi="Times New Roman" w:eastAsia="Times New Roman" w:cs="Times New Roman"/>
              </w:rPr>
            </w:pPr>
          </w:p>
        </w:tc>
      </w:tr>
      <w:tr>
        <w:tblPrEx>
          <w:tblCellMar>
            <w:top w:w="0" w:type="dxa"/>
            <w:left w:w="70" w:type="dxa"/>
            <w:bottom w:w="0" w:type="dxa"/>
            <w:right w:w="70" w:type="dxa"/>
          </w:tblCellMar>
        </w:tblPrEx>
        <w:trPr>
          <w:cantSplit/>
          <w:trHeight w:val="280" w:hRule="atLeast"/>
        </w:trPr>
        <w:tc>
          <w:tcPr>
            <w:tcW w:w="1270" w:type="dxa"/>
            <w:tcBorders>
              <w:top w:val="single" w:color="000000" w:sz="6" w:space="0"/>
              <w:left w:val="single" w:color="000000" w:sz="12" w:space="0"/>
              <w:bottom w:val="single" w:color="000000" w:sz="6" w:space="0"/>
            </w:tcBorders>
            <w:vAlign w:val="center"/>
          </w:tcPr>
          <w:p>
            <w:pPr>
              <w:tabs>
                <w:tab w:val="left" w:pos="8647"/>
              </w:tabs>
              <w:ind w:left="0" w:hanging="2"/>
              <w:jc w:val="center"/>
              <w:rPr>
                <w:rFonts w:ascii="Times New Roman" w:hAnsi="Times New Roman" w:eastAsia="Times New Roman" w:cs="Times New Roman"/>
              </w:rPr>
            </w:pPr>
          </w:p>
        </w:tc>
        <w:tc>
          <w:tcPr>
            <w:tcW w:w="1613" w:type="dxa"/>
            <w:tcBorders>
              <w:top w:val="single" w:color="000000" w:sz="6" w:space="0"/>
              <w:left w:val="single" w:color="000000" w:sz="12" w:space="0"/>
              <w:bottom w:val="single" w:color="000000" w:sz="6" w:space="0"/>
            </w:tcBorders>
            <w:vAlign w:val="center"/>
          </w:tcPr>
          <w:p>
            <w:pPr>
              <w:tabs>
                <w:tab w:val="left" w:pos="8647"/>
              </w:tabs>
              <w:ind w:left="0" w:hanging="2"/>
              <w:jc w:val="center"/>
              <w:rPr>
                <w:rFonts w:ascii="Times New Roman" w:hAnsi="Times New Roman" w:eastAsia="Times New Roman" w:cs="Times New Roman"/>
              </w:rPr>
            </w:pPr>
          </w:p>
        </w:tc>
        <w:tc>
          <w:tcPr>
            <w:tcW w:w="1938" w:type="dxa"/>
            <w:tcBorders>
              <w:top w:val="single" w:color="000000" w:sz="6" w:space="0"/>
              <w:left w:val="single" w:color="000000" w:sz="6" w:space="0"/>
              <w:bottom w:val="single" w:color="000000" w:sz="6" w:space="0"/>
            </w:tcBorders>
            <w:vAlign w:val="center"/>
          </w:tcPr>
          <w:p>
            <w:pPr>
              <w:tabs>
                <w:tab w:val="left" w:pos="8647"/>
              </w:tabs>
              <w:ind w:left="0" w:hanging="2"/>
              <w:jc w:val="center"/>
              <w:rPr>
                <w:rFonts w:ascii="Times New Roman" w:hAnsi="Times New Roman" w:eastAsia="Times New Roman" w:cs="Times New Roman"/>
              </w:rPr>
            </w:pPr>
          </w:p>
        </w:tc>
        <w:tc>
          <w:tcPr>
            <w:tcW w:w="6235" w:type="dxa"/>
            <w:gridSpan w:val="4"/>
            <w:tcBorders>
              <w:top w:val="single" w:color="000000" w:sz="6" w:space="0"/>
              <w:left w:val="single" w:color="000000" w:sz="6" w:space="0"/>
              <w:bottom w:val="single" w:color="000000" w:sz="6" w:space="0"/>
            </w:tcBorders>
            <w:vAlign w:val="center"/>
          </w:tcPr>
          <w:p>
            <w:pPr>
              <w:tabs>
                <w:tab w:val="left" w:pos="8647"/>
              </w:tabs>
              <w:ind w:left="0" w:hanging="2"/>
              <w:jc w:val="center"/>
              <w:rPr>
                <w:rFonts w:ascii="Times New Roman" w:hAnsi="Times New Roman" w:eastAsia="Times New Roman" w:cs="Times New Roman"/>
              </w:rPr>
            </w:pPr>
          </w:p>
        </w:tc>
        <w:tc>
          <w:tcPr>
            <w:tcW w:w="1136" w:type="dxa"/>
            <w:tcBorders>
              <w:top w:val="single" w:color="000000" w:sz="6" w:space="0"/>
              <w:left w:val="single" w:color="000000" w:sz="6" w:space="0"/>
              <w:bottom w:val="single" w:color="000000" w:sz="6" w:space="0"/>
            </w:tcBorders>
            <w:vAlign w:val="center"/>
          </w:tcPr>
          <w:p>
            <w:pPr>
              <w:tabs>
                <w:tab w:val="left" w:pos="8647"/>
              </w:tabs>
              <w:ind w:left="0" w:hanging="2"/>
              <w:jc w:val="center"/>
              <w:rPr>
                <w:rFonts w:ascii="Times New Roman" w:hAnsi="Times New Roman" w:eastAsia="Times New Roman" w:cs="Times New Roman"/>
              </w:rPr>
            </w:pPr>
          </w:p>
        </w:tc>
        <w:tc>
          <w:tcPr>
            <w:tcW w:w="1274" w:type="dxa"/>
            <w:tcBorders>
              <w:top w:val="single" w:color="000000" w:sz="6" w:space="0"/>
              <w:left w:val="single" w:color="000000" w:sz="6" w:space="0"/>
              <w:bottom w:val="single" w:color="000000" w:sz="6" w:space="0"/>
            </w:tcBorders>
          </w:tcPr>
          <w:p>
            <w:pPr>
              <w:tabs>
                <w:tab w:val="left" w:pos="8647"/>
              </w:tabs>
              <w:ind w:left="0" w:hanging="2"/>
              <w:jc w:val="center"/>
              <w:rPr>
                <w:rFonts w:ascii="Times New Roman" w:hAnsi="Times New Roman" w:eastAsia="Times New Roman" w:cs="Times New Roman"/>
              </w:rPr>
            </w:pPr>
          </w:p>
        </w:tc>
        <w:tc>
          <w:tcPr>
            <w:tcW w:w="1984" w:type="dxa"/>
            <w:tcBorders>
              <w:top w:val="single" w:color="000000" w:sz="6" w:space="0"/>
              <w:left w:val="single" w:color="000000" w:sz="6" w:space="0"/>
              <w:bottom w:val="single" w:color="000000" w:sz="6" w:space="0"/>
              <w:right w:val="single" w:color="000000" w:sz="6" w:space="0"/>
            </w:tcBorders>
            <w:vAlign w:val="center"/>
          </w:tcPr>
          <w:p>
            <w:pPr>
              <w:tabs>
                <w:tab w:val="left" w:pos="8647"/>
              </w:tabs>
              <w:ind w:left="0" w:hanging="2"/>
              <w:jc w:val="center"/>
              <w:rPr>
                <w:rFonts w:ascii="Times New Roman" w:hAnsi="Times New Roman" w:eastAsia="Times New Roman" w:cs="Times New Roman"/>
              </w:rPr>
            </w:pPr>
          </w:p>
        </w:tc>
      </w:tr>
      <w:tr>
        <w:tblPrEx>
          <w:tblCellMar>
            <w:top w:w="0" w:type="dxa"/>
            <w:left w:w="70" w:type="dxa"/>
            <w:bottom w:w="0" w:type="dxa"/>
            <w:right w:w="70" w:type="dxa"/>
          </w:tblCellMar>
        </w:tblPrEx>
        <w:trPr>
          <w:cantSplit/>
          <w:trHeight w:val="280" w:hRule="atLeast"/>
        </w:trPr>
        <w:tc>
          <w:tcPr>
            <w:tcW w:w="1270" w:type="dxa"/>
            <w:tcBorders>
              <w:top w:val="single" w:color="000000" w:sz="6" w:space="0"/>
              <w:left w:val="single" w:color="000000" w:sz="12" w:space="0"/>
              <w:bottom w:val="single" w:color="000000" w:sz="6" w:space="0"/>
            </w:tcBorders>
            <w:vAlign w:val="center"/>
          </w:tcPr>
          <w:p>
            <w:pPr>
              <w:tabs>
                <w:tab w:val="left" w:pos="8647"/>
              </w:tabs>
              <w:ind w:left="0" w:hanging="2"/>
              <w:jc w:val="center"/>
              <w:rPr>
                <w:rFonts w:ascii="Times New Roman" w:hAnsi="Times New Roman" w:eastAsia="Times New Roman" w:cs="Times New Roman"/>
              </w:rPr>
            </w:pPr>
          </w:p>
        </w:tc>
        <w:tc>
          <w:tcPr>
            <w:tcW w:w="1613" w:type="dxa"/>
            <w:tcBorders>
              <w:top w:val="single" w:color="000000" w:sz="6" w:space="0"/>
              <w:left w:val="single" w:color="000000" w:sz="12" w:space="0"/>
              <w:bottom w:val="single" w:color="000000" w:sz="6" w:space="0"/>
            </w:tcBorders>
            <w:vAlign w:val="center"/>
          </w:tcPr>
          <w:p>
            <w:pPr>
              <w:tabs>
                <w:tab w:val="left" w:pos="8647"/>
              </w:tabs>
              <w:ind w:left="0" w:hanging="2"/>
              <w:jc w:val="center"/>
              <w:rPr>
                <w:rFonts w:ascii="Times New Roman" w:hAnsi="Times New Roman" w:eastAsia="Times New Roman" w:cs="Times New Roman"/>
              </w:rPr>
            </w:pPr>
          </w:p>
        </w:tc>
        <w:tc>
          <w:tcPr>
            <w:tcW w:w="1938" w:type="dxa"/>
            <w:tcBorders>
              <w:top w:val="single" w:color="000000" w:sz="6" w:space="0"/>
              <w:left w:val="single" w:color="000000" w:sz="6" w:space="0"/>
              <w:bottom w:val="single" w:color="000000" w:sz="6" w:space="0"/>
            </w:tcBorders>
            <w:vAlign w:val="center"/>
          </w:tcPr>
          <w:p>
            <w:pPr>
              <w:tabs>
                <w:tab w:val="left" w:pos="8647"/>
              </w:tabs>
              <w:ind w:left="0" w:hanging="2"/>
              <w:jc w:val="center"/>
              <w:rPr>
                <w:rFonts w:ascii="Times New Roman" w:hAnsi="Times New Roman" w:eastAsia="Times New Roman" w:cs="Times New Roman"/>
              </w:rPr>
            </w:pPr>
          </w:p>
        </w:tc>
        <w:tc>
          <w:tcPr>
            <w:tcW w:w="6235" w:type="dxa"/>
            <w:gridSpan w:val="4"/>
            <w:tcBorders>
              <w:top w:val="single" w:color="000000" w:sz="6" w:space="0"/>
              <w:left w:val="single" w:color="000000" w:sz="6" w:space="0"/>
              <w:bottom w:val="single" w:color="000000" w:sz="6" w:space="0"/>
            </w:tcBorders>
            <w:vAlign w:val="center"/>
          </w:tcPr>
          <w:p>
            <w:pPr>
              <w:tabs>
                <w:tab w:val="left" w:pos="8647"/>
              </w:tabs>
              <w:ind w:left="0" w:hanging="2"/>
              <w:jc w:val="center"/>
              <w:rPr>
                <w:rFonts w:ascii="Times New Roman" w:hAnsi="Times New Roman" w:eastAsia="Times New Roman" w:cs="Times New Roman"/>
              </w:rPr>
            </w:pPr>
          </w:p>
        </w:tc>
        <w:tc>
          <w:tcPr>
            <w:tcW w:w="1136" w:type="dxa"/>
            <w:tcBorders>
              <w:top w:val="single" w:color="000000" w:sz="6" w:space="0"/>
              <w:left w:val="single" w:color="000000" w:sz="6" w:space="0"/>
              <w:bottom w:val="single" w:color="000000" w:sz="6" w:space="0"/>
            </w:tcBorders>
            <w:vAlign w:val="center"/>
          </w:tcPr>
          <w:p>
            <w:pPr>
              <w:tabs>
                <w:tab w:val="left" w:pos="8647"/>
              </w:tabs>
              <w:ind w:left="0" w:hanging="2"/>
              <w:jc w:val="center"/>
              <w:rPr>
                <w:rFonts w:ascii="Times New Roman" w:hAnsi="Times New Roman" w:eastAsia="Times New Roman" w:cs="Times New Roman"/>
              </w:rPr>
            </w:pPr>
          </w:p>
        </w:tc>
        <w:tc>
          <w:tcPr>
            <w:tcW w:w="1274" w:type="dxa"/>
            <w:tcBorders>
              <w:top w:val="single" w:color="000000" w:sz="6" w:space="0"/>
              <w:left w:val="single" w:color="000000" w:sz="6" w:space="0"/>
              <w:bottom w:val="single" w:color="000000" w:sz="6" w:space="0"/>
            </w:tcBorders>
          </w:tcPr>
          <w:p>
            <w:pPr>
              <w:tabs>
                <w:tab w:val="left" w:pos="8647"/>
              </w:tabs>
              <w:ind w:left="0" w:hanging="2"/>
              <w:jc w:val="center"/>
              <w:rPr>
                <w:rFonts w:ascii="Times New Roman" w:hAnsi="Times New Roman" w:eastAsia="Times New Roman" w:cs="Times New Roman"/>
              </w:rPr>
            </w:pPr>
          </w:p>
        </w:tc>
        <w:tc>
          <w:tcPr>
            <w:tcW w:w="1984" w:type="dxa"/>
            <w:tcBorders>
              <w:top w:val="single" w:color="000000" w:sz="6" w:space="0"/>
              <w:left w:val="single" w:color="000000" w:sz="6" w:space="0"/>
              <w:bottom w:val="single" w:color="000000" w:sz="6" w:space="0"/>
              <w:right w:val="single" w:color="000000" w:sz="6" w:space="0"/>
            </w:tcBorders>
            <w:vAlign w:val="center"/>
          </w:tcPr>
          <w:p>
            <w:pPr>
              <w:tabs>
                <w:tab w:val="left" w:pos="8647"/>
              </w:tabs>
              <w:ind w:left="0" w:hanging="2"/>
              <w:jc w:val="center"/>
              <w:rPr>
                <w:rFonts w:ascii="Times New Roman" w:hAnsi="Times New Roman" w:eastAsia="Times New Roman" w:cs="Times New Roman"/>
              </w:rPr>
            </w:pPr>
          </w:p>
        </w:tc>
      </w:tr>
      <w:tr>
        <w:tblPrEx>
          <w:tblCellMar>
            <w:top w:w="0" w:type="dxa"/>
            <w:left w:w="70" w:type="dxa"/>
            <w:bottom w:w="0" w:type="dxa"/>
            <w:right w:w="70" w:type="dxa"/>
          </w:tblCellMar>
        </w:tblPrEx>
        <w:trPr>
          <w:cantSplit/>
          <w:trHeight w:val="280" w:hRule="atLeast"/>
        </w:trPr>
        <w:tc>
          <w:tcPr>
            <w:tcW w:w="1270" w:type="dxa"/>
            <w:tcBorders>
              <w:top w:val="single" w:color="000000" w:sz="6" w:space="0"/>
              <w:left w:val="single" w:color="000000" w:sz="12" w:space="0"/>
              <w:bottom w:val="single" w:color="000000" w:sz="6" w:space="0"/>
            </w:tcBorders>
            <w:vAlign w:val="center"/>
          </w:tcPr>
          <w:p>
            <w:pPr>
              <w:tabs>
                <w:tab w:val="left" w:pos="8647"/>
              </w:tabs>
              <w:ind w:left="0" w:hanging="2"/>
              <w:jc w:val="center"/>
              <w:rPr>
                <w:rFonts w:ascii="Times New Roman" w:hAnsi="Times New Roman" w:eastAsia="Times New Roman" w:cs="Times New Roman"/>
              </w:rPr>
            </w:pPr>
          </w:p>
        </w:tc>
        <w:tc>
          <w:tcPr>
            <w:tcW w:w="1613" w:type="dxa"/>
            <w:tcBorders>
              <w:top w:val="single" w:color="000000" w:sz="6" w:space="0"/>
              <w:left w:val="single" w:color="000000" w:sz="12" w:space="0"/>
              <w:bottom w:val="single" w:color="000000" w:sz="6" w:space="0"/>
            </w:tcBorders>
            <w:vAlign w:val="center"/>
          </w:tcPr>
          <w:p>
            <w:pPr>
              <w:tabs>
                <w:tab w:val="left" w:pos="8647"/>
              </w:tabs>
              <w:ind w:left="0" w:hanging="2"/>
              <w:jc w:val="center"/>
              <w:rPr>
                <w:rFonts w:ascii="Times New Roman" w:hAnsi="Times New Roman" w:eastAsia="Times New Roman" w:cs="Times New Roman"/>
              </w:rPr>
            </w:pPr>
          </w:p>
        </w:tc>
        <w:tc>
          <w:tcPr>
            <w:tcW w:w="1938" w:type="dxa"/>
            <w:tcBorders>
              <w:top w:val="single" w:color="000000" w:sz="6" w:space="0"/>
              <w:left w:val="single" w:color="000000" w:sz="6" w:space="0"/>
              <w:bottom w:val="single" w:color="000000" w:sz="6" w:space="0"/>
            </w:tcBorders>
            <w:vAlign w:val="center"/>
          </w:tcPr>
          <w:p>
            <w:pPr>
              <w:tabs>
                <w:tab w:val="left" w:pos="8647"/>
              </w:tabs>
              <w:ind w:left="0" w:hanging="2"/>
              <w:jc w:val="center"/>
              <w:rPr>
                <w:rFonts w:ascii="Times New Roman" w:hAnsi="Times New Roman" w:eastAsia="Times New Roman" w:cs="Times New Roman"/>
              </w:rPr>
            </w:pPr>
          </w:p>
        </w:tc>
        <w:tc>
          <w:tcPr>
            <w:tcW w:w="6235" w:type="dxa"/>
            <w:gridSpan w:val="4"/>
            <w:tcBorders>
              <w:top w:val="single" w:color="000000" w:sz="6" w:space="0"/>
              <w:left w:val="single" w:color="000000" w:sz="6" w:space="0"/>
              <w:bottom w:val="single" w:color="000000" w:sz="6" w:space="0"/>
            </w:tcBorders>
            <w:vAlign w:val="center"/>
          </w:tcPr>
          <w:p>
            <w:pPr>
              <w:tabs>
                <w:tab w:val="left" w:pos="8647"/>
              </w:tabs>
              <w:ind w:left="0" w:hanging="2"/>
              <w:jc w:val="center"/>
              <w:rPr>
                <w:rFonts w:ascii="Times New Roman" w:hAnsi="Times New Roman" w:eastAsia="Times New Roman" w:cs="Times New Roman"/>
              </w:rPr>
            </w:pPr>
          </w:p>
        </w:tc>
        <w:tc>
          <w:tcPr>
            <w:tcW w:w="1136" w:type="dxa"/>
            <w:tcBorders>
              <w:top w:val="single" w:color="000000" w:sz="6" w:space="0"/>
              <w:left w:val="single" w:color="000000" w:sz="6" w:space="0"/>
              <w:bottom w:val="single" w:color="000000" w:sz="6" w:space="0"/>
            </w:tcBorders>
            <w:vAlign w:val="center"/>
          </w:tcPr>
          <w:p>
            <w:pPr>
              <w:tabs>
                <w:tab w:val="left" w:pos="8647"/>
              </w:tabs>
              <w:ind w:left="0" w:hanging="2"/>
              <w:jc w:val="center"/>
              <w:rPr>
                <w:rFonts w:ascii="Times New Roman" w:hAnsi="Times New Roman" w:eastAsia="Times New Roman" w:cs="Times New Roman"/>
              </w:rPr>
            </w:pPr>
          </w:p>
        </w:tc>
        <w:tc>
          <w:tcPr>
            <w:tcW w:w="1274" w:type="dxa"/>
            <w:tcBorders>
              <w:top w:val="single" w:color="000000" w:sz="6" w:space="0"/>
              <w:left w:val="single" w:color="000000" w:sz="6" w:space="0"/>
              <w:bottom w:val="single" w:color="000000" w:sz="6" w:space="0"/>
            </w:tcBorders>
          </w:tcPr>
          <w:p>
            <w:pPr>
              <w:tabs>
                <w:tab w:val="left" w:pos="8647"/>
              </w:tabs>
              <w:ind w:left="0" w:hanging="2"/>
              <w:jc w:val="center"/>
              <w:rPr>
                <w:rFonts w:ascii="Times New Roman" w:hAnsi="Times New Roman" w:eastAsia="Times New Roman" w:cs="Times New Roman"/>
              </w:rPr>
            </w:pPr>
          </w:p>
        </w:tc>
        <w:tc>
          <w:tcPr>
            <w:tcW w:w="1984" w:type="dxa"/>
            <w:tcBorders>
              <w:top w:val="single" w:color="000000" w:sz="6" w:space="0"/>
              <w:left w:val="single" w:color="000000" w:sz="6" w:space="0"/>
              <w:bottom w:val="single" w:color="000000" w:sz="6" w:space="0"/>
              <w:right w:val="single" w:color="000000" w:sz="6" w:space="0"/>
            </w:tcBorders>
            <w:vAlign w:val="center"/>
          </w:tcPr>
          <w:p>
            <w:pPr>
              <w:tabs>
                <w:tab w:val="left" w:pos="8647"/>
              </w:tabs>
              <w:ind w:left="0" w:hanging="2"/>
              <w:jc w:val="center"/>
              <w:rPr>
                <w:rFonts w:ascii="Times New Roman" w:hAnsi="Times New Roman" w:eastAsia="Times New Roman" w:cs="Times New Roman"/>
              </w:rPr>
            </w:pPr>
          </w:p>
        </w:tc>
      </w:tr>
      <w:tr>
        <w:tblPrEx>
          <w:tblCellMar>
            <w:top w:w="0" w:type="dxa"/>
            <w:left w:w="70" w:type="dxa"/>
            <w:bottom w:w="0" w:type="dxa"/>
            <w:right w:w="70" w:type="dxa"/>
          </w:tblCellMar>
        </w:tblPrEx>
        <w:trPr>
          <w:cantSplit/>
          <w:trHeight w:val="280" w:hRule="atLeast"/>
        </w:trPr>
        <w:tc>
          <w:tcPr>
            <w:tcW w:w="1270" w:type="dxa"/>
            <w:tcBorders>
              <w:top w:val="single" w:color="000000" w:sz="6" w:space="0"/>
              <w:left w:val="single" w:color="000000" w:sz="12" w:space="0"/>
              <w:bottom w:val="single" w:color="000000" w:sz="6" w:space="0"/>
            </w:tcBorders>
            <w:vAlign w:val="center"/>
          </w:tcPr>
          <w:p>
            <w:pPr>
              <w:tabs>
                <w:tab w:val="left" w:pos="8647"/>
              </w:tabs>
              <w:ind w:left="0" w:hanging="2"/>
              <w:jc w:val="center"/>
              <w:rPr>
                <w:rFonts w:ascii="Times New Roman" w:hAnsi="Times New Roman" w:eastAsia="Times New Roman" w:cs="Times New Roman"/>
              </w:rPr>
            </w:pPr>
          </w:p>
        </w:tc>
        <w:tc>
          <w:tcPr>
            <w:tcW w:w="1613" w:type="dxa"/>
            <w:tcBorders>
              <w:top w:val="single" w:color="000000" w:sz="6" w:space="0"/>
              <w:left w:val="single" w:color="000000" w:sz="12" w:space="0"/>
              <w:bottom w:val="single" w:color="000000" w:sz="6" w:space="0"/>
            </w:tcBorders>
            <w:vAlign w:val="center"/>
          </w:tcPr>
          <w:p>
            <w:pPr>
              <w:tabs>
                <w:tab w:val="left" w:pos="8647"/>
              </w:tabs>
              <w:ind w:left="0" w:hanging="2"/>
              <w:jc w:val="center"/>
              <w:rPr>
                <w:rFonts w:ascii="Times New Roman" w:hAnsi="Times New Roman" w:eastAsia="Times New Roman" w:cs="Times New Roman"/>
              </w:rPr>
            </w:pPr>
          </w:p>
        </w:tc>
        <w:tc>
          <w:tcPr>
            <w:tcW w:w="1938" w:type="dxa"/>
            <w:tcBorders>
              <w:top w:val="single" w:color="000000" w:sz="6" w:space="0"/>
              <w:left w:val="single" w:color="000000" w:sz="6" w:space="0"/>
              <w:bottom w:val="single" w:color="000000" w:sz="6" w:space="0"/>
            </w:tcBorders>
            <w:vAlign w:val="center"/>
          </w:tcPr>
          <w:p>
            <w:pPr>
              <w:tabs>
                <w:tab w:val="left" w:pos="8647"/>
              </w:tabs>
              <w:ind w:left="0" w:hanging="2"/>
              <w:jc w:val="center"/>
              <w:rPr>
                <w:rFonts w:ascii="Times New Roman" w:hAnsi="Times New Roman" w:eastAsia="Times New Roman" w:cs="Times New Roman"/>
              </w:rPr>
            </w:pPr>
          </w:p>
        </w:tc>
        <w:tc>
          <w:tcPr>
            <w:tcW w:w="6235" w:type="dxa"/>
            <w:gridSpan w:val="4"/>
            <w:tcBorders>
              <w:top w:val="single" w:color="000000" w:sz="6" w:space="0"/>
              <w:left w:val="single" w:color="000000" w:sz="6" w:space="0"/>
              <w:bottom w:val="single" w:color="000000" w:sz="6" w:space="0"/>
            </w:tcBorders>
            <w:vAlign w:val="center"/>
          </w:tcPr>
          <w:p>
            <w:pPr>
              <w:tabs>
                <w:tab w:val="left" w:pos="8647"/>
              </w:tabs>
              <w:ind w:left="0" w:hanging="2"/>
              <w:jc w:val="center"/>
              <w:rPr>
                <w:rFonts w:ascii="Times New Roman" w:hAnsi="Times New Roman" w:eastAsia="Times New Roman" w:cs="Times New Roman"/>
              </w:rPr>
            </w:pPr>
          </w:p>
        </w:tc>
        <w:tc>
          <w:tcPr>
            <w:tcW w:w="1136" w:type="dxa"/>
            <w:tcBorders>
              <w:top w:val="single" w:color="000000" w:sz="6" w:space="0"/>
              <w:left w:val="single" w:color="000000" w:sz="6" w:space="0"/>
              <w:bottom w:val="single" w:color="000000" w:sz="6" w:space="0"/>
            </w:tcBorders>
            <w:vAlign w:val="center"/>
          </w:tcPr>
          <w:p>
            <w:pPr>
              <w:tabs>
                <w:tab w:val="left" w:pos="8647"/>
              </w:tabs>
              <w:ind w:left="0" w:hanging="2"/>
              <w:jc w:val="center"/>
              <w:rPr>
                <w:rFonts w:ascii="Times New Roman" w:hAnsi="Times New Roman" w:eastAsia="Times New Roman" w:cs="Times New Roman"/>
              </w:rPr>
            </w:pPr>
          </w:p>
        </w:tc>
        <w:tc>
          <w:tcPr>
            <w:tcW w:w="1274" w:type="dxa"/>
            <w:tcBorders>
              <w:top w:val="single" w:color="000000" w:sz="6" w:space="0"/>
              <w:left w:val="single" w:color="000000" w:sz="6" w:space="0"/>
              <w:bottom w:val="single" w:color="000000" w:sz="6" w:space="0"/>
            </w:tcBorders>
          </w:tcPr>
          <w:p>
            <w:pPr>
              <w:tabs>
                <w:tab w:val="left" w:pos="8647"/>
              </w:tabs>
              <w:ind w:left="0" w:hanging="2"/>
              <w:jc w:val="center"/>
              <w:rPr>
                <w:rFonts w:ascii="Times New Roman" w:hAnsi="Times New Roman" w:eastAsia="Times New Roman" w:cs="Times New Roman"/>
              </w:rPr>
            </w:pPr>
          </w:p>
        </w:tc>
        <w:tc>
          <w:tcPr>
            <w:tcW w:w="1984" w:type="dxa"/>
            <w:tcBorders>
              <w:top w:val="single" w:color="000000" w:sz="6" w:space="0"/>
              <w:left w:val="single" w:color="000000" w:sz="6" w:space="0"/>
              <w:bottom w:val="single" w:color="000000" w:sz="6" w:space="0"/>
              <w:right w:val="single" w:color="000000" w:sz="6" w:space="0"/>
            </w:tcBorders>
            <w:vAlign w:val="center"/>
          </w:tcPr>
          <w:p>
            <w:pPr>
              <w:tabs>
                <w:tab w:val="left" w:pos="8647"/>
              </w:tabs>
              <w:ind w:left="0" w:hanging="2"/>
              <w:jc w:val="center"/>
              <w:rPr>
                <w:rFonts w:ascii="Times New Roman" w:hAnsi="Times New Roman" w:eastAsia="Times New Roman" w:cs="Times New Roman"/>
              </w:rPr>
            </w:pPr>
          </w:p>
        </w:tc>
      </w:tr>
      <w:tr>
        <w:tblPrEx>
          <w:tblCellMar>
            <w:top w:w="0" w:type="dxa"/>
            <w:left w:w="70" w:type="dxa"/>
            <w:bottom w:w="0" w:type="dxa"/>
            <w:right w:w="70" w:type="dxa"/>
          </w:tblCellMar>
        </w:tblPrEx>
        <w:trPr>
          <w:cantSplit/>
          <w:trHeight w:val="280" w:hRule="atLeast"/>
        </w:trPr>
        <w:tc>
          <w:tcPr>
            <w:tcW w:w="1270" w:type="dxa"/>
            <w:tcBorders>
              <w:top w:val="single" w:color="000000" w:sz="6" w:space="0"/>
              <w:left w:val="single" w:color="000000" w:sz="12" w:space="0"/>
              <w:bottom w:val="single" w:color="000000" w:sz="6" w:space="0"/>
            </w:tcBorders>
            <w:vAlign w:val="center"/>
          </w:tcPr>
          <w:p>
            <w:pPr>
              <w:tabs>
                <w:tab w:val="left" w:pos="8647"/>
              </w:tabs>
              <w:ind w:left="0" w:hanging="2"/>
              <w:jc w:val="center"/>
              <w:rPr>
                <w:rFonts w:ascii="Times New Roman" w:hAnsi="Times New Roman" w:eastAsia="Times New Roman" w:cs="Times New Roman"/>
              </w:rPr>
            </w:pPr>
          </w:p>
        </w:tc>
        <w:tc>
          <w:tcPr>
            <w:tcW w:w="1613" w:type="dxa"/>
            <w:tcBorders>
              <w:top w:val="single" w:color="000000" w:sz="6" w:space="0"/>
              <w:left w:val="single" w:color="000000" w:sz="12" w:space="0"/>
              <w:bottom w:val="single" w:color="000000" w:sz="6" w:space="0"/>
            </w:tcBorders>
            <w:vAlign w:val="center"/>
          </w:tcPr>
          <w:p>
            <w:pPr>
              <w:tabs>
                <w:tab w:val="left" w:pos="8647"/>
              </w:tabs>
              <w:ind w:left="0" w:hanging="2"/>
              <w:jc w:val="center"/>
              <w:rPr>
                <w:rFonts w:ascii="Times New Roman" w:hAnsi="Times New Roman" w:eastAsia="Times New Roman" w:cs="Times New Roman"/>
              </w:rPr>
            </w:pPr>
          </w:p>
        </w:tc>
        <w:tc>
          <w:tcPr>
            <w:tcW w:w="1938" w:type="dxa"/>
            <w:tcBorders>
              <w:top w:val="single" w:color="000000" w:sz="6" w:space="0"/>
              <w:left w:val="single" w:color="000000" w:sz="6" w:space="0"/>
              <w:bottom w:val="single" w:color="000000" w:sz="6" w:space="0"/>
            </w:tcBorders>
            <w:vAlign w:val="center"/>
          </w:tcPr>
          <w:p>
            <w:pPr>
              <w:tabs>
                <w:tab w:val="left" w:pos="8647"/>
              </w:tabs>
              <w:ind w:left="0" w:hanging="2"/>
              <w:jc w:val="center"/>
              <w:rPr>
                <w:rFonts w:ascii="Times New Roman" w:hAnsi="Times New Roman" w:eastAsia="Times New Roman" w:cs="Times New Roman"/>
              </w:rPr>
            </w:pPr>
          </w:p>
        </w:tc>
        <w:tc>
          <w:tcPr>
            <w:tcW w:w="6235" w:type="dxa"/>
            <w:gridSpan w:val="4"/>
            <w:tcBorders>
              <w:top w:val="single" w:color="000000" w:sz="6" w:space="0"/>
              <w:left w:val="single" w:color="000000" w:sz="6" w:space="0"/>
              <w:bottom w:val="single" w:color="000000" w:sz="6" w:space="0"/>
            </w:tcBorders>
            <w:vAlign w:val="center"/>
          </w:tcPr>
          <w:p>
            <w:pPr>
              <w:tabs>
                <w:tab w:val="left" w:pos="8647"/>
              </w:tabs>
              <w:ind w:left="0" w:hanging="2"/>
              <w:jc w:val="center"/>
              <w:rPr>
                <w:rFonts w:ascii="Times New Roman" w:hAnsi="Times New Roman" w:eastAsia="Times New Roman" w:cs="Times New Roman"/>
              </w:rPr>
            </w:pPr>
          </w:p>
        </w:tc>
        <w:tc>
          <w:tcPr>
            <w:tcW w:w="1136" w:type="dxa"/>
            <w:tcBorders>
              <w:top w:val="single" w:color="000000" w:sz="6" w:space="0"/>
              <w:left w:val="single" w:color="000000" w:sz="6" w:space="0"/>
              <w:bottom w:val="single" w:color="000000" w:sz="6" w:space="0"/>
            </w:tcBorders>
            <w:vAlign w:val="center"/>
          </w:tcPr>
          <w:p>
            <w:pPr>
              <w:tabs>
                <w:tab w:val="left" w:pos="8647"/>
              </w:tabs>
              <w:ind w:left="0" w:hanging="2"/>
              <w:jc w:val="center"/>
              <w:rPr>
                <w:rFonts w:ascii="Times New Roman" w:hAnsi="Times New Roman" w:eastAsia="Times New Roman" w:cs="Times New Roman"/>
              </w:rPr>
            </w:pPr>
          </w:p>
        </w:tc>
        <w:tc>
          <w:tcPr>
            <w:tcW w:w="1274" w:type="dxa"/>
            <w:tcBorders>
              <w:top w:val="single" w:color="000000" w:sz="6" w:space="0"/>
              <w:left w:val="single" w:color="000000" w:sz="6" w:space="0"/>
              <w:bottom w:val="single" w:color="000000" w:sz="6" w:space="0"/>
            </w:tcBorders>
          </w:tcPr>
          <w:p>
            <w:pPr>
              <w:tabs>
                <w:tab w:val="left" w:pos="8647"/>
              </w:tabs>
              <w:ind w:left="0" w:hanging="2"/>
              <w:jc w:val="center"/>
              <w:rPr>
                <w:rFonts w:ascii="Times New Roman" w:hAnsi="Times New Roman" w:eastAsia="Times New Roman" w:cs="Times New Roman"/>
              </w:rPr>
            </w:pPr>
          </w:p>
        </w:tc>
        <w:tc>
          <w:tcPr>
            <w:tcW w:w="1984" w:type="dxa"/>
            <w:tcBorders>
              <w:top w:val="single" w:color="000000" w:sz="6" w:space="0"/>
              <w:left w:val="single" w:color="000000" w:sz="6" w:space="0"/>
              <w:bottom w:val="single" w:color="000000" w:sz="6" w:space="0"/>
              <w:right w:val="single" w:color="000000" w:sz="6" w:space="0"/>
            </w:tcBorders>
            <w:vAlign w:val="center"/>
          </w:tcPr>
          <w:p>
            <w:pPr>
              <w:tabs>
                <w:tab w:val="left" w:pos="8647"/>
              </w:tabs>
              <w:ind w:left="0" w:hanging="2"/>
              <w:jc w:val="center"/>
              <w:rPr>
                <w:rFonts w:ascii="Times New Roman" w:hAnsi="Times New Roman" w:eastAsia="Times New Roman" w:cs="Times New Roman"/>
              </w:rPr>
            </w:pPr>
          </w:p>
        </w:tc>
      </w:tr>
      <w:tr>
        <w:tblPrEx>
          <w:tblCellMar>
            <w:top w:w="0" w:type="dxa"/>
            <w:left w:w="70" w:type="dxa"/>
            <w:bottom w:w="0" w:type="dxa"/>
            <w:right w:w="70" w:type="dxa"/>
          </w:tblCellMar>
        </w:tblPrEx>
        <w:trPr>
          <w:cantSplit/>
          <w:trHeight w:val="280" w:hRule="atLeast"/>
        </w:trPr>
        <w:tc>
          <w:tcPr>
            <w:tcW w:w="1270" w:type="dxa"/>
            <w:tcBorders>
              <w:top w:val="single" w:color="000000" w:sz="6" w:space="0"/>
              <w:left w:val="single" w:color="000000" w:sz="12" w:space="0"/>
              <w:bottom w:val="single" w:color="000000" w:sz="6" w:space="0"/>
            </w:tcBorders>
            <w:vAlign w:val="center"/>
          </w:tcPr>
          <w:p>
            <w:pPr>
              <w:tabs>
                <w:tab w:val="left" w:pos="8647"/>
              </w:tabs>
              <w:ind w:left="0" w:hanging="2"/>
              <w:jc w:val="center"/>
              <w:rPr>
                <w:rFonts w:ascii="Times New Roman" w:hAnsi="Times New Roman" w:eastAsia="Times New Roman" w:cs="Times New Roman"/>
              </w:rPr>
            </w:pPr>
          </w:p>
        </w:tc>
        <w:tc>
          <w:tcPr>
            <w:tcW w:w="1613" w:type="dxa"/>
            <w:tcBorders>
              <w:top w:val="single" w:color="000000" w:sz="6" w:space="0"/>
              <w:left w:val="single" w:color="000000" w:sz="12" w:space="0"/>
              <w:bottom w:val="single" w:color="000000" w:sz="6" w:space="0"/>
            </w:tcBorders>
            <w:vAlign w:val="center"/>
          </w:tcPr>
          <w:p>
            <w:pPr>
              <w:tabs>
                <w:tab w:val="left" w:pos="8647"/>
              </w:tabs>
              <w:ind w:left="0" w:hanging="2"/>
              <w:jc w:val="center"/>
              <w:rPr>
                <w:rFonts w:ascii="Times New Roman" w:hAnsi="Times New Roman" w:eastAsia="Times New Roman" w:cs="Times New Roman"/>
              </w:rPr>
            </w:pPr>
          </w:p>
        </w:tc>
        <w:tc>
          <w:tcPr>
            <w:tcW w:w="1938" w:type="dxa"/>
            <w:tcBorders>
              <w:top w:val="single" w:color="000000" w:sz="6" w:space="0"/>
              <w:left w:val="single" w:color="000000" w:sz="6" w:space="0"/>
              <w:bottom w:val="single" w:color="000000" w:sz="6" w:space="0"/>
            </w:tcBorders>
            <w:vAlign w:val="center"/>
          </w:tcPr>
          <w:p>
            <w:pPr>
              <w:tabs>
                <w:tab w:val="left" w:pos="8647"/>
              </w:tabs>
              <w:ind w:left="0" w:hanging="2"/>
              <w:jc w:val="center"/>
              <w:rPr>
                <w:rFonts w:ascii="Times New Roman" w:hAnsi="Times New Roman" w:eastAsia="Times New Roman" w:cs="Times New Roman"/>
              </w:rPr>
            </w:pPr>
          </w:p>
        </w:tc>
        <w:tc>
          <w:tcPr>
            <w:tcW w:w="6235" w:type="dxa"/>
            <w:gridSpan w:val="4"/>
            <w:tcBorders>
              <w:top w:val="single" w:color="000000" w:sz="6" w:space="0"/>
              <w:left w:val="single" w:color="000000" w:sz="6" w:space="0"/>
              <w:bottom w:val="single" w:color="000000" w:sz="6" w:space="0"/>
            </w:tcBorders>
            <w:vAlign w:val="center"/>
          </w:tcPr>
          <w:p>
            <w:pPr>
              <w:tabs>
                <w:tab w:val="left" w:pos="8647"/>
              </w:tabs>
              <w:ind w:left="0" w:hanging="2"/>
              <w:jc w:val="center"/>
              <w:rPr>
                <w:rFonts w:ascii="Times New Roman" w:hAnsi="Times New Roman" w:eastAsia="Times New Roman" w:cs="Times New Roman"/>
              </w:rPr>
            </w:pPr>
          </w:p>
        </w:tc>
        <w:tc>
          <w:tcPr>
            <w:tcW w:w="1136" w:type="dxa"/>
            <w:tcBorders>
              <w:top w:val="single" w:color="000000" w:sz="6" w:space="0"/>
              <w:left w:val="single" w:color="000000" w:sz="6" w:space="0"/>
              <w:bottom w:val="single" w:color="000000" w:sz="6" w:space="0"/>
            </w:tcBorders>
            <w:vAlign w:val="center"/>
          </w:tcPr>
          <w:p>
            <w:pPr>
              <w:tabs>
                <w:tab w:val="left" w:pos="8647"/>
              </w:tabs>
              <w:ind w:left="0" w:hanging="2"/>
              <w:jc w:val="center"/>
              <w:rPr>
                <w:rFonts w:ascii="Times New Roman" w:hAnsi="Times New Roman" w:eastAsia="Times New Roman" w:cs="Times New Roman"/>
              </w:rPr>
            </w:pPr>
          </w:p>
        </w:tc>
        <w:tc>
          <w:tcPr>
            <w:tcW w:w="1274" w:type="dxa"/>
            <w:tcBorders>
              <w:top w:val="single" w:color="000000" w:sz="6" w:space="0"/>
              <w:left w:val="single" w:color="000000" w:sz="6" w:space="0"/>
              <w:bottom w:val="single" w:color="000000" w:sz="6" w:space="0"/>
            </w:tcBorders>
          </w:tcPr>
          <w:p>
            <w:pPr>
              <w:tabs>
                <w:tab w:val="left" w:pos="8647"/>
              </w:tabs>
              <w:ind w:left="0" w:hanging="2"/>
              <w:jc w:val="center"/>
              <w:rPr>
                <w:rFonts w:ascii="Times New Roman" w:hAnsi="Times New Roman" w:eastAsia="Times New Roman" w:cs="Times New Roman"/>
              </w:rPr>
            </w:pPr>
          </w:p>
        </w:tc>
        <w:tc>
          <w:tcPr>
            <w:tcW w:w="1984" w:type="dxa"/>
            <w:tcBorders>
              <w:top w:val="single" w:color="000000" w:sz="6" w:space="0"/>
              <w:left w:val="single" w:color="000000" w:sz="6" w:space="0"/>
              <w:bottom w:val="single" w:color="000000" w:sz="6" w:space="0"/>
              <w:right w:val="single" w:color="000000" w:sz="6" w:space="0"/>
            </w:tcBorders>
            <w:vAlign w:val="center"/>
          </w:tcPr>
          <w:p>
            <w:pPr>
              <w:tabs>
                <w:tab w:val="left" w:pos="8647"/>
              </w:tabs>
              <w:ind w:left="0" w:hanging="2"/>
              <w:jc w:val="center"/>
              <w:rPr>
                <w:rFonts w:ascii="Times New Roman" w:hAnsi="Times New Roman" w:eastAsia="Times New Roman" w:cs="Times New Roman"/>
              </w:rPr>
            </w:pPr>
          </w:p>
        </w:tc>
      </w:tr>
      <w:tr>
        <w:tblPrEx>
          <w:tblCellMar>
            <w:top w:w="0" w:type="dxa"/>
            <w:left w:w="70" w:type="dxa"/>
            <w:bottom w:w="0" w:type="dxa"/>
            <w:right w:w="70" w:type="dxa"/>
          </w:tblCellMar>
        </w:tblPrEx>
        <w:trPr>
          <w:cantSplit/>
          <w:trHeight w:val="352" w:hRule="atLeast"/>
        </w:trPr>
        <w:tc>
          <w:tcPr>
            <w:tcW w:w="4821" w:type="dxa"/>
            <w:gridSpan w:val="3"/>
            <w:tcBorders>
              <w:top w:val="single" w:color="000000" w:sz="6" w:space="0"/>
              <w:left w:val="single" w:color="000000" w:sz="12" w:space="0"/>
              <w:bottom w:val="single" w:color="000000" w:sz="6" w:space="0"/>
            </w:tcBorders>
            <w:shd w:val="clear" w:color="auto" w:fill="BFBFBF"/>
            <w:vAlign w:val="center"/>
          </w:tcPr>
          <w:p>
            <w:pPr>
              <w:numPr>
                <w:ilvl w:val="5"/>
                <w:numId w:val="25"/>
              </w:numPr>
              <w:pBdr>
                <w:top w:val="none" w:color="auto" w:sz="0" w:space="0"/>
                <w:left w:val="none" w:color="auto" w:sz="0" w:space="0"/>
                <w:bottom w:val="none" w:color="auto" w:sz="0" w:space="0"/>
                <w:right w:val="none" w:color="auto" w:sz="0" w:space="0"/>
                <w:between w:val="none" w:color="auto" w:sz="0" w:space="0"/>
              </w:pBdr>
              <w:tabs>
                <w:tab w:val="left" w:pos="0"/>
              </w:tabs>
              <w:spacing w:before="240" w:after="60" w:line="240" w:lineRule="auto"/>
              <w:ind w:hanging="2"/>
              <w:jc w:val="center"/>
              <w:rPr>
                <w:rFonts w:ascii="Times New Roman" w:hAnsi="Times New Roman" w:eastAsia="Calibri" w:cs="Times New Roman"/>
                <w:b/>
                <w:color w:val="000000"/>
              </w:rPr>
            </w:pPr>
            <w:r>
              <w:rPr>
                <w:rFonts w:ascii="Times New Roman" w:hAnsi="Times New Roman" w:eastAsia="Times New Roman" w:cs="Times New Roman"/>
                <w:b/>
                <w:color w:val="000000"/>
              </w:rPr>
              <w:t>DATA:         /         /</w:t>
            </w:r>
          </w:p>
        </w:tc>
        <w:tc>
          <w:tcPr>
            <w:tcW w:w="6235" w:type="dxa"/>
            <w:gridSpan w:val="4"/>
            <w:tcBorders>
              <w:top w:val="single" w:color="000000" w:sz="6" w:space="0"/>
              <w:left w:val="single" w:color="000000" w:sz="6" w:space="0"/>
              <w:bottom w:val="single" w:color="000000" w:sz="6" w:space="0"/>
            </w:tcBorders>
            <w:shd w:val="clear" w:color="auto" w:fill="BFBFBF"/>
            <w:vAlign w:val="center"/>
          </w:tcPr>
          <w:p>
            <w:pPr>
              <w:numPr>
                <w:ilvl w:val="5"/>
                <w:numId w:val="25"/>
              </w:numPr>
              <w:pBdr>
                <w:top w:val="none" w:color="auto" w:sz="0" w:space="0"/>
                <w:left w:val="none" w:color="auto" w:sz="0" w:space="0"/>
                <w:bottom w:val="none" w:color="auto" w:sz="0" w:space="0"/>
                <w:right w:val="none" w:color="auto" w:sz="0" w:space="0"/>
                <w:between w:val="none" w:color="auto" w:sz="0" w:space="0"/>
              </w:pBdr>
              <w:tabs>
                <w:tab w:val="left" w:pos="0"/>
              </w:tabs>
              <w:spacing w:before="240" w:after="60" w:line="240" w:lineRule="auto"/>
              <w:ind w:hanging="2"/>
              <w:jc w:val="right"/>
              <w:rPr>
                <w:rFonts w:ascii="Times New Roman" w:hAnsi="Times New Roman" w:eastAsia="Calibri" w:cs="Times New Roman"/>
                <w:b/>
                <w:color w:val="000000"/>
              </w:rPr>
            </w:pPr>
            <w:r>
              <w:rPr>
                <w:rFonts w:ascii="Times New Roman" w:hAnsi="Times New Roman" w:eastAsia="Times New Roman" w:cs="Times New Roman"/>
                <w:b/>
                <w:color w:val="000000"/>
              </w:rPr>
              <w:t>CARGA HORÁRIA TOTAL</w:t>
            </w:r>
          </w:p>
        </w:tc>
        <w:tc>
          <w:tcPr>
            <w:tcW w:w="1136" w:type="dxa"/>
            <w:tcBorders>
              <w:top w:val="single" w:color="000000" w:sz="6" w:space="0"/>
              <w:left w:val="single" w:color="000000" w:sz="6" w:space="0"/>
              <w:bottom w:val="single" w:color="000000" w:sz="6" w:space="0"/>
            </w:tcBorders>
            <w:shd w:val="clear" w:color="auto" w:fill="BFBFBF"/>
            <w:vAlign w:val="center"/>
          </w:tcPr>
          <w:p>
            <w:pPr>
              <w:tabs>
                <w:tab w:val="left" w:pos="8647"/>
              </w:tabs>
              <w:ind w:left="0" w:hanging="2"/>
              <w:jc w:val="center"/>
              <w:rPr>
                <w:rFonts w:ascii="Times New Roman" w:hAnsi="Times New Roman" w:eastAsia="Times New Roman" w:cs="Times New Roman"/>
              </w:rPr>
            </w:pPr>
          </w:p>
        </w:tc>
        <w:tc>
          <w:tcPr>
            <w:tcW w:w="1274" w:type="dxa"/>
            <w:tcBorders>
              <w:top w:val="single" w:color="000000" w:sz="6" w:space="0"/>
              <w:left w:val="single" w:color="000000" w:sz="4" w:space="0"/>
              <w:bottom w:val="single" w:color="000000" w:sz="6" w:space="0"/>
            </w:tcBorders>
            <w:shd w:val="clear" w:color="auto" w:fill="BFBFBF"/>
          </w:tcPr>
          <w:p>
            <w:pPr>
              <w:tabs>
                <w:tab w:val="left" w:pos="8647"/>
              </w:tabs>
              <w:ind w:left="0" w:hanging="2"/>
              <w:jc w:val="center"/>
              <w:rPr>
                <w:rFonts w:ascii="Times New Roman" w:hAnsi="Times New Roman" w:eastAsia="Times New Roman" w:cs="Times New Roman"/>
              </w:rPr>
            </w:pPr>
          </w:p>
        </w:tc>
        <w:tc>
          <w:tcPr>
            <w:tcW w:w="1984" w:type="dxa"/>
            <w:tcBorders>
              <w:top w:val="single" w:color="000000" w:sz="6" w:space="0"/>
              <w:left w:val="single" w:color="000000" w:sz="4" w:space="0"/>
              <w:bottom w:val="single" w:color="000000" w:sz="6" w:space="0"/>
              <w:right w:val="single" w:color="000000" w:sz="6" w:space="0"/>
            </w:tcBorders>
            <w:shd w:val="clear" w:color="auto" w:fill="BFBFBF"/>
            <w:vAlign w:val="center"/>
          </w:tcPr>
          <w:p>
            <w:pPr>
              <w:tabs>
                <w:tab w:val="left" w:pos="8647"/>
              </w:tabs>
              <w:ind w:left="0" w:hanging="2"/>
              <w:jc w:val="center"/>
              <w:rPr>
                <w:rFonts w:ascii="Times New Roman" w:hAnsi="Times New Roman" w:eastAsia="Times New Roman" w:cs="Times New Roman"/>
              </w:rPr>
            </w:pPr>
          </w:p>
        </w:tc>
      </w:tr>
      <w:tr>
        <w:tblPrEx>
          <w:tblCellMar>
            <w:top w:w="0" w:type="dxa"/>
            <w:left w:w="70" w:type="dxa"/>
            <w:bottom w:w="0" w:type="dxa"/>
            <w:right w:w="70" w:type="dxa"/>
          </w:tblCellMar>
        </w:tblPrEx>
        <w:tc>
          <w:tcPr>
            <w:tcW w:w="7694" w:type="dxa"/>
            <w:gridSpan w:val="4"/>
            <w:tcBorders>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tabs>
                <w:tab w:val="left" w:pos="284"/>
                <w:tab w:val="center" w:pos="4252"/>
                <w:tab w:val="left" w:pos="4536"/>
                <w:tab w:val="left" w:pos="5954"/>
                <w:tab w:val="right" w:pos="8504"/>
              </w:tabs>
              <w:spacing w:line="240" w:lineRule="auto"/>
              <w:ind w:left="0" w:hanging="2"/>
              <w:rPr>
                <w:rFonts w:ascii="Times New Roman" w:hAnsi="Times New Roman" w:eastAsia="Liberation Serif" w:cs="Times New Roman"/>
                <w:color w:val="000000"/>
              </w:rPr>
            </w:pPr>
            <w:r>
              <w:rPr>
                <w:rFonts w:ascii="Times New Roman" w:hAnsi="Times New Roman" w:eastAsia="Times New Roman" w:cs="Times New Roman"/>
                <w:color w:val="000000"/>
              </w:rPr>
              <w:tab/>
            </w:r>
          </w:p>
          <w:p>
            <w:pPr>
              <w:pBdr>
                <w:top w:val="none" w:color="auto" w:sz="0" w:space="0"/>
                <w:left w:val="none" w:color="auto" w:sz="0" w:space="0"/>
                <w:bottom w:val="none" w:color="auto" w:sz="0" w:space="0"/>
                <w:right w:val="none" w:color="auto" w:sz="0" w:space="0"/>
                <w:between w:val="none" w:color="auto" w:sz="0" w:space="0"/>
              </w:pBdr>
              <w:tabs>
                <w:tab w:val="left" w:pos="284"/>
                <w:tab w:val="center" w:pos="4252"/>
                <w:tab w:val="left" w:pos="4536"/>
                <w:tab w:val="left" w:pos="5954"/>
                <w:tab w:val="right" w:pos="8504"/>
              </w:tabs>
              <w:spacing w:line="240" w:lineRule="auto"/>
              <w:ind w:left="0" w:hanging="2"/>
              <w:rPr>
                <w:rFonts w:ascii="Times New Roman" w:hAnsi="Times New Roman" w:eastAsia="Times New Roman" w:cs="Times New Roman"/>
                <w:color w:val="000000"/>
              </w:rPr>
            </w:pPr>
          </w:p>
        </w:tc>
        <w:tc>
          <w:tcPr>
            <w:tcW w:w="426" w:type="dxa"/>
          </w:tcPr>
          <w:p>
            <w:pPr>
              <w:pBdr>
                <w:top w:val="none" w:color="auto" w:sz="0" w:space="0"/>
                <w:left w:val="none" w:color="auto" w:sz="0" w:space="0"/>
                <w:bottom w:val="none" w:color="auto" w:sz="0" w:space="0"/>
                <w:right w:val="none" w:color="auto" w:sz="0" w:space="0"/>
                <w:between w:val="none" w:color="auto" w:sz="0" w:space="0"/>
              </w:pBdr>
              <w:tabs>
                <w:tab w:val="left" w:pos="284"/>
                <w:tab w:val="center" w:pos="4252"/>
                <w:tab w:val="left" w:pos="4536"/>
                <w:tab w:val="left" w:pos="5954"/>
                <w:tab w:val="right" w:pos="8504"/>
              </w:tabs>
              <w:spacing w:line="240" w:lineRule="auto"/>
              <w:ind w:left="0" w:hanging="2"/>
              <w:rPr>
                <w:rFonts w:ascii="Times New Roman" w:hAnsi="Times New Roman" w:eastAsia="Times New Roman" w:cs="Times New Roman"/>
                <w:color w:val="000000"/>
              </w:rPr>
            </w:pPr>
          </w:p>
        </w:tc>
        <w:tc>
          <w:tcPr>
            <w:tcW w:w="1981" w:type="dxa"/>
          </w:tcPr>
          <w:p>
            <w:pPr>
              <w:pBdr>
                <w:top w:val="none" w:color="auto" w:sz="0" w:space="0"/>
                <w:left w:val="none" w:color="auto" w:sz="0" w:space="0"/>
                <w:bottom w:val="none" w:color="auto" w:sz="0" w:space="0"/>
                <w:right w:val="none" w:color="auto" w:sz="0" w:space="0"/>
                <w:between w:val="none" w:color="auto" w:sz="0" w:space="0"/>
              </w:pBdr>
              <w:tabs>
                <w:tab w:val="left" w:pos="284"/>
                <w:tab w:val="center" w:pos="4252"/>
                <w:tab w:val="left" w:pos="4536"/>
                <w:tab w:val="left" w:pos="5954"/>
                <w:tab w:val="right" w:pos="8504"/>
              </w:tabs>
              <w:spacing w:line="240" w:lineRule="auto"/>
              <w:ind w:left="0" w:hanging="2"/>
              <w:rPr>
                <w:rFonts w:ascii="Times New Roman" w:hAnsi="Times New Roman" w:eastAsia="Times New Roman" w:cs="Times New Roman"/>
                <w:color w:val="000000"/>
              </w:rPr>
            </w:pPr>
          </w:p>
        </w:tc>
        <w:tc>
          <w:tcPr>
            <w:tcW w:w="5349" w:type="dxa"/>
            <w:gridSpan w:val="4"/>
            <w:tcBorders>
              <w:bottom w:val="single" w:color="000000" w:sz="4" w:space="0"/>
            </w:tcBorders>
          </w:tcPr>
          <w:p>
            <w:pPr>
              <w:pBdr>
                <w:top w:val="none" w:color="auto" w:sz="0" w:space="0"/>
                <w:left w:val="none" w:color="auto" w:sz="0" w:space="0"/>
                <w:bottom w:val="none" w:color="auto" w:sz="0" w:space="0"/>
                <w:right w:val="none" w:color="auto" w:sz="0" w:space="0"/>
                <w:between w:val="none" w:color="auto" w:sz="0" w:space="0"/>
              </w:pBdr>
              <w:tabs>
                <w:tab w:val="left" w:pos="284"/>
                <w:tab w:val="center" w:pos="4252"/>
                <w:tab w:val="left" w:pos="4536"/>
                <w:tab w:val="left" w:pos="5954"/>
                <w:tab w:val="right" w:pos="8504"/>
              </w:tabs>
              <w:spacing w:line="240" w:lineRule="auto"/>
              <w:ind w:left="0" w:hanging="2"/>
              <w:rPr>
                <w:rFonts w:ascii="Times New Roman" w:hAnsi="Times New Roman" w:eastAsia="Times New Roman" w:cs="Times New Roman"/>
                <w:color w:val="000000"/>
              </w:rPr>
            </w:pPr>
          </w:p>
        </w:tc>
      </w:tr>
      <w:tr>
        <w:tblPrEx>
          <w:tblCellMar>
            <w:top w:w="0" w:type="dxa"/>
            <w:left w:w="70" w:type="dxa"/>
            <w:bottom w:w="0" w:type="dxa"/>
            <w:right w:w="70" w:type="dxa"/>
          </w:tblCellMar>
        </w:tblPrEx>
        <w:tc>
          <w:tcPr>
            <w:tcW w:w="7694" w:type="dxa"/>
            <w:gridSpan w:val="4"/>
            <w:tcBorders>
              <w:top w:val="single" w:color="000000" w:sz="4" w:space="0"/>
            </w:tcBorders>
          </w:tcPr>
          <w:p>
            <w:pPr>
              <w:pBdr>
                <w:top w:val="none" w:color="auto" w:sz="0" w:space="0"/>
                <w:left w:val="none" w:color="auto" w:sz="0" w:space="0"/>
                <w:bottom w:val="none" w:color="auto" w:sz="0" w:space="0"/>
                <w:right w:val="none" w:color="auto" w:sz="0" w:space="0"/>
                <w:between w:val="none" w:color="auto" w:sz="0" w:space="0"/>
              </w:pBdr>
              <w:tabs>
                <w:tab w:val="left" w:pos="284"/>
                <w:tab w:val="center" w:pos="4252"/>
                <w:tab w:val="left" w:pos="4536"/>
                <w:tab w:val="left" w:pos="5954"/>
                <w:tab w:val="right" w:pos="8504"/>
              </w:tabs>
              <w:spacing w:line="240"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Assinatura do Aluno</w:t>
            </w:r>
          </w:p>
        </w:tc>
        <w:tc>
          <w:tcPr>
            <w:tcW w:w="426" w:type="dxa"/>
          </w:tcPr>
          <w:p>
            <w:pPr>
              <w:pBdr>
                <w:top w:val="none" w:color="auto" w:sz="0" w:space="0"/>
                <w:left w:val="none" w:color="auto" w:sz="0" w:space="0"/>
                <w:bottom w:val="none" w:color="auto" w:sz="0" w:space="0"/>
                <w:right w:val="none" w:color="auto" w:sz="0" w:space="0"/>
                <w:between w:val="none" w:color="auto" w:sz="0" w:space="0"/>
              </w:pBdr>
              <w:tabs>
                <w:tab w:val="left" w:pos="284"/>
                <w:tab w:val="center" w:pos="4252"/>
                <w:tab w:val="left" w:pos="4536"/>
                <w:tab w:val="left" w:pos="5954"/>
                <w:tab w:val="right" w:pos="8504"/>
              </w:tabs>
              <w:spacing w:line="240" w:lineRule="auto"/>
              <w:ind w:left="0" w:hanging="2"/>
              <w:jc w:val="center"/>
              <w:rPr>
                <w:rFonts w:ascii="Times New Roman" w:hAnsi="Times New Roman" w:eastAsia="Times New Roman" w:cs="Times New Roman"/>
                <w:color w:val="000000"/>
              </w:rPr>
            </w:pPr>
          </w:p>
        </w:tc>
        <w:tc>
          <w:tcPr>
            <w:tcW w:w="1981" w:type="dxa"/>
          </w:tcPr>
          <w:p>
            <w:pPr>
              <w:pBdr>
                <w:top w:val="none" w:color="auto" w:sz="0" w:space="0"/>
                <w:left w:val="none" w:color="auto" w:sz="0" w:space="0"/>
                <w:bottom w:val="none" w:color="auto" w:sz="0" w:space="0"/>
                <w:right w:val="none" w:color="auto" w:sz="0" w:space="0"/>
                <w:between w:val="none" w:color="auto" w:sz="0" w:space="0"/>
              </w:pBdr>
              <w:tabs>
                <w:tab w:val="left" w:pos="284"/>
                <w:tab w:val="center" w:pos="4252"/>
                <w:tab w:val="left" w:pos="4536"/>
                <w:tab w:val="left" w:pos="5954"/>
                <w:tab w:val="right" w:pos="8504"/>
              </w:tabs>
              <w:spacing w:line="240" w:lineRule="auto"/>
              <w:ind w:left="0" w:hanging="2"/>
              <w:jc w:val="center"/>
              <w:rPr>
                <w:rFonts w:ascii="Times New Roman" w:hAnsi="Times New Roman" w:eastAsia="Times New Roman" w:cs="Times New Roman"/>
                <w:color w:val="000000"/>
              </w:rPr>
            </w:pPr>
          </w:p>
        </w:tc>
        <w:tc>
          <w:tcPr>
            <w:tcW w:w="5349" w:type="dxa"/>
            <w:gridSpan w:val="4"/>
            <w:tcBorders>
              <w:top w:val="single" w:color="000000" w:sz="4" w:space="0"/>
            </w:tcBorders>
          </w:tcPr>
          <w:p>
            <w:pPr>
              <w:pBdr>
                <w:top w:val="none" w:color="auto" w:sz="0" w:space="0"/>
                <w:left w:val="none" w:color="auto" w:sz="0" w:space="0"/>
                <w:bottom w:val="none" w:color="auto" w:sz="0" w:space="0"/>
                <w:right w:val="none" w:color="auto" w:sz="0" w:space="0"/>
                <w:between w:val="none" w:color="auto" w:sz="0" w:space="0"/>
              </w:pBdr>
              <w:tabs>
                <w:tab w:val="left" w:pos="284"/>
                <w:tab w:val="center" w:pos="4252"/>
                <w:tab w:val="left" w:pos="4536"/>
                <w:tab w:val="left" w:pos="5954"/>
                <w:tab w:val="right" w:pos="8504"/>
              </w:tabs>
              <w:spacing w:line="240" w:lineRule="auto"/>
              <w:ind w:left="0" w:hanging="2"/>
              <w:jc w:val="center"/>
              <w:rPr>
                <w:rFonts w:ascii="Times New Roman" w:hAnsi="Times New Roman" w:eastAsia="Liberation Serif" w:cs="Times New Roman"/>
                <w:color w:val="000000"/>
              </w:rPr>
            </w:pPr>
            <w:r>
              <w:rPr>
                <w:rFonts w:ascii="Times New Roman" w:hAnsi="Times New Roman" w:eastAsia="Times New Roman" w:cs="Times New Roman"/>
                <w:color w:val="000000"/>
              </w:rPr>
              <w:t>Assinatura presidente Cohis</w:t>
            </w:r>
          </w:p>
        </w:tc>
      </w:tr>
    </w:tbl>
    <w:p>
      <w:pPr>
        <w:ind w:left="0" w:hanging="2"/>
        <w:rPr>
          <w:rFonts w:ascii="Times New Roman" w:hAnsi="Times New Roman" w:eastAsia="Times New Roman" w:cs="Times New Roman"/>
        </w:rPr>
      </w:pPr>
    </w:p>
    <w:tbl>
      <w:tblPr>
        <w:tblStyle w:val="676"/>
        <w:tblW w:w="14960" w:type="dxa"/>
        <w:tblInd w:w="130" w:type="dxa"/>
        <w:tblLayout w:type="fixed"/>
        <w:tblCellMar>
          <w:top w:w="0" w:type="dxa"/>
          <w:left w:w="70" w:type="dxa"/>
          <w:bottom w:w="0" w:type="dxa"/>
          <w:right w:w="70" w:type="dxa"/>
        </w:tblCellMar>
      </w:tblPr>
      <w:tblGrid>
        <w:gridCol w:w="14960"/>
      </w:tblGrid>
      <w:tr>
        <w:tblPrEx>
          <w:tblCellMar>
            <w:top w:w="0" w:type="dxa"/>
            <w:left w:w="70" w:type="dxa"/>
            <w:bottom w:w="0" w:type="dxa"/>
            <w:right w:w="70" w:type="dxa"/>
          </w:tblCellMar>
        </w:tblPrEx>
        <w:tc>
          <w:tcPr>
            <w:tcW w:w="14960" w:type="dxa"/>
            <w:tcBorders>
              <w:top w:val="single" w:color="000000" w:sz="4" w:space="0"/>
              <w:left w:val="single" w:color="000000" w:sz="4" w:space="0"/>
              <w:bottom w:val="single" w:color="000000" w:sz="4" w:space="0"/>
              <w:right w:val="single" w:color="000000" w:sz="4" w:space="0"/>
            </w:tcBorders>
          </w:tcPr>
          <w:p>
            <w:pPr>
              <w:ind w:left="0" w:hanging="2"/>
              <w:rPr>
                <w:rFonts w:ascii="Times New Roman" w:hAnsi="Times New Roman" w:cs="Times New Roman"/>
              </w:rPr>
            </w:pPr>
            <w:r>
              <w:rPr>
                <w:rFonts w:ascii="Times New Roman" w:hAnsi="Times New Roman" w:eastAsia="Times New Roman" w:cs="Times New Roman"/>
              </w:rPr>
              <w:t>* Observações da Comissão Avaliadora:</w:t>
            </w: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tc>
      </w:tr>
    </w:tbl>
    <w:p>
      <w:pPr>
        <w:ind w:left="0" w:hanging="2"/>
        <w:rPr>
          <w:rFonts w:ascii="Times New Roman" w:hAnsi="Times New Roman" w:eastAsia="Times New Roman" w:cs="Times New Roman"/>
        </w:rPr>
      </w:pPr>
    </w:p>
    <w:p>
      <w:pPr>
        <w:ind w:left="0" w:hanging="2"/>
        <w:jc w:val="center"/>
        <w:rPr>
          <w:rFonts w:ascii="Times New Roman" w:hAnsi="Times New Roman" w:cs="Times New Roman"/>
        </w:rPr>
      </w:pPr>
      <w:r>
        <w:rPr>
          <w:rFonts w:ascii="Times New Roman" w:hAnsi="Times New Roman" w:eastAsia="Times New Roman" w:cs="Times New Roman"/>
          <w:b/>
        </w:rPr>
        <w:t>ANEXO 2 - TABELA DE CONVERSÃO DE ATIVIDADES</w:t>
      </w:r>
    </w:p>
    <w:p>
      <w:pPr>
        <w:ind w:left="0" w:hanging="2"/>
        <w:jc w:val="center"/>
        <w:rPr>
          <w:rFonts w:ascii="Times New Roman" w:hAnsi="Times New Roman" w:eastAsia="Times New Roman" w:cs="Times New Roman"/>
        </w:rPr>
      </w:pPr>
    </w:p>
    <w:tbl>
      <w:tblPr>
        <w:tblStyle w:val="677"/>
        <w:tblW w:w="15068" w:type="dxa"/>
        <w:tblInd w:w="99" w:type="dxa"/>
        <w:tblLayout w:type="fixed"/>
        <w:tblCellMar>
          <w:top w:w="0" w:type="dxa"/>
          <w:left w:w="108" w:type="dxa"/>
          <w:bottom w:w="0" w:type="dxa"/>
          <w:right w:w="108" w:type="dxa"/>
        </w:tblCellMar>
      </w:tblPr>
      <w:tblGrid>
        <w:gridCol w:w="2627"/>
        <w:gridCol w:w="6480"/>
        <w:gridCol w:w="1980"/>
        <w:gridCol w:w="1621"/>
        <w:gridCol w:w="2360"/>
      </w:tblGrid>
      <w:tr>
        <w:tblPrEx>
          <w:tblCellMar>
            <w:top w:w="0" w:type="dxa"/>
            <w:left w:w="108" w:type="dxa"/>
            <w:bottom w:w="0" w:type="dxa"/>
            <w:right w:w="108" w:type="dxa"/>
          </w:tblCellMar>
        </w:tblPrEx>
        <w:tc>
          <w:tcPr>
            <w:tcW w:w="2627" w:type="dxa"/>
            <w:tcBorders>
              <w:top w:val="single" w:color="000000" w:sz="4" w:space="0"/>
              <w:left w:val="single" w:color="000000" w:sz="4" w:space="0"/>
              <w:bottom w:val="single" w:color="000000" w:sz="4" w:space="0"/>
            </w:tcBorders>
            <w:vAlign w:val="center"/>
          </w:tcPr>
          <w:p>
            <w:pPr>
              <w:ind w:left="0" w:hanging="2"/>
              <w:jc w:val="center"/>
              <w:rPr>
                <w:rFonts w:ascii="Times New Roman" w:hAnsi="Times New Roman" w:cs="Times New Roman"/>
              </w:rPr>
            </w:pPr>
            <w:r>
              <w:rPr>
                <w:rFonts w:ascii="Times New Roman" w:hAnsi="Times New Roman" w:eastAsia="Times New Roman" w:cs="Times New Roman"/>
                <w:b/>
              </w:rPr>
              <w:t>Categoria</w:t>
            </w:r>
          </w:p>
        </w:tc>
        <w:tc>
          <w:tcPr>
            <w:tcW w:w="6480" w:type="dxa"/>
            <w:tcBorders>
              <w:top w:val="single" w:color="000000" w:sz="4" w:space="0"/>
              <w:left w:val="single" w:color="000000" w:sz="4" w:space="0"/>
              <w:bottom w:val="single" w:color="000000" w:sz="4" w:space="0"/>
            </w:tcBorders>
            <w:vAlign w:val="center"/>
          </w:tcPr>
          <w:p>
            <w:pPr>
              <w:ind w:left="0" w:hanging="2"/>
              <w:jc w:val="center"/>
              <w:rPr>
                <w:rFonts w:ascii="Times New Roman" w:hAnsi="Times New Roman" w:cs="Times New Roman"/>
              </w:rPr>
            </w:pPr>
            <w:r>
              <w:rPr>
                <w:rFonts w:ascii="Times New Roman" w:hAnsi="Times New Roman" w:eastAsia="Times New Roman" w:cs="Times New Roman"/>
                <w:b/>
              </w:rPr>
              <w:t>Discriminação</w:t>
            </w:r>
          </w:p>
        </w:tc>
        <w:tc>
          <w:tcPr>
            <w:tcW w:w="1980" w:type="dxa"/>
            <w:tcBorders>
              <w:top w:val="single" w:color="000000" w:sz="4" w:space="0"/>
              <w:left w:val="single" w:color="000000" w:sz="4" w:space="0"/>
              <w:bottom w:val="single" w:color="000000" w:sz="4" w:space="0"/>
            </w:tcBorders>
            <w:vAlign w:val="center"/>
          </w:tcPr>
          <w:p>
            <w:pPr>
              <w:ind w:left="0" w:hanging="2"/>
              <w:jc w:val="center"/>
              <w:rPr>
                <w:rFonts w:ascii="Times New Roman" w:hAnsi="Times New Roman" w:cs="Times New Roman"/>
              </w:rPr>
            </w:pPr>
            <w:r>
              <w:rPr>
                <w:rFonts w:ascii="Times New Roman" w:hAnsi="Times New Roman" w:eastAsia="Times New Roman" w:cs="Times New Roman"/>
                <w:b/>
              </w:rPr>
              <w:t>Carga horária</w:t>
            </w:r>
          </w:p>
        </w:tc>
        <w:tc>
          <w:tcPr>
            <w:tcW w:w="1621" w:type="dxa"/>
            <w:tcBorders>
              <w:top w:val="single" w:color="000000" w:sz="4" w:space="0"/>
              <w:left w:val="single" w:color="000000" w:sz="4" w:space="0"/>
              <w:bottom w:val="single" w:color="000000" w:sz="4" w:space="0"/>
            </w:tcBorders>
            <w:vAlign w:val="center"/>
          </w:tcPr>
          <w:p>
            <w:pPr>
              <w:ind w:left="0" w:hanging="2"/>
              <w:jc w:val="center"/>
              <w:rPr>
                <w:rFonts w:ascii="Times New Roman" w:hAnsi="Times New Roman" w:cs="Times New Roman"/>
              </w:rPr>
            </w:pPr>
            <w:r>
              <w:rPr>
                <w:rFonts w:ascii="Times New Roman" w:hAnsi="Times New Roman" w:eastAsia="Times New Roman" w:cs="Times New Roman"/>
                <w:b/>
              </w:rPr>
              <w:t>Carga horária máxima computada</w:t>
            </w:r>
          </w:p>
        </w:tc>
        <w:tc>
          <w:tcPr>
            <w:tcW w:w="2360" w:type="dxa"/>
            <w:tcBorders>
              <w:top w:val="single" w:color="000000" w:sz="4" w:space="0"/>
              <w:left w:val="single" w:color="000000" w:sz="4" w:space="0"/>
              <w:bottom w:val="single" w:color="000000" w:sz="4" w:space="0"/>
              <w:right w:val="single" w:color="000000" w:sz="4" w:space="0"/>
            </w:tcBorders>
            <w:vAlign w:val="center"/>
          </w:tcPr>
          <w:p>
            <w:pPr>
              <w:ind w:left="0" w:hanging="2"/>
              <w:jc w:val="center"/>
              <w:rPr>
                <w:rFonts w:ascii="Times New Roman" w:hAnsi="Times New Roman" w:cs="Times New Roman"/>
              </w:rPr>
            </w:pPr>
            <w:r>
              <w:rPr>
                <w:rFonts w:ascii="Times New Roman" w:hAnsi="Times New Roman" w:eastAsia="Times New Roman" w:cs="Times New Roman"/>
                <w:b/>
              </w:rPr>
              <w:t>Documentação comprobatória</w:t>
            </w:r>
          </w:p>
        </w:tc>
      </w:tr>
      <w:tr>
        <w:tblPrEx>
          <w:tblCellMar>
            <w:top w:w="0" w:type="dxa"/>
            <w:left w:w="108" w:type="dxa"/>
            <w:bottom w:w="0" w:type="dxa"/>
            <w:right w:w="108" w:type="dxa"/>
          </w:tblCellMar>
        </w:tblPrEx>
        <w:trPr>
          <w:cantSplit/>
        </w:trPr>
        <w:tc>
          <w:tcPr>
            <w:tcW w:w="2627" w:type="dxa"/>
            <w:tcBorders>
              <w:top w:val="single" w:color="000000" w:sz="4" w:space="0"/>
              <w:left w:val="single" w:color="000000" w:sz="4" w:space="0"/>
              <w:bottom w:val="single" w:color="000000" w:sz="4" w:space="0"/>
            </w:tcBorders>
            <w:vAlign w:val="center"/>
          </w:tcPr>
          <w:p>
            <w:pPr>
              <w:ind w:left="0" w:hanging="2"/>
              <w:jc w:val="center"/>
              <w:rPr>
                <w:rFonts w:ascii="Times New Roman" w:hAnsi="Times New Roman" w:cs="Times New Roman"/>
              </w:rPr>
            </w:pPr>
            <w:r>
              <w:rPr>
                <w:rFonts w:ascii="Times New Roman" w:hAnsi="Times New Roman" w:eastAsia="Times New Roman" w:cs="Times New Roman"/>
                <w:b/>
              </w:rPr>
              <w:t>Atividades de Apoio ao Ensino</w:t>
            </w:r>
          </w:p>
        </w:tc>
        <w:tc>
          <w:tcPr>
            <w:tcW w:w="6480" w:type="dxa"/>
            <w:tcBorders>
              <w:top w:val="single" w:color="000000" w:sz="4" w:space="0"/>
              <w:left w:val="single" w:color="000000" w:sz="4" w:space="0"/>
              <w:bottom w:val="single" w:color="000000" w:sz="4" w:space="0"/>
            </w:tcBorders>
            <w:vAlign w:val="center"/>
          </w:tcPr>
          <w:p>
            <w:pPr>
              <w:ind w:left="0" w:hanging="2"/>
              <w:jc w:val="center"/>
              <w:rPr>
                <w:rFonts w:ascii="Times New Roman" w:hAnsi="Times New Roman" w:cs="Times New Roman"/>
              </w:rPr>
            </w:pPr>
            <w:r>
              <w:rPr>
                <w:rFonts w:ascii="Times New Roman" w:hAnsi="Times New Roman" w:eastAsia="Times New Roman" w:cs="Times New Roman"/>
              </w:rPr>
              <w:t>Monitoria, PIBID ou Pró-ativa</w:t>
            </w:r>
          </w:p>
        </w:tc>
        <w:tc>
          <w:tcPr>
            <w:tcW w:w="1980" w:type="dxa"/>
            <w:tcBorders>
              <w:top w:val="single" w:color="000000" w:sz="4" w:space="0"/>
              <w:left w:val="single" w:color="000000" w:sz="4" w:space="0"/>
              <w:bottom w:val="single" w:color="000000" w:sz="4" w:space="0"/>
            </w:tcBorders>
            <w:vAlign w:val="center"/>
          </w:tcPr>
          <w:p>
            <w:pPr>
              <w:ind w:left="0" w:hanging="2"/>
              <w:jc w:val="center"/>
              <w:rPr>
                <w:rFonts w:ascii="Times New Roman" w:hAnsi="Times New Roman" w:cs="Times New Roman"/>
              </w:rPr>
            </w:pPr>
            <w:r>
              <w:rPr>
                <w:rFonts w:ascii="Times New Roman" w:hAnsi="Times New Roman" w:eastAsia="Times New Roman" w:cs="Times New Roman"/>
              </w:rPr>
              <w:t>50 horas por semestre</w:t>
            </w:r>
          </w:p>
        </w:tc>
        <w:tc>
          <w:tcPr>
            <w:tcW w:w="1621" w:type="dxa"/>
            <w:vMerge w:val="restart"/>
            <w:tcBorders>
              <w:top w:val="single" w:color="000000" w:sz="4" w:space="0"/>
              <w:left w:val="single" w:color="000000" w:sz="4" w:space="0"/>
              <w:bottom w:val="single" w:color="000000" w:sz="4" w:space="0"/>
            </w:tcBorders>
            <w:vAlign w:val="center"/>
          </w:tcPr>
          <w:p>
            <w:pPr>
              <w:ind w:left="0" w:hanging="2"/>
              <w:jc w:val="center"/>
              <w:rPr>
                <w:rFonts w:ascii="Times New Roman" w:hAnsi="Times New Roman" w:cs="Times New Roman"/>
              </w:rPr>
            </w:pPr>
            <w:r>
              <w:rPr>
                <w:rFonts w:ascii="Times New Roman" w:hAnsi="Times New Roman" w:eastAsia="Times New Roman" w:cs="Times New Roman"/>
              </w:rPr>
              <w:t>100 horas por semestre</w:t>
            </w:r>
          </w:p>
        </w:tc>
        <w:tc>
          <w:tcPr>
            <w:tcW w:w="2360" w:type="dxa"/>
            <w:tcBorders>
              <w:top w:val="single" w:color="000000" w:sz="4" w:space="0"/>
              <w:left w:val="single" w:color="000000" w:sz="4" w:space="0"/>
              <w:bottom w:val="single" w:color="000000" w:sz="4" w:space="0"/>
              <w:right w:val="single" w:color="000000" w:sz="4" w:space="0"/>
            </w:tcBorders>
            <w:vAlign w:val="center"/>
          </w:tcPr>
          <w:p>
            <w:pPr>
              <w:ind w:left="0" w:hanging="2"/>
              <w:jc w:val="center"/>
              <w:rPr>
                <w:rFonts w:ascii="Times New Roman" w:hAnsi="Times New Roman" w:cs="Times New Roman"/>
              </w:rPr>
            </w:pPr>
            <w:r>
              <w:rPr>
                <w:rFonts w:ascii="Times New Roman" w:hAnsi="Times New Roman" w:eastAsia="Times New Roman" w:cs="Times New Roman"/>
              </w:rPr>
              <w:t>Declaração/Certificado</w:t>
            </w:r>
          </w:p>
        </w:tc>
      </w:tr>
      <w:tr>
        <w:tblPrEx>
          <w:tblCellMar>
            <w:top w:w="0" w:type="dxa"/>
            <w:left w:w="108" w:type="dxa"/>
            <w:bottom w:w="0" w:type="dxa"/>
            <w:right w:w="108" w:type="dxa"/>
          </w:tblCellMar>
        </w:tblPrEx>
        <w:trPr>
          <w:cantSplit/>
        </w:trPr>
        <w:tc>
          <w:tcPr>
            <w:tcW w:w="2627" w:type="dxa"/>
            <w:vMerge w:val="restart"/>
            <w:tcBorders>
              <w:top w:val="single" w:color="000000" w:sz="4" w:space="0"/>
              <w:left w:val="single" w:color="000000" w:sz="4" w:space="0"/>
              <w:bottom w:val="single" w:color="000000" w:sz="4" w:space="0"/>
            </w:tcBorders>
            <w:vAlign w:val="center"/>
          </w:tcPr>
          <w:p>
            <w:pPr>
              <w:ind w:left="0" w:hanging="2"/>
              <w:jc w:val="center"/>
              <w:rPr>
                <w:rFonts w:ascii="Times New Roman" w:hAnsi="Times New Roman" w:cs="Times New Roman"/>
              </w:rPr>
            </w:pPr>
            <w:r>
              <w:rPr>
                <w:rFonts w:ascii="Times New Roman" w:hAnsi="Times New Roman" w:eastAsia="Times New Roman" w:cs="Times New Roman"/>
                <w:b/>
              </w:rPr>
              <w:t>Atividades de Pesquisa</w:t>
            </w:r>
          </w:p>
        </w:tc>
        <w:tc>
          <w:tcPr>
            <w:tcW w:w="6480" w:type="dxa"/>
            <w:tcBorders>
              <w:top w:val="single" w:color="000000" w:sz="4" w:space="0"/>
              <w:left w:val="single" w:color="000000" w:sz="4" w:space="0"/>
              <w:bottom w:val="single" w:color="000000" w:sz="4" w:space="0"/>
            </w:tcBorders>
            <w:vAlign w:val="center"/>
          </w:tcPr>
          <w:p>
            <w:pPr>
              <w:ind w:left="0" w:hanging="2"/>
              <w:jc w:val="center"/>
              <w:rPr>
                <w:rFonts w:ascii="Times New Roman" w:hAnsi="Times New Roman" w:cs="Times New Roman"/>
              </w:rPr>
            </w:pPr>
            <w:r>
              <w:rPr>
                <w:rFonts w:ascii="Times New Roman" w:hAnsi="Times New Roman" w:eastAsia="Times New Roman" w:cs="Times New Roman"/>
              </w:rPr>
              <w:t>Bolsista de Iniciação Científica</w:t>
            </w:r>
          </w:p>
        </w:tc>
        <w:tc>
          <w:tcPr>
            <w:tcW w:w="1980" w:type="dxa"/>
            <w:tcBorders>
              <w:top w:val="single" w:color="000000" w:sz="4" w:space="0"/>
              <w:left w:val="single" w:color="000000" w:sz="4" w:space="0"/>
              <w:bottom w:val="single" w:color="000000" w:sz="4" w:space="0"/>
            </w:tcBorders>
            <w:vAlign w:val="center"/>
          </w:tcPr>
          <w:p>
            <w:pPr>
              <w:ind w:left="0" w:hanging="2"/>
              <w:jc w:val="center"/>
              <w:rPr>
                <w:rFonts w:ascii="Times New Roman" w:hAnsi="Times New Roman" w:cs="Times New Roman"/>
              </w:rPr>
            </w:pPr>
            <w:r>
              <w:rPr>
                <w:rFonts w:ascii="Times New Roman" w:hAnsi="Times New Roman" w:eastAsia="Times New Roman" w:cs="Times New Roman"/>
              </w:rPr>
              <w:t>15 horas por mês</w:t>
            </w:r>
          </w:p>
        </w:tc>
        <w:tc>
          <w:tcPr>
            <w:tcW w:w="1621" w:type="dxa"/>
            <w:vMerge w:val="continue"/>
            <w:tcBorders>
              <w:top w:val="single" w:color="000000" w:sz="4" w:space="0"/>
              <w:left w:val="single" w:color="000000" w:sz="4" w:space="0"/>
              <w:bottom w:val="single" w:color="000000" w:sz="4" w:space="0"/>
            </w:tcBorders>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cs="Times New Roman"/>
              </w:rPr>
            </w:pPr>
          </w:p>
        </w:tc>
        <w:tc>
          <w:tcPr>
            <w:tcW w:w="2360" w:type="dxa"/>
            <w:vMerge w:val="restart"/>
            <w:tcBorders>
              <w:top w:val="single" w:color="000000" w:sz="4" w:space="0"/>
              <w:left w:val="single" w:color="000000" w:sz="4" w:space="0"/>
              <w:bottom w:val="single" w:color="000000" w:sz="4" w:space="0"/>
              <w:right w:val="single" w:color="000000" w:sz="4" w:space="0"/>
            </w:tcBorders>
            <w:vAlign w:val="center"/>
          </w:tcPr>
          <w:p>
            <w:pPr>
              <w:ind w:left="0" w:hanging="2"/>
              <w:jc w:val="center"/>
              <w:rPr>
                <w:rFonts w:ascii="Times New Roman" w:hAnsi="Times New Roman" w:cs="Times New Roman"/>
              </w:rPr>
            </w:pPr>
            <w:r>
              <w:rPr>
                <w:rFonts w:ascii="Times New Roman" w:hAnsi="Times New Roman" w:eastAsia="Times New Roman" w:cs="Times New Roman"/>
              </w:rPr>
              <w:t>Declaração/Certificado</w:t>
            </w:r>
          </w:p>
        </w:tc>
      </w:tr>
      <w:tr>
        <w:tblPrEx>
          <w:tblCellMar>
            <w:top w:w="0" w:type="dxa"/>
            <w:left w:w="108" w:type="dxa"/>
            <w:bottom w:w="0" w:type="dxa"/>
            <w:right w:w="108" w:type="dxa"/>
          </w:tblCellMar>
        </w:tblPrEx>
        <w:trPr>
          <w:cantSplit/>
        </w:trPr>
        <w:tc>
          <w:tcPr>
            <w:tcW w:w="2627" w:type="dxa"/>
            <w:vMerge w:val="continue"/>
            <w:tcBorders>
              <w:top w:val="single" w:color="000000" w:sz="4" w:space="0"/>
              <w:left w:val="single" w:color="000000" w:sz="4" w:space="0"/>
              <w:bottom w:val="single" w:color="000000" w:sz="4" w:space="0"/>
            </w:tcBorders>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cs="Times New Roman"/>
              </w:rPr>
            </w:pPr>
          </w:p>
        </w:tc>
        <w:tc>
          <w:tcPr>
            <w:tcW w:w="6480" w:type="dxa"/>
            <w:tcBorders>
              <w:top w:val="single" w:color="000000" w:sz="4" w:space="0"/>
              <w:left w:val="single" w:color="000000" w:sz="4" w:space="0"/>
              <w:bottom w:val="single" w:color="000000" w:sz="4" w:space="0"/>
            </w:tcBorders>
            <w:vAlign w:val="center"/>
          </w:tcPr>
          <w:p>
            <w:pPr>
              <w:ind w:left="0" w:hanging="2"/>
              <w:jc w:val="center"/>
              <w:rPr>
                <w:rFonts w:ascii="Times New Roman" w:hAnsi="Times New Roman" w:cs="Times New Roman"/>
              </w:rPr>
            </w:pPr>
            <w:r>
              <w:rPr>
                <w:rFonts w:ascii="Times New Roman" w:hAnsi="Times New Roman" w:eastAsia="Times New Roman" w:cs="Times New Roman"/>
              </w:rPr>
              <w:t>Participação em Grupo de Pesquisa ou Estudo Orientado por docente da UFOP</w:t>
            </w:r>
          </w:p>
        </w:tc>
        <w:tc>
          <w:tcPr>
            <w:tcW w:w="1980" w:type="dxa"/>
            <w:tcBorders>
              <w:top w:val="single" w:color="000000" w:sz="4" w:space="0"/>
              <w:left w:val="single" w:color="000000" w:sz="4" w:space="0"/>
              <w:bottom w:val="single" w:color="000000" w:sz="4" w:space="0"/>
            </w:tcBorders>
            <w:vAlign w:val="center"/>
          </w:tcPr>
          <w:p>
            <w:pPr>
              <w:ind w:left="0" w:hanging="2"/>
              <w:jc w:val="center"/>
              <w:rPr>
                <w:rFonts w:ascii="Times New Roman" w:hAnsi="Times New Roman" w:cs="Times New Roman"/>
              </w:rPr>
            </w:pPr>
            <w:r>
              <w:rPr>
                <w:rFonts w:ascii="Times New Roman" w:hAnsi="Times New Roman" w:eastAsia="Times New Roman" w:cs="Times New Roman"/>
              </w:rPr>
              <w:t>5 horas por mês</w:t>
            </w:r>
          </w:p>
        </w:tc>
        <w:tc>
          <w:tcPr>
            <w:tcW w:w="1621" w:type="dxa"/>
            <w:vMerge w:val="continue"/>
            <w:tcBorders>
              <w:top w:val="single" w:color="000000" w:sz="4" w:space="0"/>
              <w:left w:val="single" w:color="000000" w:sz="4" w:space="0"/>
              <w:bottom w:val="single" w:color="000000" w:sz="4" w:space="0"/>
            </w:tcBorders>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cs="Times New Roman"/>
              </w:rPr>
            </w:pPr>
          </w:p>
        </w:tc>
        <w:tc>
          <w:tcPr>
            <w:tcW w:w="2360" w:type="dxa"/>
            <w:vMerge w:val="continue"/>
            <w:tcBorders>
              <w:top w:val="single" w:color="000000" w:sz="4" w:space="0"/>
              <w:left w:val="single" w:color="000000" w:sz="4" w:space="0"/>
              <w:bottom w:val="single" w:color="000000" w:sz="4" w:space="0"/>
              <w:right w:val="single" w:color="000000" w:sz="4" w:space="0"/>
            </w:tcBorders>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cs="Times New Roman"/>
              </w:rPr>
            </w:pPr>
          </w:p>
        </w:tc>
      </w:tr>
      <w:tr>
        <w:tblPrEx>
          <w:tblCellMar>
            <w:top w:w="0" w:type="dxa"/>
            <w:left w:w="108" w:type="dxa"/>
            <w:bottom w:w="0" w:type="dxa"/>
            <w:right w:w="108" w:type="dxa"/>
          </w:tblCellMar>
        </w:tblPrEx>
        <w:trPr>
          <w:cantSplit/>
        </w:trPr>
        <w:tc>
          <w:tcPr>
            <w:tcW w:w="2627" w:type="dxa"/>
            <w:vMerge w:val="restart"/>
            <w:tcBorders>
              <w:top w:val="single" w:color="000000" w:sz="4" w:space="0"/>
              <w:left w:val="single" w:color="000000" w:sz="4" w:space="0"/>
              <w:bottom w:val="single" w:color="000000" w:sz="4" w:space="0"/>
            </w:tcBorders>
            <w:vAlign w:val="center"/>
          </w:tcPr>
          <w:p>
            <w:pPr>
              <w:ind w:left="0" w:hanging="2"/>
              <w:jc w:val="center"/>
              <w:rPr>
                <w:rFonts w:ascii="Times New Roman" w:hAnsi="Times New Roman" w:cs="Times New Roman"/>
              </w:rPr>
            </w:pPr>
            <w:r>
              <w:rPr>
                <w:rFonts w:ascii="Times New Roman" w:hAnsi="Times New Roman" w:eastAsia="Times New Roman" w:cs="Times New Roman"/>
                <w:b/>
              </w:rPr>
              <w:t>Atividades de Extensão</w:t>
            </w:r>
          </w:p>
        </w:tc>
        <w:tc>
          <w:tcPr>
            <w:tcW w:w="6480" w:type="dxa"/>
            <w:tcBorders>
              <w:top w:val="single" w:color="000000" w:sz="4" w:space="0"/>
              <w:left w:val="single" w:color="000000" w:sz="4" w:space="0"/>
              <w:bottom w:val="single" w:color="000000" w:sz="4" w:space="0"/>
            </w:tcBorders>
            <w:vAlign w:val="center"/>
          </w:tcPr>
          <w:p>
            <w:pPr>
              <w:ind w:left="0" w:hanging="2"/>
              <w:jc w:val="center"/>
              <w:rPr>
                <w:rFonts w:ascii="Times New Roman" w:hAnsi="Times New Roman" w:cs="Times New Roman"/>
              </w:rPr>
            </w:pPr>
            <w:r>
              <w:rPr>
                <w:rFonts w:ascii="Times New Roman" w:hAnsi="Times New Roman" w:eastAsia="Times New Roman" w:cs="Times New Roman"/>
              </w:rPr>
              <w:t>Bolsista de Extensão</w:t>
            </w:r>
          </w:p>
        </w:tc>
        <w:tc>
          <w:tcPr>
            <w:tcW w:w="1980" w:type="dxa"/>
            <w:tcBorders>
              <w:top w:val="single" w:color="000000" w:sz="4" w:space="0"/>
              <w:left w:val="single" w:color="000000" w:sz="4" w:space="0"/>
              <w:bottom w:val="single" w:color="000000" w:sz="4" w:space="0"/>
            </w:tcBorders>
            <w:vAlign w:val="center"/>
          </w:tcPr>
          <w:p>
            <w:pPr>
              <w:ind w:left="0" w:hanging="2"/>
              <w:jc w:val="center"/>
              <w:rPr>
                <w:rFonts w:ascii="Times New Roman" w:hAnsi="Times New Roman" w:cs="Times New Roman"/>
              </w:rPr>
            </w:pPr>
            <w:r>
              <w:rPr>
                <w:rFonts w:ascii="Times New Roman" w:hAnsi="Times New Roman" w:eastAsia="Times New Roman" w:cs="Times New Roman"/>
              </w:rPr>
              <w:t>15 horas por mês</w:t>
            </w:r>
          </w:p>
        </w:tc>
        <w:tc>
          <w:tcPr>
            <w:tcW w:w="1621" w:type="dxa"/>
            <w:vMerge w:val="continue"/>
            <w:tcBorders>
              <w:top w:val="single" w:color="000000" w:sz="4" w:space="0"/>
              <w:left w:val="single" w:color="000000" w:sz="4" w:space="0"/>
              <w:bottom w:val="single" w:color="000000" w:sz="4" w:space="0"/>
            </w:tcBorders>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cs="Times New Roman"/>
              </w:rPr>
            </w:pPr>
          </w:p>
        </w:tc>
        <w:tc>
          <w:tcPr>
            <w:tcW w:w="2360" w:type="dxa"/>
            <w:vMerge w:val="restart"/>
            <w:tcBorders>
              <w:top w:val="single" w:color="000000" w:sz="4" w:space="0"/>
              <w:left w:val="single" w:color="000000" w:sz="4" w:space="0"/>
              <w:bottom w:val="single" w:color="000000" w:sz="4" w:space="0"/>
              <w:right w:val="single" w:color="000000" w:sz="4" w:space="0"/>
            </w:tcBorders>
            <w:vAlign w:val="center"/>
          </w:tcPr>
          <w:p>
            <w:pPr>
              <w:ind w:left="0" w:hanging="2"/>
              <w:jc w:val="center"/>
              <w:rPr>
                <w:rFonts w:ascii="Times New Roman" w:hAnsi="Times New Roman" w:cs="Times New Roman"/>
              </w:rPr>
            </w:pPr>
            <w:r>
              <w:rPr>
                <w:rFonts w:ascii="Times New Roman" w:hAnsi="Times New Roman" w:eastAsia="Times New Roman" w:cs="Times New Roman"/>
              </w:rPr>
              <w:t>Declaração/Certificado</w:t>
            </w:r>
          </w:p>
        </w:tc>
      </w:tr>
      <w:tr>
        <w:tblPrEx>
          <w:tblCellMar>
            <w:top w:w="0" w:type="dxa"/>
            <w:left w:w="108" w:type="dxa"/>
            <w:bottom w:w="0" w:type="dxa"/>
            <w:right w:w="108" w:type="dxa"/>
          </w:tblCellMar>
        </w:tblPrEx>
        <w:trPr>
          <w:cantSplit/>
        </w:trPr>
        <w:tc>
          <w:tcPr>
            <w:tcW w:w="2627" w:type="dxa"/>
            <w:vMerge w:val="continue"/>
            <w:tcBorders>
              <w:top w:val="single" w:color="000000" w:sz="4" w:space="0"/>
              <w:left w:val="single" w:color="000000" w:sz="4" w:space="0"/>
              <w:bottom w:val="single" w:color="000000" w:sz="4" w:space="0"/>
            </w:tcBorders>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cs="Times New Roman"/>
              </w:rPr>
            </w:pPr>
          </w:p>
        </w:tc>
        <w:tc>
          <w:tcPr>
            <w:tcW w:w="6480" w:type="dxa"/>
            <w:tcBorders>
              <w:top w:val="single" w:color="000000" w:sz="4" w:space="0"/>
              <w:left w:val="single" w:color="000000" w:sz="4" w:space="0"/>
              <w:bottom w:val="single" w:color="000000" w:sz="4" w:space="0"/>
            </w:tcBorders>
            <w:vAlign w:val="center"/>
          </w:tcPr>
          <w:p>
            <w:pPr>
              <w:ind w:left="0" w:hanging="2"/>
              <w:jc w:val="center"/>
              <w:rPr>
                <w:rFonts w:ascii="Times New Roman" w:hAnsi="Times New Roman" w:cs="Times New Roman"/>
              </w:rPr>
            </w:pPr>
            <w:r>
              <w:rPr>
                <w:rFonts w:ascii="Times New Roman" w:hAnsi="Times New Roman" w:eastAsia="Times New Roman" w:cs="Times New Roman"/>
              </w:rPr>
              <w:t>Participação em Projetos de Extensão, de Assistência e/ou Atendimento, abertos à comunidade</w:t>
            </w:r>
          </w:p>
        </w:tc>
        <w:tc>
          <w:tcPr>
            <w:tcW w:w="1980" w:type="dxa"/>
            <w:tcBorders>
              <w:top w:val="single" w:color="000000" w:sz="4" w:space="0"/>
              <w:left w:val="single" w:color="000000" w:sz="4" w:space="0"/>
              <w:bottom w:val="single" w:color="000000" w:sz="4" w:space="0"/>
            </w:tcBorders>
            <w:vAlign w:val="center"/>
          </w:tcPr>
          <w:p>
            <w:pPr>
              <w:ind w:left="0" w:hanging="2"/>
              <w:jc w:val="center"/>
              <w:rPr>
                <w:rFonts w:ascii="Times New Roman" w:hAnsi="Times New Roman" w:cs="Times New Roman"/>
              </w:rPr>
            </w:pPr>
            <w:r>
              <w:rPr>
                <w:rFonts w:ascii="Times New Roman" w:hAnsi="Times New Roman" w:eastAsia="Times New Roman" w:cs="Times New Roman"/>
              </w:rPr>
              <w:t>5 horas por mês</w:t>
            </w:r>
          </w:p>
        </w:tc>
        <w:tc>
          <w:tcPr>
            <w:tcW w:w="1621" w:type="dxa"/>
            <w:vMerge w:val="continue"/>
            <w:tcBorders>
              <w:top w:val="single" w:color="000000" w:sz="4" w:space="0"/>
              <w:left w:val="single" w:color="000000" w:sz="4" w:space="0"/>
              <w:bottom w:val="single" w:color="000000" w:sz="4" w:space="0"/>
            </w:tcBorders>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cs="Times New Roman"/>
              </w:rPr>
            </w:pPr>
          </w:p>
        </w:tc>
        <w:tc>
          <w:tcPr>
            <w:tcW w:w="2360" w:type="dxa"/>
            <w:vMerge w:val="continue"/>
            <w:tcBorders>
              <w:top w:val="single" w:color="000000" w:sz="4" w:space="0"/>
              <w:left w:val="single" w:color="000000" w:sz="4" w:space="0"/>
              <w:bottom w:val="single" w:color="000000" w:sz="4" w:space="0"/>
              <w:right w:val="single" w:color="000000" w:sz="4" w:space="0"/>
            </w:tcBorders>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cs="Times New Roman"/>
              </w:rPr>
            </w:pPr>
          </w:p>
        </w:tc>
      </w:tr>
      <w:tr>
        <w:tblPrEx>
          <w:tblCellMar>
            <w:top w:w="0" w:type="dxa"/>
            <w:left w:w="108" w:type="dxa"/>
            <w:bottom w:w="0" w:type="dxa"/>
            <w:right w:w="108" w:type="dxa"/>
          </w:tblCellMar>
        </w:tblPrEx>
        <w:trPr>
          <w:cantSplit/>
        </w:trPr>
        <w:tc>
          <w:tcPr>
            <w:tcW w:w="2627" w:type="dxa"/>
            <w:vMerge w:val="restart"/>
            <w:tcBorders>
              <w:top w:val="single" w:color="000000" w:sz="4" w:space="0"/>
              <w:left w:val="single" w:color="000000" w:sz="4" w:space="0"/>
              <w:bottom w:val="single" w:color="000000" w:sz="4" w:space="0"/>
            </w:tcBorders>
            <w:vAlign w:val="center"/>
          </w:tcPr>
          <w:p>
            <w:pPr>
              <w:ind w:left="0" w:hanging="2"/>
              <w:jc w:val="center"/>
              <w:rPr>
                <w:rFonts w:ascii="Times New Roman" w:hAnsi="Times New Roman" w:cs="Times New Roman"/>
              </w:rPr>
            </w:pPr>
            <w:r>
              <w:rPr>
                <w:rFonts w:ascii="Times New Roman" w:hAnsi="Times New Roman" w:eastAsia="Times New Roman" w:cs="Times New Roman"/>
                <w:b/>
              </w:rPr>
              <w:t>Eventos e Cursos</w:t>
            </w:r>
          </w:p>
        </w:tc>
        <w:tc>
          <w:tcPr>
            <w:tcW w:w="6480" w:type="dxa"/>
            <w:tcBorders>
              <w:top w:val="single" w:color="000000" w:sz="4" w:space="0"/>
              <w:left w:val="single" w:color="000000" w:sz="4" w:space="0"/>
              <w:bottom w:val="single" w:color="000000" w:sz="4" w:space="0"/>
            </w:tcBorders>
            <w:vAlign w:val="center"/>
          </w:tcPr>
          <w:p>
            <w:pPr>
              <w:ind w:left="0" w:hanging="2"/>
              <w:jc w:val="center"/>
              <w:rPr>
                <w:rFonts w:ascii="Times New Roman" w:hAnsi="Times New Roman" w:cs="Times New Roman"/>
              </w:rPr>
            </w:pPr>
            <w:r>
              <w:rPr>
                <w:rFonts w:ascii="Times New Roman" w:hAnsi="Times New Roman" w:eastAsia="Times New Roman" w:cs="Times New Roman"/>
              </w:rPr>
              <w:t>Participação em Seminários, Congressos, Palestras, Oficinas etc.</w:t>
            </w:r>
          </w:p>
        </w:tc>
        <w:tc>
          <w:tcPr>
            <w:tcW w:w="1980" w:type="dxa"/>
            <w:tcBorders>
              <w:top w:val="single" w:color="000000" w:sz="4" w:space="0"/>
              <w:left w:val="single" w:color="000000" w:sz="4" w:space="0"/>
              <w:bottom w:val="single" w:color="000000" w:sz="4" w:space="0"/>
            </w:tcBorders>
            <w:vAlign w:val="center"/>
          </w:tcPr>
          <w:p>
            <w:pPr>
              <w:ind w:left="0" w:hanging="2"/>
              <w:jc w:val="center"/>
              <w:rPr>
                <w:rFonts w:ascii="Times New Roman" w:hAnsi="Times New Roman" w:cs="Times New Roman"/>
              </w:rPr>
            </w:pPr>
            <w:r>
              <w:rPr>
                <w:rFonts w:ascii="Times New Roman" w:hAnsi="Times New Roman" w:eastAsia="Times New Roman" w:cs="Times New Roman"/>
              </w:rPr>
              <w:t>De acordo com carga horária comprovada ou avaliadas pelo Presidente do Cohis</w:t>
            </w:r>
          </w:p>
        </w:tc>
        <w:tc>
          <w:tcPr>
            <w:tcW w:w="1621" w:type="dxa"/>
            <w:vMerge w:val="continue"/>
            <w:tcBorders>
              <w:top w:val="single" w:color="000000" w:sz="4" w:space="0"/>
              <w:left w:val="single" w:color="000000" w:sz="4" w:space="0"/>
              <w:bottom w:val="single" w:color="000000" w:sz="4" w:space="0"/>
            </w:tcBorders>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cs="Times New Roman"/>
              </w:rPr>
            </w:pPr>
          </w:p>
        </w:tc>
        <w:tc>
          <w:tcPr>
            <w:tcW w:w="2360" w:type="dxa"/>
            <w:vMerge w:val="restart"/>
            <w:tcBorders>
              <w:top w:val="single" w:color="000000" w:sz="4" w:space="0"/>
              <w:left w:val="single" w:color="000000" w:sz="4" w:space="0"/>
              <w:bottom w:val="single" w:color="000000" w:sz="4" w:space="0"/>
              <w:right w:val="single" w:color="000000" w:sz="4" w:space="0"/>
            </w:tcBorders>
            <w:vAlign w:val="center"/>
          </w:tcPr>
          <w:p>
            <w:pPr>
              <w:ind w:left="0" w:hanging="2"/>
              <w:jc w:val="center"/>
              <w:rPr>
                <w:rFonts w:ascii="Times New Roman" w:hAnsi="Times New Roman" w:cs="Times New Roman"/>
              </w:rPr>
            </w:pPr>
            <w:r>
              <w:rPr>
                <w:rFonts w:ascii="Times New Roman" w:hAnsi="Times New Roman" w:eastAsia="Times New Roman" w:cs="Times New Roman"/>
              </w:rPr>
              <w:t>Declaração/Certificado</w:t>
            </w:r>
          </w:p>
        </w:tc>
      </w:tr>
      <w:tr>
        <w:tblPrEx>
          <w:tblCellMar>
            <w:top w:w="0" w:type="dxa"/>
            <w:left w:w="108" w:type="dxa"/>
            <w:bottom w:w="0" w:type="dxa"/>
            <w:right w:w="108" w:type="dxa"/>
          </w:tblCellMar>
        </w:tblPrEx>
        <w:trPr>
          <w:cantSplit/>
        </w:trPr>
        <w:tc>
          <w:tcPr>
            <w:tcW w:w="2627" w:type="dxa"/>
            <w:vMerge w:val="continue"/>
            <w:tcBorders>
              <w:top w:val="single" w:color="000000" w:sz="4" w:space="0"/>
              <w:left w:val="single" w:color="000000" w:sz="4" w:space="0"/>
              <w:bottom w:val="single" w:color="000000" w:sz="4" w:space="0"/>
            </w:tcBorders>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cs="Times New Roman"/>
              </w:rPr>
            </w:pPr>
          </w:p>
        </w:tc>
        <w:tc>
          <w:tcPr>
            <w:tcW w:w="6480" w:type="dxa"/>
            <w:tcBorders>
              <w:top w:val="single" w:color="000000" w:sz="4" w:space="0"/>
              <w:left w:val="single" w:color="000000" w:sz="4" w:space="0"/>
              <w:bottom w:val="single" w:color="000000" w:sz="4" w:space="0"/>
            </w:tcBorders>
            <w:vAlign w:val="center"/>
          </w:tcPr>
          <w:p>
            <w:pPr>
              <w:ind w:left="0" w:hanging="2"/>
              <w:jc w:val="center"/>
              <w:rPr>
                <w:rFonts w:ascii="Times New Roman" w:hAnsi="Times New Roman" w:cs="Times New Roman"/>
              </w:rPr>
            </w:pPr>
            <w:r>
              <w:rPr>
                <w:rFonts w:ascii="Times New Roman" w:hAnsi="Times New Roman" w:eastAsia="Times New Roman" w:cs="Times New Roman"/>
              </w:rPr>
              <w:t>Participação na organização de eventos acadêmicos</w:t>
            </w:r>
          </w:p>
        </w:tc>
        <w:tc>
          <w:tcPr>
            <w:tcW w:w="1980" w:type="dxa"/>
            <w:tcBorders>
              <w:top w:val="single" w:color="000000" w:sz="4" w:space="0"/>
              <w:left w:val="single" w:color="000000" w:sz="4" w:space="0"/>
              <w:bottom w:val="single" w:color="000000" w:sz="4" w:space="0"/>
            </w:tcBorders>
            <w:vAlign w:val="center"/>
          </w:tcPr>
          <w:p>
            <w:pPr>
              <w:ind w:left="0" w:hanging="2"/>
              <w:jc w:val="center"/>
              <w:rPr>
                <w:rFonts w:ascii="Times New Roman" w:hAnsi="Times New Roman" w:cs="Times New Roman"/>
              </w:rPr>
            </w:pPr>
            <w:r>
              <w:rPr>
                <w:rFonts w:ascii="Times New Roman" w:hAnsi="Times New Roman" w:eastAsia="Times New Roman" w:cs="Times New Roman"/>
              </w:rPr>
              <w:t>O dobro das horas indicadas ou 4 horas por trabalho</w:t>
            </w:r>
          </w:p>
        </w:tc>
        <w:tc>
          <w:tcPr>
            <w:tcW w:w="1621" w:type="dxa"/>
            <w:vMerge w:val="continue"/>
            <w:tcBorders>
              <w:top w:val="single" w:color="000000" w:sz="4" w:space="0"/>
              <w:left w:val="single" w:color="000000" w:sz="4" w:space="0"/>
              <w:bottom w:val="single" w:color="000000" w:sz="4" w:space="0"/>
            </w:tcBorders>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cs="Times New Roman"/>
              </w:rPr>
            </w:pPr>
          </w:p>
        </w:tc>
        <w:tc>
          <w:tcPr>
            <w:tcW w:w="2360" w:type="dxa"/>
            <w:vMerge w:val="continue"/>
            <w:tcBorders>
              <w:top w:val="single" w:color="000000" w:sz="4" w:space="0"/>
              <w:left w:val="single" w:color="000000" w:sz="4" w:space="0"/>
              <w:bottom w:val="single" w:color="000000" w:sz="4" w:space="0"/>
              <w:right w:val="single" w:color="000000" w:sz="4" w:space="0"/>
            </w:tcBorders>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cs="Times New Roman"/>
              </w:rPr>
            </w:pPr>
          </w:p>
        </w:tc>
      </w:tr>
      <w:tr>
        <w:tblPrEx>
          <w:tblCellMar>
            <w:top w:w="0" w:type="dxa"/>
            <w:left w:w="108" w:type="dxa"/>
            <w:bottom w:w="0" w:type="dxa"/>
            <w:right w:w="108" w:type="dxa"/>
          </w:tblCellMar>
        </w:tblPrEx>
        <w:trPr>
          <w:cantSplit/>
        </w:trPr>
        <w:tc>
          <w:tcPr>
            <w:tcW w:w="2627" w:type="dxa"/>
            <w:vMerge w:val="restart"/>
            <w:tcBorders>
              <w:top w:val="single" w:color="000000" w:sz="4" w:space="0"/>
              <w:left w:val="single" w:color="000000" w:sz="4" w:space="0"/>
              <w:bottom w:val="single" w:color="000000" w:sz="4" w:space="0"/>
            </w:tcBorders>
            <w:vAlign w:val="center"/>
          </w:tcPr>
          <w:p>
            <w:pPr>
              <w:ind w:left="0" w:hanging="2"/>
              <w:jc w:val="center"/>
              <w:rPr>
                <w:rFonts w:ascii="Times New Roman" w:hAnsi="Times New Roman" w:cs="Times New Roman"/>
              </w:rPr>
            </w:pPr>
            <w:r>
              <w:rPr>
                <w:rFonts w:ascii="Times New Roman" w:hAnsi="Times New Roman" w:eastAsia="Times New Roman" w:cs="Times New Roman"/>
                <w:b/>
              </w:rPr>
              <w:t>Publicação e Apresentação de Trabalhos</w:t>
            </w:r>
          </w:p>
        </w:tc>
        <w:tc>
          <w:tcPr>
            <w:tcW w:w="6480" w:type="dxa"/>
            <w:tcBorders>
              <w:top w:val="single" w:color="000000" w:sz="4" w:space="0"/>
              <w:left w:val="single" w:color="000000" w:sz="4" w:space="0"/>
              <w:bottom w:val="single" w:color="000000" w:sz="4" w:space="0"/>
            </w:tcBorders>
            <w:vAlign w:val="center"/>
          </w:tcPr>
          <w:p>
            <w:pPr>
              <w:ind w:left="0" w:hanging="2"/>
              <w:jc w:val="center"/>
              <w:rPr>
                <w:rFonts w:ascii="Times New Roman" w:hAnsi="Times New Roman" w:cs="Times New Roman"/>
              </w:rPr>
            </w:pPr>
            <w:r>
              <w:rPr>
                <w:rFonts w:ascii="Times New Roman" w:hAnsi="Times New Roman" w:eastAsia="Times New Roman" w:cs="Times New Roman"/>
              </w:rPr>
              <w:t>Apresentação de trabalhos em eventos científicos</w:t>
            </w:r>
          </w:p>
        </w:tc>
        <w:tc>
          <w:tcPr>
            <w:tcW w:w="1980" w:type="dxa"/>
            <w:tcBorders>
              <w:top w:val="single" w:color="000000" w:sz="4" w:space="0"/>
              <w:left w:val="single" w:color="000000" w:sz="4" w:space="0"/>
              <w:bottom w:val="single" w:color="000000" w:sz="4" w:space="0"/>
            </w:tcBorders>
            <w:vAlign w:val="center"/>
          </w:tcPr>
          <w:p>
            <w:pPr>
              <w:ind w:left="0" w:hanging="2"/>
              <w:jc w:val="center"/>
              <w:rPr>
                <w:rFonts w:ascii="Times New Roman" w:hAnsi="Times New Roman" w:cs="Times New Roman"/>
              </w:rPr>
            </w:pPr>
            <w:r>
              <w:rPr>
                <w:rFonts w:ascii="Times New Roman" w:hAnsi="Times New Roman" w:eastAsia="Times New Roman" w:cs="Times New Roman"/>
              </w:rPr>
              <w:t>O dobro das horas indicadas ou 4 horas por trabalho</w:t>
            </w:r>
          </w:p>
        </w:tc>
        <w:tc>
          <w:tcPr>
            <w:tcW w:w="1621" w:type="dxa"/>
            <w:vMerge w:val="continue"/>
            <w:tcBorders>
              <w:top w:val="single" w:color="000000" w:sz="4" w:space="0"/>
              <w:left w:val="single" w:color="000000" w:sz="4" w:space="0"/>
              <w:bottom w:val="single" w:color="000000" w:sz="4" w:space="0"/>
            </w:tcBorders>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cs="Times New Roman"/>
              </w:rPr>
            </w:pPr>
          </w:p>
        </w:tc>
        <w:tc>
          <w:tcPr>
            <w:tcW w:w="2360" w:type="dxa"/>
            <w:vMerge w:val="restart"/>
            <w:tcBorders>
              <w:top w:val="single" w:color="000000" w:sz="4" w:space="0"/>
              <w:left w:val="single" w:color="000000" w:sz="4" w:space="0"/>
              <w:bottom w:val="single" w:color="000000" w:sz="4" w:space="0"/>
              <w:right w:val="single" w:color="000000" w:sz="4" w:space="0"/>
            </w:tcBorders>
            <w:vAlign w:val="center"/>
          </w:tcPr>
          <w:p>
            <w:pPr>
              <w:ind w:left="0" w:hanging="2"/>
              <w:jc w:val="center"/>
              <w:rPr>
                <w:rFonts w:ascii="Times New Roman" w:hAnsi="Times New Roman" w:cs="Times New Roman"/>
              </w:rPr>
            </w:pPr>
            <w:r>
              <w:rPr>
                <w:rFonts w:ascii="Times New Roman" w:hAnsi="Times New Roman" w:eastAsia="Times New Roman" w:cs="Times New Roman"/>
              </w:rPr>
              <w:t>Declaração/Certificado ou Xerox da publicação com ISBN ou ISSN</w:t>
            </w:r>
          </w:p>
        </w:tc>
      </w:tr>
      <w:tr>
        <w:tblPrEx>
          <w:tblCellMar>
            <w:top w:w="0" w:type="dxa"/>
            <w:left w:w="108" w:type="dxa"/>
            <w:bottom w:w="0" w:type="dxa"/>
            <w:right w:w="108" w:type="dxa"/>
          </w:tblCellMar>
        </w:tblPrEx>
        <w:trPr>
          <w:cantSplit/>
        </w:trPr>
        <w:tc>
          <w:tcPr>
            <w:tcW w:w="2627" w:type="dxa"/>
            <w:vMerge w:val="continue"/>
            <w:tcBorders>
              <w:top w:val="single" w:color="000000" w:sz="4" w:space="0"/>
              <w:left w:val="single" w:color="000000" w:sz="4" w:space="0"/>
              <w:bottom w:val="single" w:color="000000" w:sz="4" w:space="0"/>
            </w:tcBorders>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cs="Times New Roman"/>
              </w:rPr>
            </w:pPr>
          </w:p>
        </w:tc>
        <w:tc>
          <w:tcPr>
            <w:tcW w:w="6480" w:type="dxa"/>
            <w:tcBorders>
              <w:top w:val="single" w:color="000000" w:sz="4" w:space="0"/>
              <w:left w:val="single" w:color="000000" w:sz="4" w:space="0"/>
              <w:bottom w:val="single" w:color="000000" w:sz="4" w:space="0"/>
            </w:tcBorders>
            <w:vAlign w:val="center"/>
          </w:tcPr>
          <w:p>
            <w:pPr>
              <w:ind w:left="0" w:hanging="2"/>
              <w:jc w:val="center"/>
              <w:rPr>
                <w:rFonts w:ascii="Times New Roman" w:hAnsi="Times New Roman" w:cs="Times New Roman"/>
              </w:rPr>
            </w:pPr>
            <w:r>
              <w:rPr>
                <w:rFonts w:ascii="Times New Roman" w:hAnsi="Times New Roman" w:eastAsia="Times New Roman" w:cs="Times New Roman"/>
              </w:rPr>
              <w:t>Publicação de trabalho completo (livro, capítulo de livros, artigos etc.)</w:t>
            </w:r>
          </w:p>
        </w:tc>
        <w:tc>
          <w:tcPr>
            <w:tcW w:w="1980" w:type="dxa"/>
            <w:tcBorders>
              <w:top w:val="single" w:color="000000" w:sz="4" w:space="0"/>
              <w:left w:val="single" w:color="000000" w:sz="4" w:space="0"/>
              <w:bottom w:val="single" w:color="000000" w:sz="4" w:space="0"/>
            </w:tcBorders>
            <w:vAlign w:val="center"/>
          </w:tcPr>
          <w:p>
            <w:pPr>
              <w:ind w:left="0" w:hanging="2"/>
              <w:jc w:val="center"/>
              <w:rPr>
                <w:rFonts w:ascii="Times New Roman" w:hAnsi="Times New Roman" w:cs="Times New Roman"/>
              </w:rPr>
            </w:pPr>
            <w:r>
              <w:rPr>
                <w:rFonts w:ascii="Times New Roman" w:hAnsi="Times New Roman" w:eastAsia="Times New Roman" w:cs="Times New Roman"/>
              </w:rPr>
              <w:t>50 horas</w:t>
            </w:r>
          </w:p>
        </w:tc>
        <w:tc>
          <w:tcPr>
            <w:tcW w:w="1621" w:type="dxa"/>
            <w:vMerge w:val="continue"/>
            <w:tcBorders>
              <w:top w:val="single" w:color="000000" w:sz="4" w:space="0"/>
              <w:left w:val="single" w:color="000000" w:sz="4" w:space="0"/>
              <w:bottom w:val="single" w:color="000000" w:sz="4" w:space="0"/>
            </w:tcBorders>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cs="Times New Roman"/>
              </w:rPr>
            </w:pPr>
          </w:p>
        </w:tc>
        <w:tc>
          <w:tcPr>
            <w:tcW w:w="2360" w:type="dxa"/>
            <w:vMerge w:val="continue"/>
            <w:tcBorders>
              <w:top w:val="single" w:color="000000" w:sz="4" w:space="0"/>
              <w:left w:val="single" w:color="000000" w:sz="4" w:space="0"/>
              <w:bottom w:val="single" w:color="000000" w:sz="4" w:space="0"/>
              <w:right w:val="single" w:color="000000" w:sz="4" w:space="0"/>
            </w:tcBorders>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cs="Times New Roman"/>
              </w:rPr>
            </w:pPr>
          </w:p>
        </w:tc>
      </w:tr>
      <w:tr>
        <w:tblPrEx>
          <w:tblCellMar>
            <w:top w:w="0" w:type="dxa"/>
            <w:left w:w="108" w:type="dxa"/>
            <w:bottom w:w="0" w:type="dxa"/>
            <w:right w:w="108" w:type="dxa"/>
          </w:tblCellMar>
        </w:tblPrEx>
        <w:trPr>
          <w:cantSplit/>
        </w:trPr>
        <w:tc>
          <w:tcPr>
            <w:tcW w:w="2627" w:type="dxa"/>
            <w:vMerge w:val="continue"/>
            <w:tcBorders>
              <w:top w:val="single" w:color="000000" w:sz="4" w:space="0"/>
              <w:left w:val="single" w:color="000000" w:sz="4" w:space="0"/>
              <w:bottom w:val="single" w:color="000000" w:sz="4" w:space="0"/>
            </w:tcBorders>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cs="Times New Roman"/>
              </w:rPr>
            </w:pPr>
          </w:p>
        </w:tc>
        <w:tc>
          <w:tcPr>
            <w:tcW w:w="6480" w:type="dxa"/>
            <w:tcBorders>
              <w:top w:val="single" w:color="000000" w:sz="4" w:space="0"/>
              <w:left w:val="single" w:color="000000" w:sz="4" w:space="0"/>
              <w:bottom w:val="single" w:color="000000" w:sz="4" w:space="0"/>
            </w:tcBorders>
            <w:vAlign w:val="center"/>
          </w:tcPr>
          <w:p>
            <w:pPr>
              <w:ind w:left="0" w:hanging="2"/>
              <w:jc w:val="center"/>
              <w:rPr>
                <w:rFonts w:ascii="Times New Roman" w:hAnsi="Times New Roman" w:cs="Times New Roman"/>
              </w:rPr>
            </w:pPr>
            <w:r>
              <w:rPr>
                <w:rFonts w:ascii="Times New Roman" w:hAnsi="Times New Roman" w:eastAsia="Times New Roman" w:cs="Times New Roman"/>
              </w:rPr>
              <w:t>Publicação de resumos em Anais de eventos científicos.</w:t>
            </w:r>
          </w:p>
        </w:tc>
        <w:tc>
          <w:tcPr>
            <w:tcW w:w="1980" w:type="dxa"/>
            <w:tcBorders>
              <w:top w:val="single" w:color="000000" w:sz="4" w:space="0"/>
              <w:left w:val="single" w:color="000000" w:sz="4" w:space="0"/>
              <w:bottom w:val="single" w:color="000000" w:sz="4" w:space="0"/>
            </w:tcBorders>
            <w:vAlign w:val="center"/>
          </w:tcPr>
          <w:p>
            <w:pPr>
              <w:ind w:left="0" w:hanging="2"/>
              <w:jc w:val="center"/>
              <w:rPr>
                <w:rFonts w:ascii="Times New Roman" w:hAnsi="Times New Roman" w:cs="Times New Roman"/>
              </w:rPr>
            </w:pPr>
            <w:r>
              <w:rPr>
                <w:rFonts w:ascii="Times New Roman" w:hAnsi="Times New Roman" w:eastAsia="Times New Roman" w:cs="Times New Roman"/>
              </w:rPr>
              <w:t>10 horas</w:t>
            </w:r>
          </w:p>
        </w:tc>
        <w:tc>
          <w:tcPr>
            <w:tcW w:w="1621" w:type="dxa"/>
            <w:vMerge w:val="continue"/>
            <w:tcBorders>
              <w:top w:val="single" w:color="000000" w:sz="4" w:space="0"/>
              <w:left w:val="single" w:color="000000" w:sz="4" w:space="0"/>
              <w:bottom w:val="single" w:color="000000" w:sz="4" w:space="0"/>
            </w:tcBorders>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cs="Times New Roman"/>
              </w:rPr>
            </w:pPr>
          </w:p>
        </w:tc>
        <w:tc>
          <w:tcPr>
            <w:tcW w:w="2360" w:type="dxa"/>
            <w:vMerge w:val="continue"/>
            <w:tcBorders>
              <w:top w:val="single" w:color="000000" w:sz="4" w:space="0"/>
              <w:left w:val="single" w:color="000000" w:sz="4" w:space="0"/>
              <w:bottom w:val="single" w:color="000000" w:sz="4" w:space="0"/>
              <w:right w:val="single" w:color="000000" w:sz="4" w:space="0"/>
            </w:tcBorders>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cs="Times New Roman"/>
              </w:rPr>
            </w:pPr>
          </w:p>
        </w:tc>
      </w:tr>
      <w:tr>
        <w:tblPrEx>
          <w:tblCellMar>
            <w:top w:w="0" w:type="dxa"/>
            <w:left w:w="108" w:type="dxa"/>
            <w:bottom w:w="0" w:type="dxa"/>
            <w:right w:w="108" w:type="dxa"/>
          </w:tblCellMar>
        </w:tblPrEx>
        <w:trPr>
          <w:cantSplit/>
        </w:trPr>
        <w:tc>
          <w:tcPr>
            <w:tcW w:w="2627" w:type="dxa"/>
            <w:tcBorders>
              <w:top w:val="single" w:color="000000" w:sz="4" w:space="0"/>
              <w:left w:val="single" w:color="000000" w:sz="4" w:space="0"/>
              <w:bottom w:val="single" w:color="000000" w:sz="4" w:space="0"/>
            </w:tcBorders>
            <w:vAlign w:val="center"/>
          </w:tcPr>
          <w:p>
            <w:pPr>
              <w:ind w:left="0" w:hanging="2"/>
              <w:jc w:val="center"/>
              <w:rPr>
                <w:rFonts w:ascii="Times New Roman" w:hAnsi="Times New Roman" w:cs="Times New Roman"/>
              </w:rPr>
            </w:pPr>
            <w:r>
              <w:rPr>
                <w:rFonts w:ascii="Times New Roman" w:hAnsi="Times New Roman" w:eastAsia="Times New Roman" w:cs="Times New Roman"/>
                <w:b/>
              </w:rPr>
              <w:t>Participação em Órgãos Colegiados da Universidade ou em Representações Estudantis</w:t>
            </w:r>
          </w:p>
        </w:tc>
        <w:tc>
          <w:tcPr>
            <w:tcW w:w="6480" w:type="dxa"/>
            <w:tcBorders>
              <w:top w:val="single" w:color="000000" w:sz="4" w:space="0"/>
              <w:left w:val="single" w:color="000000" w:sz="4" w:space="0"/>
              <w:bottom w:val="single" w:color="000000" w:sz="4" w:space="0"/>
            </w:tcBorders>
            <w:vAlign w:val="center"/>
          </w:tcPr>
          <w:p>
            <w:pPr>
              <w:ind w:left="0" w:hanging="2"/>
              <w:jc w:val="center"/>
              <w:rPr>
                <w:rFonts w:ascii="Times New Roman" w:hAnsi="Times New Roman" w:cs="Times New Roman"/>
              </w:rPr>
            </w:pPr>
            <w:r>
              <w:rPr>
                <w:rFonts w:ascii="Times New Roman" w:hAnsi="Times New Roman" w:eastAsia="Times New Roman" w:cs="Times New Roman"/>
              </w:rPr>
              <w:t>DCE, Centro Acadêmico, Departamentos, Colegiados de Curso, CUNI etc.</w:t>
            </w:r>
          </w:p>
        </w:tc>
        <w:tc>
          <w:tcPr>
            <w:tcW w:w="1980" w:type="dxa"/>
            <w:tcBorders>
              <w:top w:val="single" w:color="000000" w:sz="4" w:space="0"/>
              <w:left w:val="single" w:color="000000" w:sz="4" w:space="0"/>
              <w:bottom w:val="single" w:color="000000" w:sz="4" w:space="0"/>
            </w:tcBorders>
            <w:vAlign w:val="center"/>
          </w:tcPr>
          <w:p>
            <w:pPr>
              <w:ind w:left="0" w:hanging="2"/>
              <w:jc w:val="center"/>
              <w:rPr>
                <w:rFonts w:ascii="Times New Roman" w:hAnsi="Times New Roman" w:cs="Times New Roman"/>
              </w:rPr>
            </w:pPr>
            <w:r>
              <w:rPr>
                <w:rFonts w:ascii="Times New Roman" w:hAnsi="Times New Roman" w:eastAsia="Times New Roman" w:cs="Times New Roman"/>
              </w:rPr>
              <w:t>10 horas por mês</w:t>
            </w:r>
          </w:p>
        </w:tc>
        <w:tc>
          <w:tcPr>
            <w:tcW w:w="1621" w:type="dxa"/>
            <w:vMerge w:val="continue"/>
            <w:tcBorders>
              <w:top w:val="single" w:color="000000" w:sz="4" w:space="0"/>
              <w:left w:val="single" w:color="000000" w:sz="4" w:space="0"/>
              <w:bottom w:val="single" w:color="000000" w:sz="4" w:space="0"/>
            </w:tcBorders>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cs="Times New Roman"/>
              </w:rPr>
            </w:pPr>
          </w:p>
        </w:tc>
        <w:tc>
          <w:tcPr>
            <w:tcW w:w="2360" w:type="dxa"/>
            <w:tcBorders>
              <w:top w:val="single" w:color="000000" w:sz="4" w:space="0"/>
              <w:left w:val="single" w:color="000000" w:sz="4" w:space="0"/>
              <w:bottom w:val="single" w:color="000000" w:sz="4" w:space="0"/>
              <w:right w:val="single" w:color="000000" w:sz="4" w:space="0"/>
            </w:tcBorders>
            <w:vAlign w:val="center"/>
          </w:tcPr>
          <w:p>
            <w:pPr>
              <w:ind w:left="0" w:hanging="2"/>
              <w:jc w:val="center"/>
              <w:rPr>
                <w:rFonts w:ascii="Times New Roman" w:hAnsi="Times New Roman" w:cs="Times New Roman"/>
              </w:rPr>
            </w:pPr>
            <w:r>
              <w:rPr>
                <w:rFonts w:ascii="Times New Roman" w:hAnsi="Times New Roman" w:eastAsia="Times New Roman" w:cs="Times New Roman"/>
              </w:rPr>
              <w:t>Declaração/Certificado</w:t>
            </w:r>
          </w:p>
        </w:tc>
      </w:tr>
      <w:tr>
        <w:tblPrEx>
          <w:tblCellMar>
            <w:top w:w="0" w:type="dxa"/>
            <w:left w:w="108" w:type="dxa"/>
            <w:bottom w:w="0" w:type="dxa"/>
            <w:right w:w="108" w:type="dxa"/>
          </w:tblCellMar>
        </w:tblPrEx>
        <w:trPr>
          <w:cantSplit/>
        </w:trPr>
        <w:tc>
          <w:tcPr>
            <w:tcW w:w="2627" w:type="dxa"/>
            <w:tcBorders>
              <w:top w:val="single" w:color="000000" w:sz="4" w:space="0"/>
              <w:left w:val="single" w:color="000000" w:sz="4" w:space="0"/>
              <w:bottom w:val="single" w:color="000000" w:sz="4" w:space="0"/>
            </w:tcBorders>
            <w:vAlign w:val="center"/>
          </w:tcPr>
          <w:p>
            <w:pPr>
              <w:ind w:left="0" w:hanging="2"/>
              <w:jc w:val="center"/>
              <w:rPr>
                <w:rFonts w:ascii="Times New Roman" w:hAnsi="Times New Roman" w:cs="Times New Roman"/>
              </w:rPr>
            </w:pPr>
            <w:r>
              <w:rPr>
                <w:rFonts w:ascii="Times New Roman" w:hAnsi="Times New Roman" w:eastAsia="Times New Roman" w:cs="Times New Roman"/>
                <w:b/>
              </w:rPr>
              <w:t>Atividades profissionais como estagiário ou de complementação profissional</w:t>
            </w:r>
          </w:p>
        </w:tc>
        <w:tc>
          <w:tcPr>
            <w:tcW w:w="6480" w:type="dxa"/>
            <w:tcBorders>
              <w:top w:val="single" w:color="000000" w:sz="4" w:space="0"/>
              <w:left w:val="single" w:color="000000" w:sz="4" w:space="0"/>
              <w:bottom w:val="single" w:color="000000" w:sz="4" w:space="0"/>
            </w:tcBorders>
            <w:vAlign w:val="center"/>
          </w:tcPr>
          <w:p>
            <w:pPr>
              <w:ind w:left="0" w:hanging="2"/>
              <w:jc w:val="center"/>
              <w:rPr>
                <w:rFonts w:ascii="Times New Roman" w:hAnsi="Times New Roman" w:cs="Times New Roman"/>
              </w:rPr>
            </w:pPr>
            <w:r>
              <w:rPr>
                <w:rFonts w:ascii="Times New Roman" w:hAnsi="Times New Roman" w:eastAsia="Times New Roman" w:cs="Times New Roman"/>
              </w:rPr>
              <w:t>Participação em museus, arquivos e editoração de revistas</w:t>
            </w:r>
          </w:p>
        </w:tc>
        <w:tc>
          <w:tcPr>
            <w:tcW w:w="1980" w:type="dxa"/>
            <w:tcBorders>
              <w:top w:val="single" w:color="000000" w:sz="4" w:space="0"/>
              <w:left w:val="single" w:color="000000" w:sz="4" w:space="0"/>
              <w:bottom w:val="single" w:color="000000" w:sz="4" w:space="0"/>
            </w:tcBorders>
            <w:vAlign w:val="center"/>
          </w:tcPr>
          <w:p>
            <w:pPr>
              <w:ind w:left="0" w:hanging="2"/>
              <w:jc w:val="center"/>
              <w:rPr>
                <w:rFonts w:ascii="Times New Roman" w:hAnsi="Times New Roman" w:cs="Times New Roman"/>
              </w:rPr>
            </w:pPr>
            <w:r>
              <w:rPr>
                <w:rFonts w:ascii="Times New Roman" w:hAnsi="Times New Roman" w:eastAsia="Times New Roman" w:cs="Times New Roman"/>
              </w:rPr>
              <w:t>15 horas por mês</w:t>
            </w:r>
          </w:p>
        </w:tc>
        <w:tc>
          <w:tcPr>
            <w:tcW w:w="1621" w:type="dxa"/>
            <w:vMerge w:val="continue"/>
            <w:tcBorders>
              <w:top w:val="single" w:color="000000" w:sz="4" w:space="0"/>
              <w:left w:val="single" w:color="000000" w:sz="4" w:space="0"/>
              <w:bottom w:val="single" w:color="000000" w:sz="4" w:space="0"/>
            </w:tcBorders>
            <w:vAlign w:val="center"/>
          </w:tcPr>
          <w:p>
            <w:pPr>
              <w:widowControl w:val="0"/>
              <w:pBdr>
                <w:top w:val="none" w:color="auto" w:sz="0" w:space="0"/>
                <w:left w:val="none" w:color="auto" w:sz="0" w:space="0"/>
                <w:bottom w:val="none" w:color="auto" w:sz="0" w:space="0"/>
                <w:right w:val="none" w:color="auto" w:sz="0" w:space="0"/>
                <w:between w:val="none" w:color="auto" w:sz="0" w:space="0"/>
              </w:pBdr>
              <w:spacing w:line="276" w:lineRule="auto"/>
              <w:ind w:left="0" w:hanging="2"/>
              <w:rPr>
                <w:rFonts w:ascii="Times New Roman" w:hAnsi="Times New Roman" w:cs="Times New Roman"/>
              </w:rPr>
            </w:pPr>
          </w:p>
        </w:tc>
        <w:tc>
          <w:tcPr>
            <w:tcW w:w="2360" w:type="dxa"/>
            <w:tcBorders>
              <w:top w:val="single" w:color="000000" w:sz="4" w:space="0"/>
              <w:left w:val="single" w:color="000000" w:sz="4" w:space="0"/>
              <w:bottom w:val="single" w:color="000000" w:sz="4" w:space="0"/>
              <w:right w:val="single" w:color="000000" w:sz="4" w:space="0"/>
            </w:tcBorders>
            <w:vAlign w:val="center"/>
          </w:tcPr>
          <w:p>
            <w:pPr>
              <w:ind w:left="0" w:hanging="2"/>
              <w:jc w:val="center"/>
              <w:rPr>
                <w:rFonts w:ascii="Times New Roman" w:hAnsi="Times New Roman" w:cs="Times New Roman"/>
              </w:rPr>
            </w:pPr>
            <w:r>
              <w:rPr>
                <w:rFonts w:ascii="Times New Roman" w:hAnsi="Times New Roman" w:eastAsia="Times New Roman" w:cs="Times New Roman"/>
              </w:rPr>
              <w:t>Declaração/Certificado</w:t>
            </w:r>
          </w:p>
        </w:tc>
      </w:tr>
    </w:tbl>
    <w:p>
      <w:pPr>
        <w:ind w:left="0" w:hanging="2"/>
        <w:rPr>
          <w:rFonts w:ascii="Times New Roman" w:hAnsi="Times New Roman" w:cs="Times New Roman"/>
        </w:rPr>
        <w:sectPr>
          <w:headerReference r:id="rId40" w:type="first"/>
          <w:footerReference r:id="rId43" w:type="first"/>
          <w:headerReference r:id="rId38" w:type="default"/>
          <w:footerReference r:id="rId41" w:type="default"/>
          <w:headerReference r:id="rId39" w:type="even"/>
          <w:footerReference r:id="rId42" w:type="even"/>
          <w:pgSz w:w="16838" w:h="11906" w:orient="landscape"/>
          <w:pgMar w:top="851" w:right="1134" w:bottom="851" w:left="1134" w:header="709" w:footer="709" w:gutter="0"/>
          <w:cols w:space="720" w:num="1"/>
        </w:sectPr>
      </w:pPr>
    </w:p>
    <w:p>
      <w:pPr>
        <w:ind w:left="0" w:hanging="2"/>
        <w:rPr>
          <w:rFonts w:ascii="Times New Roman" w:hAnsi="Times New Roman" w:cs="Times New Roman"/>
        </w:rPr>
      </w:pPr>
      <w:r>
        <w:rPr>
          <w:rFonts w:ascii="Times New Roman" w:hAnsi="Times New Roman" w:eastAsia="Times New Roman" w:cs="Times New Roman"/>
          <w:b/>
        </w:rPr>
        <w:t>Anexo 05:</w:t>
      </w:r>
    </w:p>
    <w:p>
      <w:pPr>
        <w:ind w:left="0" w:hanging="2"/>
        <w:jc w:val="center"/>
        <w:rPr>
          <w:rFonts w:ascii="Times New Roman" w:hAnsi="Times New Roman" w:cs="Times New Roman"/>
        </w:rPr>
      </w:pPr>
      <w:r>
        <w:rPr>
          <w:rFonts w:ascii="Times New Roman" w:hAnsi="Times New Roman" w:eastAsia="Times New Roman" w:cs="Times New Roman"/>
          <w:b/>
        </w:rPr>
        <w:t>RESOLUÇÃO COHIS Nº 03/2019</w:t>
      </w:r>
    </w:p>
    <w:p>
      <w:pPr>
        <w:ind w:left="0" w:hanging="2"/>
        <w:jc w:val="center"/>
        <w:rPr>
          <w:rFonts w:ascii="Times New Roman" w:hAnsi="Times New Roman" w:cs="Times New Roman"/>
        </w:rPr>
      </w:pPr>
      <w:r>
        <w:rPr>
          <w:rFonts w:ascii="Times New Roman" w:hAnsi="Times New Roman" w:eastAsia="Times New Roman" w:cs="Times New Roman"/>
          <w:b/>
        </w:rPr>
        <w:t>ESTÁGIO SUPERVISIONADO DE HISTÓRIA</w:t>
      </w:r>
    </w:p>
    <w:p>
      <w:pPr>
        <w:ind w:left="0" w:hanging="2"/>
        <w:jc w:val="center"/>
        <w:rPr>
          <w:rFonts w:ascii="Times New Roman" w:hAnsi="Times New Roman" w:eastAsia="Times New Roman" w:cs="Times New Roman"/>
        </w:rPr>
      </w:pPr>
    </w:p>
    <w:p>
      <w:pPr>
        <w:ind w:left="0" w:hanging="2"/>
        <w:jc w:val="center"/>
        <w:rPr>
          <w:rFonts w:ascii="Times New Roman" w:hAnsi="Times New Roman" w:eastAsia="Times New Roman" w:cs="Times New Roman"/>
        </w:rPr>
      </w:pPr>
    </w:p>
    <w:p>
      <w:pPr>
        <w:ind w:left="0" w:hanging="2"/>
        <w:jc w:val="both"/>
        <w:rPr>
          <w:rFonts w:ascii="Times New Roman" w:hAnsi="Times New Roman" w:eastAsia="Times New Roman" w:cs="Times New Roman"/>
        </w:rPr>
      </w:pPr>
    </w:p>
    <w:p>
      <w:pPr>
        <w:numPr>
          <w:ilvl w:val="0"/>
          <w:numId w:val="130"/>
        </w:numPr>
        <w:tabs>
          <w:tab w:val="left" w:pos="0"/>
        </w:tabs>
        <w:ind w:hanging="2"/>
        <w:jc w:val="both"/>
        <w:rPr>
          <w:rFonts w:ascii="Times New Roman" w:hAnsi="Times New Roman" w:cs="Times New Roman"/>
        </w:rPr>
      </w:pPr>
      <w:r>
        <w:rPr>
          <w:rFonts w:ascii="Times New Roman" w:hAnsi="Times New Roman" w:eastAsia="Times New Roman" w:cs="Times New Roman"/>
          <w:b/>
        </w:rPr>
        <w:t>Descrição e carga horária:</w:t>
      </w:r>
    </w:p>
    <w:p>
      <w:pPr>
        <w:ind w:left="0" w:hanging="2"/>
        <w:jc w:val="both"/>
        <w:rPr>
          <w:rFonts w:ascii="Times New Roman" w:hAnsi="Times New Roman" w:eastAsia="Times New Roman" w:cs="Times New Roman"/>
        </w:rPr>
      </w:pPr>
    </w:p>
    <w:p>
      <w:pPr>
        <w:ind w:left="0" w:hanging="2"/>
        <w:jc w:val="both"/>
        <w:rPr>
          <w:rFonts w:ascii="Times New Roman" w:hAnsi="Times New Roman" w:cs="Times New Roman"/>
        </w:rPr>
      </w:pPr>
      <w:r>
        <w:rPr>
          <w:rFonts w:ascii="Times New Roman" w:hAnsi="Times New Roman" w:eastAsia="Times New Roman" w:cs="Times New Roman"/>
        </w:rPr>
        <w:t xml:space="preserve">1.1- O Estágio Supervisionado de História é uma modalidade pedagógica integrante do Curso de Licenciatura em História, de caráter obrigatório, totalizando 420 horas/aula (Art. 13-§1º, Resolução CNE/CP 2, de 01 de julho de 2015), a serem cumpridas pelos discentes regularmente matriculados, a partir do quarto período. </w:t>
      </w:r>
    </w:p>
    <w:p>
      <w:pPr>
        <w:ind w:left="0" w:hanging="2"/>
        <w:jc w:val="both"/>
        <w:rPr>
          <w:rFonts w:ascii="Times New Roman" w:hAnsi="Times New Roman" w:eastAsia="Times New Roman" w:cs="Times New Roman"/>
        </w:rPr>
      </w:pPr>
    </w:p>
    <w:p>
      <w:pPr>
        <w:ind w:left="0" w:hanging="2"/>
        <w:jc w:val="both"/>
        <w:rPr>
          <w:rFonts w:ascii="Times New Roman" w:hAnsi="Times New Roman" w:cs="Times New Roman"/>
        </w:rPr>
      </w:pPr>
      <w:r>
        <w:rPr>
          <w:rFonts w:ascii="Times New Roman" w:hAnsi="Times New Roman" w:eastAsia="Times New Roman" w:cs="Times New Roman"/>
          <w:b/>
        </w:rPr>
        <w:t>2- Distribuição por disciplinas:</w:t>
      </w:r>
    </w:p>
    <w:p>
      <w:pPr>
        <w:ind w:left="0" w:hanging="2"/>
        <w:jc w:val="both"/>
        <w:rPr>
          <w:rFonts w:ascii="Times New Roman" w:hAnsi="Times New Roman" w:cs="Times New Roman"/>
        </w:rPr>
      </w:pPr>
      <w:r>
        <w:rPr>
          <w:rFonts w:ascii="Times New Roman" w:hAnsi="Times New Roman" w:eastAsia="Times New Roman" w:cs="Times New Roman"/>
        </w:rPr>
        <w:t>2.1- O Estágio Supervisionado de História encontra-se subdividido em quatro disciplinas, intituladas: Estágio Supervisionado em Ensino de História I (HIS 596), Estágio Supervisionado em Ensino de História II (HIS 597), Estágio Supervisionado em Ensino de História III (HIS 598) e Estágio Supervisionado em Ensino de História IV (HIS 599), cada uma delas totalizando 105 (cento e cinco) horas/aula e 7 (quatro) créditos.</w:t>
      </w:r>
    </w:p>
    <w:p>
      <w:pPr>
        <w:ind w:left="0" w:hanging="2"/>
        <w:jc w:val="both"/>
        <w:rPr>
          <w:rFonts w:ascii="Times New Roman" w:hAnsi="Times New Roman" w:cs="Times New Roman"/>
        </w:rPr>
      </w:pPr>
      <w:r>
        <w:rPr>
          <w:rFonts w:ascii="Times New Roman" w:hAnsi="Times New Roman" w:eastAsia="Times New Roman" w:cs="Times New Roman"/>
        </w:rPr>
        <w:t>2.2- A carga horária de cada disciplina de Estágio Supervisionado de História distribui-se por até 30 (trinta) horas/aula teóricas (ministradas no ICHS) e ao menos 75 (setenta e cinco) horas/aula práticas nos campos de estágio e atividades a elas associadas.</w:t>
      </w:r>
    </w:p>
    <w:p>
      <w:pPr>
        <w:ind w:left="0" w:hanging="2"/>
        <w:jc w:val="both"/>
        <w:rPr>
          <w:rFonts w:ascii="Times New Roman" w:hAnsi="Times New Roman" w:cs="Times New Roman"/>
        </w:rPr>
      </w:pPr>
      <w:r>
        <w:rPr>
          <w:rFonts w:ascii="Times New Roman" w:hAnsi="Times New Roman" w:eastAsia="Times New Roman" w:cs="Times New Roman"/>
        </w:rPr>
        <w:t xml:space="preserve">2.3- As disciplinas de Estágio Supervisionado de História devem ser cursadas pelo licenciando de forma seqüencial. Desta maneira a disciplina anterior torna-se pré-requisito para a subseqüente. </w:t>
      </w:r>
    </w:p>
    <w:p>
      <w:pPr>
        <w:ind w:left="0" w:hanging="2"/>
        <w:jc w:val="both"/>
        <w:rPr>
          <w:rFonts w:ascii="Times New Roman" w:hAnsi="Times New Roman" w:cs="Times New Roman"/>
        </w:rPr>
      </w:pPr>
      <w:r>
        <w:rPr>
          <w:rFonts w:ascii="Times New Roman" w:hAnsi="Times New Roman" w:eastAsia="Times New Roman" w:cs="Times New Roman"/>
        </w:rPr>
        <w:t xml:space="preserve"> </w:t>
      </w:r>
    </w:p>
    <w:p>
      <w:pPr>
        <w:ind w:left="0" w:hanging="2"/>
        <w:jc w:val="both"/>
        <w:rPr>
          <w:rFonts w:ascii="Times New Roman" w:hAnsi="Times New Roman" w:cs="Times New Roman"/>
        </w:rPr>
      </w:pPr>
      <w:r>
        <w:rPr>
          <w:rFonts w:ascii="Times New Roman" w:hAnsi="Times New Roman" w:eastAsia="Times New Roman" w:cs="Times New Roman"/>
          <w:b/>
        </w:rPr>
        <w:t>3- Locais de realização do estágio:</w:t>
      </w:r>
    </w:p>
    <w:p>
      <w:pPr>
        <w:ind w:left="0" w:hanging="2"/>
        <w:jc w:val="both"/>
        <w:rPr>
          <w:rFonts w:ascii="Times New Roman" w:hAnsi="Times New Roman" w:cs="Times New Roman"/>
        </w:rPr>
      </w:pPr>
      <w:r>
        <w:rPr>
          <w:rFonts w:ascii="Times New Roman" w:hAnsi="Times New Roman" w:eastAsia="Times New Roman" w:cs="Times New Roman"/>
        </w:rPr>
        <w:t>3.1- O Estágio Supervisionado de História será realizado em parceria com instituições de ensino básico e de cultura histórica (museus, arquivos, etc), sendo facultada sua operacionalidade em distintas configurações pedagógicas (observação e regência, por projetos, por tutoria etc.) e regimes educativos (regular e EJA, fundamental e médio etc.).</w:t>
      </w:r>
    </w:p>
    <w:p>
      <w:pPr>
        <w:ind w:left="0" w:hanging="2"/>
        <w:jc w:val="both"/>
        <w:rPr>
          <w:rFonts w:ascii="Times New Roman" w:hAnsi="Times New Roman" w:eastAsia="Times New Roman" w:cs="Times New Roman"/>
        </w:rPr>
      </w:pPr>
    </w:p>
    <w:p>
      <w:pPr>
        <w:ind w:left="0" w:hanging="2"/>
        <w:jc w:val="both"/>
        <w:rPr>
          <w:rFonts w:ascii="Times New Roman" w:hAnsi="Times New Roman" w:cs="Times New Roman"/>
        </w:rPr>
      </w:pPr>
      <w:r>
        <w:rPr>
          <w:rFonts w:ascii="Times New Roman" w:hAnsi="Times New Roman" w:eastAsia="Times New Roman" w:cs="Times New Roman"/>
          <w:b/>
        </w:rPr>
        <w:t>4- Redução da carga horária:</w:t>
      </w:r>
    </w:p>
    <w:p>
      <w:pPr>
        <w:ind w:left="0" w:hanging="2"/>
        <w:jc w:val="both"/>
        <w:rPr>
          <w:rFonts w:ascii="Times New Roman" w:hAnsi="Times New Roman" w:cs="Times New Roman"/>
        </w:rPr>
      </w:pPr>
      <w:r>
        <w:rPr>
          <w:rFonts w:ascii="Times New Roman" w:hAnsi="Times New Roman" w:eastAsia="Times New Roman" w:cs="Times New Roman"/>
        </w:rPr>
        <w:t xml:space="preserve">4.1- Os alunos que exerçam atividade docente regular na educação básica poderão ter redução da carga horária do estágio supervisionado até o máximo de 100 (duzentas) horas (Art. 15, §7º, Parágrafo único, Resolução CNE/CP 2, de 1 de julho de 2015). </w:t>
      </w:r>
    </w:p>
    <w:p>
      <w:pPr>
        <w:ind w:left="0" w:hanging="2"/>
        <w:jc w:val="both"/>
        <w:rPr>
          <w:rFonts w:ascii="Times New Roman" w:hAnsi="Times New Roman" w:cs="Times New Roman"/>
        </w:rPr>
      </w:pPr>
      <w:r>
        <w:rPr>
          <w:rFonts w:ascii="Times New Roman" w:hAnsi="Times New Roman" w:eastAsia="Times New Roman" w:cs="Times New Roman"/>
        </w:rPr>
        <w:t xml:space="preserve">4.2- Os estagiários poderão ter redução da carga horária do estágio supervisionado, caso desenvolvam atividades de extensão, de monitorias e de iniciação científica na educação superior (Art. 2º, § 3º, Lei n. 11.788, de 25 de setembro de 2008), desde que apresentem a seguinte documentação através requerimento ao Colegiado: </w:t>
      </w:r>
    </w:p>
    <w:p>
      <w:pPr>
        <w:ind w:left="0" w:hanging="2"/>
        <w:jc w:val="both"/>
        <w:rPr>
          <w:rFonts w:ascii="Times New Roman" w:hAnsi="Times New Roman" w:cs="Times New Roman"/>
        </w:rPr>
      </w:pPr>
      <w:r>
        <w:rPr>
          <w:rFonts w:ascii="Times New Roman" w:hAnsi="Times New Roman" w:eastAsia="Times New Roman" w:cs="Times New Roman"/>
        </w:rPr>
        <w:t>4.2.1) Documentação comprobatória com data de início e data de fim  da atividade realizada (seis meses de atividade equivalem à redução de carga-horária para uma disciplina de Estágio)</w:t>
      </w:r>
    </w:p>
    <w:p>
      <w:pPr>
        <w:ind w:left="0" w:hanging="2"/>
        <w:jc w:val="both"/>
        <w:rPr>
          <w:rFonts w:ascii="Times New Roman" w:hAnsi="Times New Roman" w:cs="Times New Roman"/>
        </w:rPr>
      </w:pPr>
      <w:r>
        <w:rPr>
          <w:rFonts w:ascii="Times New Roman" w:hAnsi="Times New Roman" w:eastAsia="Times New Roman" w:cs="Times New Roman"/>
        </w:rPr>
        <w:t>4.2.2) Um comprovante de apresentação de trabalho (com temática relacionada à atividade de pesquisa em questão) em evento científico;</w:t>
      </w:r>
    </w:p>
    <w:p>
      <w:pPr>
        <w:ind w:left="0" w:hanging="2"/>
        <w:jc w:val="both"/>
        <w:rPr>
          <w:rFonts w:ascii="Times New Roman" w:hAnsi="Times New Roman" w:cs="Times New Roman"/>
        </w:rPr>
      </w:pPr>
      <w:r>
        <w:rPr>
          <w:rFonts w:ascii="Times New Roman" w:hAnsi="Times New Roman" w:eastAsia="Times New Roman" w:cs="Times New Roman"/>
        </w:rPr>
        <w:t xml:space="preserve">4.2.3) Um produto didatizado desta atividade (material de uso didático em formato impresso e/ou audiovisual, etc.), voltado para estudantes de ensino fundamental e médio. </w:t>
      </w:r>
    </w:p>
    <w:p>
      <w:pPr>
        <w:ind w:left="0" w:hanging="2"/>
        <w:jc w:val="both"/>
        <w:rPr>
          <w:rFonts w:ascii="Times New Roman" w:hAnsi="Times New Roman" w:cs="Times New Roman"/>
        </w:rPr>
      </w:pPr>
      <w:r>
        <w:rPr>
          <w:rFonts w:ascii="Times New Roman" w:hAnsi="Times New Roman" w:eastAsia="Times New Roman" w:cs="Times New Roman"/>
        </w:rPr>
        <w:t>4.2.4) Declaração do professor. Os referidos produtos devem ter sido previamente ratificados pelo professor-orientador de iniciação científica, extensão e monitoria (através de uma declaração a ser anexada à documentação)</w:t>
      </w:r>
    </w:p>
    <w:p>
      <w:pPr>
        <w:ind w:left="0" w:hanging="2"/>
        <w:jc w:val="both"/>
        <w:rPr>
          <w:rFonts w:ascii="Times New Roman" w:hAnsi="Times New Roman" w:cs="Times New Roman"/>
        </w:rPr>
      </w:pPr>
      <w:r>
        <w:rPr>
          <w:rFonts w:ascii="Times New Roman" w:hAnsi="Times New Roman" w:eastAsia="Times New Roman" w:cs="Times New Roman"/>
        </w:rPr>
        <w:t>4.3-, Cabe ao Colegiado de História a deliberação final quanto ao deferimento da solicitação.</w:t>
      </w:r>
    </w:p>
    <w:p>
      <w:pPr>
        <w:ind w:left="0" w:hanging="2"/>
        <w:jc w:val="both"/>
        <w:rPr>
          <w:rFonts w:ascii="Times New Roman" w:hAnsi="Times New Roman" w:cs="Times New Roman"/>
        </w:rPr>
      </w:pPr>
      <w:r>
        <w:rPr>
          <w:rFonts w:ascii="Times New Roman" w:hAnsi="Times New Roman" w:eastAsia="Times New Roman" w:cs="Times New Roman"/>
        </w:rPr>
        <w:t>4.4- Tal redução será concedida até o limite de 100 (cem) horas por semestre (em equivalência a uma disciplina de Estágio Supervisionado de História por semestre de atividade comprovada)</w:t>
      </w:r>
    </w:p>
    <w:p>
      <w:pPr>
        <w:ind w:left="0" w:hanging="2"/>
        <w:jc w:val="both"/>
        <w:rPr>
          <w:rFonts w:ascii="Times New Roman" w:hAnsi="Times New Roman" w:cs="Times New Roman"/>
        </w:rPr>
      </w:pPr>
      <w:r>
        <w:rPr>
          <w:rFonts w:ascii="Times New Roman" w:hAnsi="Times New Roman" w:eastAsia="Times New Roman" w:cs="Times New Roman"/>
        </w:rPr>
        <w:t xml:space="preserve">4.5- A disciplina Estágio Supervisionado de História III (HIS 598) será considerada equivalente para redução de 100 (cem) horas e a disciplina Estágio Supervisionado de História IV (599) será considerada equivalente para redução de 100 (cem) horas subsequentes. </w:t>
      </w:r>
    </w:p>
    <w:p>
      <w:pPr>
        <w:ind w:left="0" w:hanging="2"/>
        <w:jc w:val="both"/>
        <w:rPr>
          <w:rFonts w:ascii="Times New Roman" w:hAnsi="Times New Roman" w:cs="Times New Roman"/>
        </w:rPr>
      </w:pPr>
      <w:r>
        <w:rPr>
          <w:rFonts w:ascii="Times New Roman" w:hAnsi="Times New Roman" w:eastAsia="Times New Roman" w:cs="Times New Roman"/>
        </w:rPr>
        <w:t xml:space="preserve">4.6. O estudante poderá solicitar de forma simultânea a redução de duas disciplinas de estágio. </w:t>
      </w:r>
    </w:p>
    <w:p>
      <w:pPr>
        <w:ind w:left="0" w:hanging="2"/>
        <w:jc w:val="both"/>
        <w:rPr>
          <w:rFonts w:ascii="Times New Roman" w:hAnsi="Times New Roman" w:cs="Times New Roman"/>
        </w:rPr>
      </w:pPr>
      <w:r>
        <w:rPr>
          <w:rFonts w:ascii="Times New Roman" w:hAnsi="Times New Roman" w:eastAsia="Times New Roman" w:cs="Times New Roman"/>
        </w:rPr>
        <w:t>4.7- O estudante poderá apresentar apenas o comprovante de participação em um evento científico para obter a redução de carga horária para os dois estágios (III e IV).</w:t>
      </w:r>
    </w:p>
    <w:p>
      <w:pPr>
        <w:ind w:left="0" w:hanging="2"/>
        <w:jc w:val="both"/>
        <w:rPr>
          <w:rFonts w:ascii="Times New Roman" w:hAnsi="Times New Roman" w:eastAsia="Times New Roman" w:cs="Times New Roman"/>
        </w:rPr>
      </w:pPr>
    </w:p>
    <w:p>
      <w:pPr>
        <w:ind w:left="0" w:hanging="2"/>
        <w:jc w:val="both"/>
        <w:rPr>
          <w:rFonts w:ascii="Times New Roman" w:hAnsi="Times New Roman" w:eastAsia="Times New Roman" w:cs="Times New Roman"/>
        </w:rPr>
      </w:pPr>
    </w:p>
    <w:p>
      <w:pPr>
        <w:ind w:left="0" w:hanging="2"/>
        <w:rPr>
          <w:rFonts w:ascii="Times New Roman" w:hAnsi="Times New Roman" w:cs="Times New Roman"/>
        </w:rPr>
      </w:pPr>
      <w:r>
        <w:rPr>
          <w:rFonts w:ascii="Times New Roman" w:hAnsi="Times New Roman" w:eastAsia="Times New Roman" w:cs="Times New Roman"/>
        </w:rPr>
        <w:t>Esta Resolução entra em vigor a partir do primeiro semestre letivo de 2020.</w:t>
      </w: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cs="Times New Roman"/>
        </w:rPr>
      </w:pPr>
      <w:r>
        <w:rPr>
          <w:rFonts w:ascii="Times New Roman" w:hAnsi="Times New Roman" w:eastAsia="Times New Roman" w:cs="Times New Roman"/>
        </w:rPr>
        <w:t>Mariana, 18 de dezembro de 2020.</w:t>
      </w: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rPr>
          <w:rFonts w:ascii="Times New Roman" w:hAnsi="Times New Roman" w:eastAsia="Times New Roman" w:cs="Times New Roman"/>
        </w:rPr>
      </w:pPr>
    </w:p>
    <w:p>
      <w:pPr>
        <w:ind w:left="0" w:hanging="2"/>
        <w:jc w:val="center"/>
        <w:rPr>
          <w:rFonts w:ascii="Times New Roman" w:hAnsi="Times New Roman" w:cs="Times New Roman"/>
        </w:rPr>
      </w:pPr>
      <w:r>
        <w:rPr>
          <w:rFonts w:ascii="Times New Roman" w:hAnsi="Times New Roman" w:eastAsia="Times New Roman" w:cs="Times New Roman"/>
          <w:b/>
        </w:rPr>
        <w:t>Profa. Dra. Ana Mônica Henriques Lopes</w:t>
      </w:r>
    </w:p>
    <w:p>
      <w:pPr>
        <w:ind w:left="0" w:hanging="2"/>
        <w:jc w:val="center"/>
        <w:rPr>
          <w:rFonts w:ascii="Times New Roman" w:hAnsi="Times New Roman" w:cs="Times New Roman"/>
        </w:rPr>
      </w:pPr>
      <w:r>
        <w:rPr>
          <w:rFonts w:ascii="Times New Roman" w:hAnsi="Times New Roman" w:eastAsia="Times New Roman" w:cs="Times New Roman"/>
          <w:b/>
        </w:rPr>
        <w:t>Coordenadora do curso de História Licenciatura</w:t>
      </w:r>
    </w:p>
    <w:p>
      <w:pPr>
        <w:ind w:left="0" w:hanging="2"/>
        <w:jc w:val="center"/>
        <w:rPr>
          <w:rFonts w:ascii="Times New Roman" w:hAnsi="Times New Roman" w:cs="Times New Roman"/>
        </w:rPr>
      </w:pPr>
      <w:r>
        <w:rPr>
          <w:rFonts w:ascii="Times New Roman" w:hAnsi="Times New Roman" w:eastAsia="Times New Roman" w:cs="Times New Roman"/>
          <w:b/>
        </w:rPr>
        <w:t>ICHS/UFOP</w:t>
      </w:r>
    </w:p>
    <w:p>
      <w:pPr>
        <w:ind w:left="0" w:hanging="2"/>
        <w:rPr>
          <w:rFonts w:ascii="Times New Roman" w:hAnsi="Times New Roman" w:eastAsia="Times New Roman" w:cs="Times New Roman"/>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b/>
          <w:color w:val="000000"/>
        </w:rPr>
        <w:t>Anexo 06:</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lang w:eastAsia="pt-BR" w:bidi="ar-SA"/>
        </w:rPr>
        <w:drawing>
          <wp:inline distT="0" distB="0" distL="114300" distR="114300">
            <wp:extent cx="5590540" cy="6336665"/>
            <wp:effectExtent l="0" t="0" r="0" b="0"/>
            <wp:docPr id="1075" name="image25.png"/>
            <wp:cNvGraphicFramePr/>
            <a:graphic xmlns:a="http://schemas.openxmlformats.org/drawingml/2006/main">
              <a:graphicData uri="http://schemas.openxmlformats.org/drawingml/2006/picture">
                <pic:pic xmlns:pic="http://schemas.openxmlformats.org/drawingml/2006/picture">
                  <pic:nvPicPr>
                    <pic:cNvPr id="1075" name="image25.png"/>
                    <pic:cNvPicPr preferRelativeResize="0"/>
                  </pic:nvPicPr>
                  <pic:blipFill>
                    <a:blip r:embed="rId82"/>
                    <a:srcRect/>
                    <a:stretch>
                      <a:fillRect/>
                    </a:stretch>
                  </pic:blipFill>
                  <pic:spPr>
                    <a:xfrm>
                      <a:off x="0" y="0"/>
                      <a:ext cx="5590540" cy="6336665"/>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b/>
          <w:color w:val="000000"/>
        </w:rPr>
        <w:t>Anexo 7:</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lang w:eastAsia="pt-BR" w:bidi="ar-SA"/>
        </w:rPr>
        <w:drawing>
          <wp:inline distT="0" distB="0" distL="114300" distR="114300">
            <wp:extent cx="4627880" cy="7707630"/>
            <wp:effectExtent l="0" t="0" r="0" b="0"/>
            <wp:docPr id="1076" name="image22.png"/>
            <wp:cNvGraphicFramePr/>
            <a:graphic xmlns:a="http://schemas.openxmlformats.org/drawingml/2006/main">
              <a:graphicData uri="http://schemas.openxmlformats.org/drawingml/2006/picture">
                <pic:pic xmlns:pic="http://schemas.openxmlformats.org/drawingml/2006/picture">
                  <pic:nvPicPr>
                    <pic:cNvPr id="1076" name="image22.png"/>
                    <pic:cNvPicPr preferRelativeResize="0"/>
                  </pic:nvPicPr>
                  <pic:blipFill>
                    <a:blip r:embed="rId83"/>
                    <a:srcRect/>
                    <a:stretch>
                      <a:fillRect/>
                    </a:stretch>
                  </pic:blipFill>
                  <pic:spPr>
                    <a:xfrm>
                      <a:off x="0" y="0"/>
                      <a:ext cx="4627880" cy="7707630"/>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b/>
          <w:color w:val="000000"/>
        </w:rPr>
        <w:t>Anexo 08:</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lang w:eastAsia="pt-BR" w:bidi="ar-SA"/>
        </w:rPr>
        <w:drawing>
          <wp:inline distT="0" distB="0" distL="114300" distR="114300">
            <wp:extent cx="4860290" cy="7755890"/>
            <wp:effectExtent l="0" t="0" r="0" b="0"/>
            <wp:docPr id="1077" name="image29.png"/>
            <wp:cNvGraphicFramePr/>
            <a:graphic xmlns:a="http://schemas.openxmlformats.org/drawingml/2006/main">
              <a:graphicData uri="http://schemas.openxmlformats.org/drawingml/2006/picture">
                <pic:pic xmlns:pic="http://schemas.openxmlformats.org/drawingml/2006/picture">
                  <pic:nvPicPr>
                    <pic:cNvPr id="1077" name="image29.png"/>
                    <pic:cNvPicPr preferRelativeResize="0"/>
                  </pic:nvPicPr>
                  <pic:blipFill>
                    <a:blip r:embed="rId84"/>
                    <a:srcRect/>
                    <a:stretch>
                      <a:fillRect/>
                    </a:stretch>
                  </pic:blipFill>
                  <pic:spPr>
                    <a:xfrm>
                      <a:off x="0" y="0"/>
                      <a:ext cx="4860290" cy="7755890"/>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before="240" w:line="360" w:lineRule="auto"/>
        <w:ind w:left="0" w:hanging="2"/>
        <w:jc w:val="both"/>
        <w:rPr>
          <w:rFonts w:ascii="Times New Roman" w:hAnsi="Times New Roman" w:eastAsia="Times New Roman" w:cs="Times New Roman"/>
          <w:b/>
          <w:color w:val="000000"/>
        </w:rPr>
      </w:pPr>
    </w:p>
    <w:p>
      <w:pPr>
        <w:pBdr>
          <w:top w:val="none" w:color="auto" w:sz="0" w:space="0"/>
          <w:left w:val="none" w:color="auto" w:sz="0" w:space="0"/>
          <w:bottom w:val="none" w:color="auto" w:sz="0" w:space="0"/>
          <w:right w:val="none" w:color="auto" w:sz="0" w:space="0"/>
          <w:between w:val="none" w:color="auto" w:sz="0" w:space="0"/>
        </w:pBdr>
        <w:spacing w:before="240"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b/>
          <w:color w:val="000000"/>
        </w:rPr>
        <w:t>Anexo 09:</w:t>
      </w:r>
    </w:p>
    <w:p>
      <w:pPr>
        <w:pBdr>
          <w:top w:val="none" w:color="auto" w:sz="0" w:space="0"/>
          <w:left w:val="none" w:color="auto" w:sz="0" w:space="0"/>
          <w:bottom w:val="none" w:color="auto" w:sz="0" w:space="0"/>
          <w:right w:val="none" w:color="auto" w:sz="0" w:space="0"/>
          <w:between w:val="none" w:color="auto" w:sz="0" w:space="0"/>
        </w:pBdr>
        <w:spacing w:before="240" w:line="360"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b/>
          <w:color w:val="000000"/>
        </w:rPr>
        <w:t>Composição do Colegiado do Curso e Núcleo Docente Estruturante</w:t>
      </w:r>
    </w:p>
    <w:p>
      <w:pPr>
        <w:pBdr>
          <w:top w:val="none" w:color="auto" w:sz="0" w:space="0"/>
          <w:left w:val="none" w:color="auto" w:sz="0" w:space="0"/>
          <w:bottom w:val="none" w:color="auto" w:sz="0" w:space="0"/>
          <w:right w:val="none" w:color="auto" w:sz="0" w:space="0"/>
          <w:between w:val="none" w:color="auto" w:sz="0" w:space="0"/>
        </w:pBdr>
        <w:spacing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ab/>
      </w:r>
      <w:r>
        <w:rPr>
          <w:rFonts w:ascii="Times New Roman" w:hAnsi="Times New Roman" w:eastAsia="Times New Roman" w:cs="Times New Roman"/>
          <w:color w:val="000000"/>
        </w:rPr>
        <w:t>O Colegiado do curso de Licenciatura em História é regido pelo disposto no Anexo a Resolução Cuni 435, em especial no Capítulo III, Artigo 13 e 14 que estabelece:</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“Os Colegiados de Curso de Graduação serão constituídos por representantes dos Departamentos que oferecem disciplinas do Curso, eleitos pelas respectivas Assembléias, em proporção ao número de créditos das disciplinas ministradas.</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Art. 14 A proporção citada no artigo anterior será de vinte créditos para cada representante.</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10 - Garantir-se-á a representação mínima, quando o número de créditos for inferior a vinte.</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2° - Arredondar-se-á, para o inteiro superior, a representação que resultar fracionária, quando a fração for igual ou superior a meio.</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 30 - Limitar-se-á a representação a quatro membros, no máximo, por Departamento”.</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spacing w:line="360" w:lineRule="auto"/>
        <w:ind w:left="0" w:hanging="2"/>
        <w:jc w:val="both"/>
        <w:rPr>
          <w:rFonts w:ascii="Times New Roman" w:hAnsi="Times New Roman" w:cs="Times New Roman"/>
        </w:rPr>
      </w:pPr>
      <w:r>
        <w:rPr>
          <w:rFonts w:ascii="Times New Roman" w:hAnsi="Times New Roman" w:eastAsia="Times New Roman" w:cs="Times New Roman"/>
        </w:rPr>
        <w:t>O funcionamento do Colegiado de História e do Núcleo Docente Estruturante ocorre no edifício sede do ICHS, em conjunto com a Seção de Ensino, assim como é o espaço destinado ao arquivo físico e virtual.</w:t>
      </w:r>
    </w:p>
    <w:p>
      <w:pPr>
        <w:spacing w:after="240" w:line="360" w:lineRule="auto"/>
        <w:ind w:left="0" w:hanging="2"/>
        <w:jc w:val="both"/>
        <w:rPr>
          <w:rFonts w:ascii="Times New Roman" w:hAnsi="Times New Roman" w:cs="Times New Roman"/>
        </w:rPr>
      </w:pPr>
      <w:r>
        <w:rPr>
          <w:rFonts w:ascii="Times New Roman" w:hAnsi="Times New Roman" w:eastAsia="Times New Roman" w:cs="Times New Roman"/>
          <w:color w:val="000000"/>
        </w:rPr>
        <w:t xml:space="preserve">As atribuições do Colegiado de História são as seguintes, de acordo com o Estatuto da UFOP: </w:t>
      </w:r>
    </w:p>
    <w:p>
      <w:pPr>
        <w:ind w:left="0" w:hanging="2"/>
        <w:jc w:val="both"/>
        <w:rPr>
          <w:rFonts w:ascii="Times New Roman" w:hAnsi="Times New Roman" w:cs="Times New Roman"/>
        </w:rPr>
      </w:pPr>
      <w:r>
        <w:rPr>
          <w:rFonts w:ascii="Times New Roman" w:hAnsi="Times New Roman" w:eastAsia="Times New Roman" w:cs="Times New Roman"/>
        </w:rPr>
        <w:t>I – compatibilizar as diretrizes gerais dos programas das disciplinas do curso e determinar aos Departamentos as modificações necessárias;</w:t>
      </w:r>
    </w:p>
    <w:p>
      <w:pPr>
        <w:ind w:left="0" w:hanging="2"/>
        <w:jc w:val="both"/>
        <w:rPr>
          <w:rFonts w:ascii="Times New Roman" w:hAnsi="Times New Roman" w:cs="Times New Roman"/>
        </w:rPr>
      </w:pPr>
      <w:r>
        <w:rPr>
          <w:rFonts w:ascii="Times New Roman" w:hAnsi="Times New Roman" w:eastAsia="Times New Roman" w:cs="Times New Roman"/>
        </w:rPr>
        <w:t>II – integrar os planos elaborados pelos Departamentos, relativos ao ensino das várias disciplinas, para fim de organização do programa didático do curso;</w:t>
      </w:r>
    </w:p>
    <w:p>
      <w:pPr>
        <w:ind w:left="0" w:hanging="2"/>
        <w:jc w:val="both"/>
        <w:rPr>
          <w:rFonts w:ascii="Times New Roman" w:hAnsi="Times New Roman" w:cs="Times New Roman"/>
        </w:rPr>
      </w:pPr>
      <w:r>
        <w:rPr>
          <w:rFonts w:ascii="Times New Roman" w:hAnsi="Times New Roman" w:eastAsia="Times New Roman" w:cs="Times New Roman"/>
        </w:rPr>
        <w:t>III – recomendar ao Departamento, a que esteja vinculada a disciplina, as providências adequadas à melhor utilização das instalações, do material e do aproveitamento do pessoal;</w:t>
      </w:r>
    </w:p>
    <w:p>
      <w:pPr>
        <w:ind w:left="0" w:hanging="2"/>
        <w:jc w:val="both"/>
        <w:rPr>
          <w:rFonts w:ascii="Times New Roman" w:hAnsi="Times New Roman" w:cs="Times New Roman"/>
        </w:rPr>
      </w:pPr>
      <w:r>
        <w:rPr>
          <w:rFonts w:ascii="Times New Roman" w:hAnsi="Times New Roman" w:eastAsia="Times New Roman" w:cs="Times New Roman"/>
        </w:rPr>
        <w:t>IV – propor à aprovação do Conselho de Ensino, Pesquisa e Extensão o currículo pleno do curso e suas alterações, com indicação dos pré-requisitos, da carga horária, das ementas, dos programas e dos créditos das disciplinas que o compõem;</w:t>
      </w:r>
    </w:p>
    <w:p>
      <w:pPr>
        <w:ind w:left="0" w:hanging="2"/>
        <w:jc w:val="both"/>
        <w:rPr>
          <w:rFonts w:ascii="Times New Roman" w:hAnsi="Times New Roman" w:cs="Times New Roman"/>
        </w:rPr>
      </w:pPr>
      <w:r>
        <w:rPr>
          <w:rFonts w:ascii="Times New Roman" w:hAnsi="Times New Roman" w:eastAsia="Times New Roman" w:cs="Times New Roman"/>
        </w:rPr>
        <w:t>V – decidir sobre questões relativas à reopção de curso, equivalência de disciplinas, desligamentos, matrícula em disciplinas isoladas, aproveitamento de estudos, matrícula de portador de diploma de graduação e transferência;</w:t>
      </w:r>
    </w:p>
    <w:p>
      <w:pPr>
        <w:ind w:left="0" w:hanging="2"/>
        <w:jc w:val="both"/>
        <w:rPr>
          <w:rFonts w:ascii="Times New Roman" w:hAnsi="Times New Roman" w:cs="Times New Roman"/>
        </w:rPr>
      </w:pPr>
      <w:r>
        <w:rPr>
          <w:rFonts w:ascii="Times New Roman" w:hAnsi="Times New Roman" w:eastAsia="Times New Roman" w:cs="Times New Roman"/>
        </w:rPr>
        <w:t>VI – apreciar as recomendações dos Departamentos e requerimentos dos docentes sobre assuntos de interesse do curso;</w:t>
      </w:r>
    </w:p>
    <w:p>
      <w:pPr>
        <w:ind w:left="0" w:hanging="2"/>
        <w:jc w:val="both"/>
        <w:rPr>
          <w:rFonts w:ascii="Times New Roman" w:hAnsi="Times New Roman" w:cs="Times New Roman"/>
        </w:rPr>
      </w:pPr>
      <w:bookmarkStart w:id="5" w:name="_heading=h.tyjcwt" w:colFirst="0" w:colLast="0"/>
      <w:bookmarkEnd w:id="5"/>
      <w:r>
        <w:rPr>
          <w:rFonts w:ascii="Times New Roman" w:hAnsi="Times New Roman" w:eastAsia="Times New Roman" w:cs="Times New Roman"/>
        </w:rPr>
        <w:t>VII – exercer atividades de orientação acadêmica dos estudantes do curso, com vistas ao cumprimento dos créditos necessários para candidaturas à colação de grau;</w:t>
      </w:r>
    </w:p>
    <w:p>
      <w:pPr>
        <w:spacing w:after="240"/>
        <w:ind w:left="0" w:hanging="2"/>
        <w:jc w:val="both"/>
        <w:rPr>
          <w:rFonts w:ascii="Times New Roman" w:hAnsi="Times New Roman" w:cs="Times New Roman"/>
        </w:rPr>
      </w:pPr>
      <w:r>
        <w:rPr>
          <w:rFonts w:ascii="Times New Roman" w:hAnsi="Times New Roman" w:eastAsia="Times New Roman" w:cs="Times New Roman"/>
        </w:rPr>
        <w:t>VIII – indicar, para a Pró-Reitoria de Graduação, os candidatos à colação de grau.</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ab/>
      </w:r>
      <w:r>
        <w:rPr>
          <w:rFonts w:ascii="Times New Roman" w:hAnsi="Times New Roman" w:eastAsia="Times New Roman" w:cs="Times New Roman"/>
          <w:color w:val="000000"/>
        </w:rPr>
        <w:t xml:space="preserve">Em consonância com disposto acima o Colegiado do Curso de Licenciatura é composto por cinco docentes do curso com regime de trabalho de 40 horas com dedicação exclusiva e um discente indicado pelo Centro Acadêmico de História: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Prof. Álvaro de Araújo Antunes (coordenação)</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Prof. Daniel Wanderson Ferreira (vice-coordenação)</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Prof. Fábio Faversani</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Prof. Marco Antônio Silveira</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Prof. Sérgio Ricardo da Mata</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Isabela Baltazar (discente)</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i/>
          <w:color w:val="1E1E1E"/>
        </w:rPr>
        <w:t>Núcleo Docente Estruturante Docente (NDE)</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jc w:val="both"/>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jc w:val="both"/>
        <w:rPr>
          <w:rFonts w:ascii="Times New Roman" w:hAnsi="Times New Roman" w:eastAsia="Times New Roman" w:cs="Times New Roman"/>
          <w:color w:val="000000"/>
        </w:rPr>
      </w:pPr>
      <w:bookmarkStart w:id="6" w:name="_heading=h.3dy6vkm" w:colFirst="0" w:colLast="0"/>
      <w:bookmarkEnd w:id="6"/>
      <w:r>
        <w:rPr>
          <w:rFonts w:ascii="Times New Roman" w:hAnsi="Times New Roman" w:eastAsia="Times New Roman" w:cs="Times New Roman"/>
          <w:color w:val="000000"/>
        </w:rPr>
        <w:tab/>
      </w:r>
      <w:r>
        <w:rPr>
          <w:rFonts w:ascii="Times New Roman" w:hAnsi="Times New Roman" w:eastAsia="Times New Roman" w:cs="Times New Roman"/>
          <w:color w:val="000000"/>
        </w:rPr>
        <w:t>Em consonância a Resolução n. 1/2010 da Comissão Nacional de Avaliação da Educação Superior (CONAES) o NDE “foi um conceito criado pela Portaria N. 147 de Fevereiro de 2007 com intuito de qualificar o envolvimento docente no processo de concepção e consolidação de um curso de graduação”</w:t>
      </w:r>
      <w:r>
        <w:rPr>
          <w:rFonts w:ascii="Times New Roman" w:hAnsi="Times New Roman" w:eastAsia="Times New Roman" w:cs="Times New Roman"/>
          <w:color w:val="000000"/>
          <w:vertAlign w:val="superscript"/>
        </w:rPr>
        <w:footnoteReference w:id="54"/>
      </w:r>
      <w:r>
        <w:rPr>
          <w:rFonts w:ascii="Times New Roman" w:hAnsi="Times New Roman" w:eastAsia="Times New Roman" w:cs="Times New Roman"/>
          <w:color w:val="000000"/>
        </w:rPr>
        <w:t xml:space="preserve">. Sua implantação na UFOP deu-se pela </w:t>
      </w:r>
      <w:r>
        <w:fldChar w:fldCharType="begin"/>
      </w:r>
      <w:r>
        <w:instrText xml:space="preserve"> HYPERLINK "https://www.prograd.ufop.br/arqdown/Resolu%C3%A7ao_Cepe_4450_17-04-2017-145406.pdf" \h </w:instrText>
      </w:r>
      <w:r>
        <w:fldChar w:fldCharType="separate"/>
      </w:r>
      <w:r>
        <w:rPr>
          <w:rFonts w:ascii="Times New Roman" w:hAnsi="Times New Roman" w:eastAsia="Times New Roman" w:cs="Times New Roman"/>
          <w:b/>
          <w:color w:val="0000FF"/>
          <w:u w:val="single"/>
        </w:rPr>
        <w:t>Resolução CEPE N° 4.450</w:t>
      </w:r>
      <w:r>
        <w:rPr>
          <w:rFonts w:ascii="Times New Roman" w:hAnsi="Times New Roman" w:eastAsia="Times New Roman" w:cs="Times New Roman"/>
          <w:b/>
          <w:color w:val="0000FF"/>
          <w:u w:val="single"/>
        </w:rPr>
        <w:fldChar w:fldCharType="end"/>
      </w:r>
      <w:r>
        <w:rPr>
          <w:rFonts w:ascii="Times New Roman" w:hAnsi="Times New Roman" w:eastAsia="Times New Roman" w:cs="Times New Roman"/>
          <w:color w:val="000000"/>
          <w:u w:val="single"/>
          <w:vertAlign w:val="superscript"/>
        </w:rPr>
        <w:footnoteReference w:id="55"/>
      </w:r>
      <w:r>
        <w:fldChar w:fldCharType="begin"/>
      </w:r>
      <w:r>
        <w:instrText xml:space="preserve"> HYPERLINK "https://www.prograd.ufop.br/arqdown/Resolu%C3%A7ao_Cepe_4450_17-04-2017-145406.pdf" \h </w:instrText>
      </w:r>
      <w:r>
        <w:fldChar w:fldCharType="separate"/>
      </w:r>
      <w:r>
        <w:rPr>
          <w:rFonts w:ascii="Times New Roman" w:hAnsi="Times New Roman" w:eastAsia="Times New Roman" w:cs="Times New Roman"/>
          <w:color w:val="000000"/>
          <w:u w:val="single"/>
        </w:rPr>
        <w:t xml:space="preserve"> que prevê como atribuições:</w:t>
      </w:r>
      <w:r>
        <w:rPr>
          <w:rFonts w:ascii="Times New Roman" w:hAnsi="Times New Roman" w:eastAsia="Times New Roman" w:cs="Times New Roman"/>
          <w:color w:val="000000"/>
          <w:u w:val="single"/>
        </w:rPr>
        <w:fldChar w:fldCharType="end"/>
      </w:r>
    </w:p>
    <w:p>
      <w:pPr>
        <w:pBdr>
          <w:top w:val="none" w:color="auto" w:sz="0" w:space="0"/>
          <w:left w:val="none" w:color="auto" w:sz="0" w:space="0"/>
          <w:bottom w:val="none" w:color="auto" w:sz="0" w:space="0"/>
          <w:right w:val="none" w:color="auto" w:sz="0" w:space="0"/>
          <w:between w:val="none" w:color="auto" w:sz="0" w:space="0"/>
        </w:pBdr>
        <w:spacing w:line="288"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“I - contribuir para a consolidação do perfil profissional do egresso do curso;</w:t>
      </w:r>
    </w:p>
    <w:p>
      <w:pPr>
        <w:pBdr>
          <w:top w:val="none" w:color="auto" w:sz="0" w:space="0"/>
          <w:left w:val="none" w:color="auto" w:sz="0" w:space="0"/>
          <w:bottom w:val="none" w:color="auto" w:sz="0" w:space="0"/>
          <w:right w:val="none" w:color="auto" w:sz="0" w:space="0"/>
          <w:between w:val="none" w:color="auto" w:sz="0" w:space="0"/>
        </w:pBdr>
        <w:spacing w:line="288"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II - zelar pela integração curricular interdisciplinar entre as diferentes atividades de ensino constantes no currículo;</w:t>
      </w:r>
    </w:p>
    <w:p>
      <w:pPr>
        <w:pBdr>
          <w:top w:val="none" w:color="auto" w:sz="0" w:space="0"/>
          <w:left w:val="none" w:color="auto" w:sz="0" w:space="0"/>
          <w:bottom w:val="none" w:color="auto" w:sz="0" w:space="0"/>
          <w:right w:val="none" w:color="auto" w:sz="0" w:space="0"/>
          <w:between w:val="none" w:color="auto" w:sz="0" w:space="0"/>
        </w:pBdr>
        <w:spacing w:line="288"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III - indicar formas de incentivo ao desenvolvimento de linhas de pesquisa e extensão, oriundas de necessidades da graduação, de exigências do mercado de trabalho e afinadas com as políticas públicas relativas à área de conhecimento do curso;</w:t>
      </w:r>
    </w:p>
    <w:p>
      <w:pPr>
        <w:pBdr>
          <w:top w:val="none" w:color="auto" w:sz="0" w:space="0"/>
          <w:left w:val="none" w:color="auto" w:sz="0" w:space="0"/>
          <w:bottom w:val="none" w:color="auto" w:sz="0" w:space="0"/>
          <w:right w:val="none" w:color="auto" w:sz="0" w:space="0"/>
          <w:between w:val="none" w:color="auto" w:sz="0" w:space="0"/>
        </w:pBdr>
        <w:spacing w:line="288"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IV - zelar pelo cumprimento das Diretrizes Curriculares Nacionais para os Cursos de Graduação.”</w:t>
      </w:r>
    </w:p>
    <w:p>
      <w:pPr>
        <w:ind w:left="0" w:hanging="2"/>
        <w:rPr>
          <w:rFonts w:ascii="Times New Roman" w:hAnsi="Times New Roman" w:eastAsia="Times New Roman" w:cs="Times New Roman"/>
          <w:color w:val="000000"/>
        </w:rPr>
      </w:pPr>
    </w:p>
    <w:p>
      <w:pPr>
        <w:spacing w:line="360" w:lineRule="auto"/>
        <w:ind w:left="0" w:hanging="2"/>
        <w:rPr>
          <w:rFonts w:ascii="Times New Roman" w:hAnsi="Times New Roman" w:cs="Times New Roman"/>
        </w:rPr>
      </w:pPr>
      <w:r>
        <w:rPr>
          <w:rFonts w:ascii="Times New Roman" w:hAnsi="Times New Roman" w:eastAsia="Times New Roman" w:cs="Times New Roman"/>
        </w:rPr>
        <w:t>O NDE do curso de Licenciatura em História é composto pelos professores:</w:t>
      </w:r>
    </w:p>
    <w:p>
      <w:pPr>
        <w:spacing w:line="360" w:lineRule="auto"/>
        <w:ind w:left="0" w:hanging="2"/>
        <w:rPr>
          <w:rFonts w:ascii="Times New Roman" w:hAnsi="Times New Roman" w:eastAsia="Times New Roman" w:cs="Times New Roman"/>
        </w:rPr>
      </w:pP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Prof. Daniel Wanderson Ferreira (coordenação)</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Prof</w:t>
      </w:r>
      <w:r>
        <w:rPr>
          <w:rFonts w:ascii="Times New Roman" w:hAnsi="Times New Roman" w:eastAsia="Times New Roman" w:cs="Times New Roman"/>
          <w:color w:val="000000"/>
          <w:vertAlign w:val="superscript"/>
        </w:rPr>
        <w:t>a</w:t>
      </w:r>
      <w:r>
        <w:rPr>
          <w:rFonts w:ascii="Times New Roman" w:hAnsi="Times New Roman" w:eastAsia="Times New Roman" w:cs="Times New Roman"/>
          <w:color w:val="000000"/>
        </w:rPr>
        <w:t>. Dr</w:t>
      </w:r>
      <w:r>
        <w:rPr>
          <w:rFonts w:ascii="Times New Roman" w:hAnsi="Times New Roman" w:eastAsia="Times New Roman" w:cs="Times New Roman"/>
          <w:color w:val="000000"/>
          <w:vertAlign w:val="superscript"/>
        </w:rPr>
        <w:t>a</w:t>
      </w:r>
      <w:r>
        <w:rPr>
          <w:rFonts w:ascii="Times New Roman" w:hAnsi="Times New Roman" w:eastAsia="Times New Roman" w:cs="Times New Roman"/>
          <w:color w:val="000000"/>
        </w:rPr>
        <w:t xml:space="preserve">. Ana Mónica Henriques Lopes </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Prof. Fábio Faversani</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Prof. Marco Antônio Silveira</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Prof. Sérgio Ricardo da Mata</w:t>
      </w:r>
    </w:p>
    <w:p>
      <w:pPr>
        <w:pBdr>
          <w:top w:val="none" w:color="auto" w:sz="0" w:space="0"/>
          <w:left w:val="none" w:color="auto" w:sz="0" w:space="0"/>
          <w:bottom w:val="none" w:color="auto" w:sz="0" w:space="0"/>
          <w:right w:val="none" w:color="auto" w:sz="0" w:space="0"/>
          <w:between w:val="none" w:color="auto" w:sz="0" w:space="0"/>
        </w:pBdr>
        <w:spacing w:line="360" w:lineRule="auto"/>
        <w:ind w:left="0" w:hanging="2"/>
        <w:rPr>
          <w:rFonts w:ascii="Times New Roman" w:hAnsi="Times New Roman" w:eastAsia="Times New Roman" w:cs="Times New Roman"/>
          <w:color w:val="000000"/>
        </w:rPr>
      </w:pPr>
      <w:r>
        <w:rPr>
          <w:rFonts w:ascii="Times New Roman" w:hAnsi="Times New Roman" w:eastAsia="Times New Roman" w:cs="Times New Roman"/>
          <w:color w:val="000000"/>
        </w:rPr>
        <w:t xml:space="preserve">Prof. Álvaro de Araújo Antunes </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b/>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b/>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b/>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b/>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b/>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b/>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b/>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b/>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b/>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b/>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b/>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b/>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b/>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b/>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b/>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b/>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b/>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b/>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b/>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b/>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b/>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b/>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b/>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r>
        <w:rPr>
          <w:rFonts w:ascii="Times New Roman" w:hAnsi="Times New Roman" w:eastAsia="Times New Roman" w:cs="Times New Roman"/>
          <w:b/>
          <w:color w:val="000000"/>
        </w:rPr>
        <w:t>Anexo 10:</w:t>
      </w:r>
      <w:r>
        <w:rPr>
          <w:rFonts w:ascii="Times New Roman" w:hAnsi="Times New Roman" w:eastAsia="Times New Roman" w:cs="Times New Roman"/>
          <w:color w:val="000000"/>
        </w:rPr>
        <w:t xml:space="preserve"> Regulamentação do MIF, Portaria PROGRAD No 34/2019. </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jc w:val="center"/>
        <w:rPr>
          <w:rFonts w:ascii="Times New Roman" w:hAnsi="Times New Roman" w:eastAsia="Times New Roman" w:cs="Times New Roman"/>
          <w:color w:val="000000"/>
        </w:rPr>
      </w:pPr>
      <w:r>
        <w:rPr>
          <w:rFonts w:ascii="Times New Roman" w:hAnsi="Times New Roman" w:eastAsia="Times New Roman" w:cs="Times New Roman"/>
          <w:color w:val="000000"/>
        </w:rPr>
        <w:t>PORTARIA Nº 34/2019/PROGRAD, DE 02 DE MAIO DE 2019</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jc w:val="both"/>
        <w:rPr>
          <w:rFonts w:ascii="Times New Roman" w:hAnsi="Times New Roman" w:eastAsia="Times New Roman" w:cs="Times New Roman"/>
          <w:color w:val="000000"/>
        </w:rPr>
      </w:pPr>
      <w:r>
        <w:rPr>
          <w:rFonts w:ascii="Times New Roman" w:hAnsi="Times New Roman" w:eastAsia="Times New Roman" w:cs="Times New Roman"/>
          <w:color w:val="000000"/>
        </w:rPr>
        <w:t>Estabelece o regulamento para a implementação e gestão dos Módulos Interdisciplinares de Formação (MIF) no âmbito da Política Institucional de Formação de Professores da Universidade Federal de Ouro Preto (UFOP). A Pró Reitora de Graduação da Universidade Federal de Ouro Preto, no uso de suas atribuições legais, conferidas pela Portaria Reitoria nº 159, de 21 de fevereiro de 2017, considerando: a Lei nº 9.394, de 20 de dezembro de 1996 - Lei de Diretrizes e Bases da Educação Nacional (LDBEN);a Resolução CNE/CP nº 02/2015;a Resolução CEPE nº 7.488, de 17 de julho de 2018;a proposta de regulamentação elaborada pela Subcâmara de Licenciaturas, RESOLVE: Art. 1º Aprovar o regulamento de implementação e gestão dos Módulos Interdisciplinares de Formação (MIF), componente curricular obrigatório dos cursos de licenciatura da Universidade Federal de Ouro Preto (UFOP).Parágrafo único. Os MIF foram concebidos pela Subcâmara de Licenciaturas e devem figurar em todas as matrizes curriculares dos cursos de licenciatura da UFOP.  Art. 2º Os MIF têm como objetivo geral contribuir para a construção institucional de uma concepção de formação de professores e de um espaço curricular que impliquem a concretização de práticas interdisciplinares, coletivas e colaborativas. I - São objetivos adicionais dos MIF: a) Estimular os debates contemporâneos sobre as atuais políticas de formação de professores no Brasil, visando ao fortalecimento das identidades profissionais do professor, nas suas dimensões individuais e coletivas; e b) Desenvolver práticas pedagógicas interdisciplinares envolvendo professores e alunos de todos os cursos de licenciatura da UFOP. Art. 3º Os MIF são um componente curricular obrigatório, que contempla atividades presenciais, semipresenciais e/ou a distância cuja carga horária mínima é de 90h, as quais se distribuem em três módulos de 30h, nos períodos letivos indicados na matriz curricular de cada curso de licenciatura da UFOP. Parágrafo único. Deve-se garantir a participação dos alunos de todos os cursos de licenciatura da UFOP (tanto dos cursos presenciais quanto dos à distância) e favorecendo-se diferentes experiências de ensino e aprendizagem. Art. 4º Os MIF são flexíveis, sendo permitido ao estudante escolher, dentro de um leque de alternativas oferecidas pelos departamentos e professores da UFOP e em conformidade com a matriz curricular do seu curso, o módulo no qual se matriculará em um determinado período letivo. Art. 5º As atividades desenvolvidas nos MIF devem privilegiar a análise de problemas e desafios educacionais concretos, estimulando a construção de estratégias para enfrentá-los. §. 1º Os Projetos Pedagógicos dos cursos de licenciatura da UFOP devem esclarecer como será a oferta dos MIF: se na modalidade apenas na modalidade presencial; apenas na modalidade a distância; ou em ambas as modalidades. §. 2° Os Projetos Pedagógicos devem considerar que os alunos podem escolher MIF em qualquer modalidade e de qualquer curso. Art. 6º Cada MIF será ministrado, preferencialmente, por mais de um professor de diferentes Departamentos que atuem, ou não, nos cursos de licenciatura, tendo como seus alunos os licenciandos de diversas áreas do conhecimento científico da UFOP. Isso poderá contribuir para a construção de práticas interdisciplinares desde a formação inicial, favorecendo o desenvolvimento de uma cultura profissional colaborativa e promovendo a construção de um sentido de pertencimento à profissão docente, conforme recomendam as diretrizes curriculares expressas na Resolução CNE/CP nº 2/2015. Art. 7º A gestão dos Módulos Interdisciplinares de Formação será feita por um Comitê Gestor, indicado pela Subcâmara de Colegiados de Licenciaturas da UFOP, para um mandato de 2 (dois) anos. Art. 8º As temáticas a serem desenvolvidas nos MIF serão propostas por professores ou grupo de professores e submetidas ao Comitê Gestor para análise e aprovação. Art. 9º A partir da escolha das temáticas, os professores deverão buscar estratégias para o desenvolvimento do trabalho inte</w:t>
      </w:r>
      <w:r>
        <w:rPr>
          <w:rFonts w:ascii="Times New Roman" w:hAnsi="Times New Roman" w:eastAsia="Times New Roman" w:cs="Times New Roman"/>
          <w:color w:val="000000"/>
        </w:rPr>
        <w:t>rdisciplinar, coletivo e colaborativo. Com foco na formação pedagógica do professor, as temáticas devem contribuir para o fortalecimento da profissionalidade docente e da identidade profissional institucional do professor egresso da UFOP. Art. 10 Os MIF poderão ser operacionalizados, inclusive na modalidade de ação extensionista, de acordo com as seguintes possibilidades: I - laboratório interdisciplinar, onde os alunos desenvolvem trabalhos coletivos; II - confecção de material didático; III - desenvolvimento de tecnologia educacional; IV - simulação de práticas pedagógicas; V - desenvolvimento de atividades práticas em laboratório de ensino; VI - produção de tecnologias e metodologias inovadoras de educação; VII - projetos de ensino; VIII - propostas curriculares; IX - produção de textos pedagógicos; X - elaboração de unidades didáticas; XI - simulação e reflexão de práticas; XII - análise e produção de vídeos; XIII - produção de jogos; XIV - estudo de casos didáticos; XV - elaboração de portfólios; XVI - dentre outras atividades formativas. Art. 11 Os MIF devem refletir em inovações da formação de professores da UFOP por se tratar de um novo espaço institucional que: I - concretiza o desenvolvimento de práticas interdisciplinares, coletivas e colaborativas; II - articula atividades de ensino, pesquisa, extensão; III – articula atividades da graduação e da pós-graduação conforme meta estabelecida no PDI, “respeitada a pluralidade de práticas pedagógicas, as características e objetivos específicos de cada um dos cursos de graduação, de extensão e de pós-graduação” (Plano de Desenvolvimento Institucional Universidade Federal de Ouro Preto, 2016 - 2025, p. 33). IV - amplia os conhecimentos profissionais do professor para além das disciplinas curriculares; V - possibilita experiências coletivas de ensino e aprendizagem de se tornar professor; VI - flexibiliza e atualiza o currículo de formação de professores; e VII - constrói e congrega saberes coletivos e partilhados por professores e alunos de diversas áreas de conhecimento científico. Art. 12 Nos termos do Art. 7º a gestão dos MIF será realizada por um Comitê Gestor, indicado pela Subcâmara de Licenciaturas, ao qual competirá: I - Fazer a gestão semestral da oferta dos MIF; II - Organizar e coordenar os grupos de docentes responsáveis pelos MIF; III - Negociar com os Departamentos a lista de MIF a serem ofertados no semestre, contendo informações sobre os nomes dos professores, temática, ementa, horário e local de funcionamento; IV - Monitorar e avaliar a oferta dos MIF; V - Articular as ações desenvolvidas nos MIF com os estágios, extensão, pesquisa e outras atividades práticas do curso; VI - Divulgar as atividades desenvolvidas nos MIF; VII - Zelar pelo caráter prático e interdisciplinar das atividades desenvolvidas nos MIF;IX - Fomentar o desenvolvimento de ações interdisciplinares para fortalecimento dos MIF: laboratórios interdisciplinares, desenvolvimento de pesquisas coletivas, desenvolvimento de projetos de ensino, desenvolvimento de projetos de extensão, etc. X - Procurar garantir variedade na modalidade de oferta, criando condições para que, inclusive, os alunos dos cursos a distância possam cursar MIF oferecidos por outros Departamentos além dos do CEAD.XI - Decidir sobre casos não previstos. Art. 13 Consoante à Política Institucional de Formação de Professores da UFOP, o Comitê Gestor, elaborará suas normas de funcionamento e os critérios a serem utilizados para seleção das propostas de MIF a serem oferecidas aos cursos. Art. 14 À atuação do docente como membro do Comitê Gestor será atribuída pontuação para progressão na carreira, nos termos da Resolução CUNI que aprova as normas para o desenvolvimento dos servidores docentes da UFOP, na Carreira de magistério Superior. Art. 15 A oferta dos MIF é de responsabilidade dos Departamentos que possuam encargos nos cursos de licenciatura, fazendo-os constar em seus encargos didáticos, aprovados em Assembleia. Art. 16 Os encargos didáticos de cada Departamento dedicado</w:t>
      </w:r>
      <w:r>
        <w:rPr>
          <w:rFonts w:ascii="Times New Roman" w:hAnsi="Times New Roman" w:eastAsia="Times New Roman" w:cs="Times New Roman"/>
          <w:color w:val="000000"/>
        </w:rPr>
        <w:t>s aos MIF serão distribuídos igualmente de acordo com a demanda de vagas apuradas a cada semestre. Parágrafo único. Outros Departamentos que não atuam diretamente nas licenciaturas poderão oferecer MIF, desde que em consonância com a proposta de Política Institucional de Formação de Professores e aprovados pelo Comitê Gestor. Art. 17 Nos casos em que os MIF sejam ofertados por mais de um professor, em conjunto, os encargos didáticos devem ser computados integralmente para cada um deles, em função do caráter interdisciplinar do trabalho. Dessa forma, entende-se que todos os professores envolvidos na proposta participem integralmente das atividades do seu MIF. Art. 18 O número de vagas ofertadas semestralmente pelos MIF deve atender a resolução CEPE Nº 1494 e observar as demandas dos cursos em seus diversos campi, turnos e modalidades de ensino. Art. 19 O levantamento da demanda e apresentação aos Departamentos será feita pelo Comitê Gestor, a partir de edital, entre o 26º e 36º dia letivo do semestre imediatamente anterior à previsão de oferta, conforme os calendários acadêmicos das modalidades a distância e presencial. Art. 20 Cada proposta de MIF deverá atender o mínimo de 15 alunos. Casos excepcionais, devidamente justificados, serão avaliados pelo Comitê Gestor. Art. 21 Cada Colegiado de Curso ficará responsável pela ampla divulgação da lista dos MIF, para que os alunos façam suas escolhas de acordo com o seu interesse e adequação dos horários pré-fixados. Art. 22 Os MIF poderão ser ofertados em turnos diferentes daqueles em que o curso regularmente oferta suas disciplinas e em período diferente do estipulado no calendário acadêmico. Dessa forma, o cronograma de realização deve constar na proposta apresentada ao Comitê Gestor para que os alunos tenham ciência das condições de oferta. Art. 23 Os períodos de oferta dos MIF encontram-se distribuídos na matriz curricular de cada curso, com os códigos MIF001, MIF002 e MIF003.Parágrafo único. Os MIF não serão oferecidos nesses códigos, cuja indicação na Matriz Curricular objetiva apenas referenciar aos estudantes e cursos o momento em que deve se inscrever e a respectiva carga horária. Art. 24 A oferta dos MIF, propriamente dita, será com base em códigos no formato MIF100 em diante, (MIF100, MIF101,.., MIF999) que serão efetivamente ofertados aos estudantes, com turma, horário, local e quantidade de vagas definidas. Deverão também seguir o modelo: I - MIF100 - Linha temática: Titulo MIF (Ex.: MIF100 - Construção de jogos: Jogos de Tabuleiro). Parágrafo único. Cada um dos MIF com códigos MIF100 em diante deverá obrigatoriamente conter um programa, único e inalterável, com a seguinte estrutura conforme a Portaria PROGRAD Nº 35, de 28 de agosto de 2017: identificação do MIF (nome em português e em inglês), código, departamento, unidade acadêmica, carga horária, ementa, conteúdo a ser trabalhado, bibliografia a ser utilizada. Art. 25 Por conseguinte, os MIF100 em diante terão turmas de oferta nos semestres letivos, com horário pré-definido e também com um campo de observação para especificar o período (data de início e término) que o MIF será ministrado. Essa observação irá constar no Atestado de Matrícula do estudante após efetivação da matrícula. Art. 26 O MIF não entrará na matrícula automática por ser um componente cujo tema será de escolha livre dos estudantes. Uma vez aprovado em um MIF de código específico o estudante não poderá cursar aquele código novamente. Art. 27 As matrículas nos MIF ofertados poderão ser feitas pelo Minha UFOP ou presencialmente, seguindo o calendário acadêmico no que trata de ajustes de matrícula. Art. 28 Para fins de verificação do relatório de componentes que o estudante “Falta Cursar”, o sistema somará a carga horária dos MIF integralizados pelo estudante até que seja completada a carga horária indicada na matriz curricular referente aos MIF001, MIF002 e MIF003, ou seja, 90h distribuídas em três MIF. Art. 29 Não será permitido o trancamento de matricula em MIF. Art. 30 Uma turma de MIF pode ser c</w:t>
      </w:r>
      <w:r>
        <w:rPr>
          <w:rFonts w:ascii="Times New Roman" w:hAnsi="Times New Roman" w:eastAsia="Times New Roman" w:cs="Times New Roman"/>
          <w:color w:val="000000"/>
        </w:rPr>
        <w:t>ancelada mediante a aprovação do Comitê Gestor, não causando prejuízo ao estudante. Os Departamentos envolvidos serão devidamente informados. Art. 31 Dada a natureza inovadora do MIF, esse componente curricular não tem pré-requisitos. Art. 32 Os casos omissos serão tratados pela Pró-Reitoria de Graduação. Art. 33 Esta portaria entra em vigor na data de sua publicação. Tânia Rossi Garbin, Pró-Reitora de Graduação.</w:t>
      </w:r>
    </w:p>
    <w:p>
      <w:pPr>
        <w:pBdr>
          <w:top w:val="none" w:color="auto" w:sz="0" w:space="0"/>
          <w:left w:val="none" w:color="auto" w:sz="0" w:space="0"/>
          <w:bottom w:val="none" w:color="auto" w:sz="0" w:space="0"/>
          <w:right w:val="none" w:color="auto" w:sz="0" w:space="0"/>
          <w:between w:val="none" w:color="auto" w:sz="0" w:space="0"/>
        </w:pBdr>
        <w:spacing w:after="120" w:line="288" w:lineRule="auto"/>
        <w:ind w:left="0" w:hanging="2"/>
        <w:jc w:val="both"/>
        <w:rPr>
          <w:rFonts w:ascii="Times New Roman" w:hAnsi="Times New Roman" w:eastAsia="Times New Roman" w:cs="Times New Roman"/>
          <w:color w:val="000000"/>
        </w:rPr>
      </w:pPr>
    </w:p>
    <w:sectPr>
      <w:headerReference r:id="rId46" w:type="first"/>
      <w:footerReference r:id="rId49" w:type="first"/>
      <w:headerReference r:id="rId44" w:type="default"/>
      <w:footerReference r:id="rId47" w:type="default"/>
      <w:headerReference r:id="rId45" w:type="even"/>
      <w:footerReference r:id="rId48" w:type="even"/>
      <w:pgSz w:w="11906" w:h="16838"/>
      <w:pgMar w:top="1417" w:right="1701" w:bottom="1417" w:left="1701" w:header="708"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left="-2" w:hanging="2"/>
      </w:pPr>
      <w:r>
        <w:separator/>
      </w:r>
    </w:p>
  </w:endnote>
  <w:endnote w:type="continuationSeparator" w:id="1">
    <w:p>
      <w:pPr>
        <w:spacing w:line="240" w:lineRule="auto"/>
        <w:ind w:left="-2"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200247B" w:usb2="00000009" w:usb3="00000000" w:csb0="200001FF" w:csb1="00000000"/>
  </w:font>
  <w:font w:name="Liberation Serif">
    <w:altName w:val="SimSun"/>
    <w:panose1 w:val="02020603050405020304"/>
    <w:charset w:val="86"/>
    <w:family w:val="auto"/>
    <w:pitch w:val="default"/>
    <w:sig w:usb0="00000000" w:usb1="00000000" w:usb2="00000021" w:usb3="00000000" w:csb0="600001BF" w:csb1="DFF70000"/>
  </w:font>
  <w:font w:name="Noto Sans CJK SC">
    <w:altName w:val="Times New Roman"/>
    <w:panose1 w:val="00000000000000000000"/>
    <w:charset w:val="00"/>
    <w:family w:val="roman"/>
    <w:pitch w:val="default"/>
    <w:sig w:usb0="00000000" w:usb1="00000000" w:usb2="00000000" w:usb3="00000000" w:csb0="00000000" w:csb1="00000000"/>
  </w:font>
  <w:font w:name="Lohit Devanagari">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angal">
    <w:altName w:val="Courier New"/>
    <w:panose1 w:val="00000400000000000000"/>
    <w:charset w:val="01"/>
    <w:family w:val="roman"/>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Georgia">
    <w:panose1 w:val="02040502050405020303"/>
    <w:charset w:val="00"/>
    <w:family w:val="roman"/>
    <w:pitch w:val="default"/>
    <w:sig w:usb0="00000287" w:usb1="00000000" w:usb2="00000000" w:usb3="00000000" w:csb0="2000009F" w:csb1="00000000"/>
  </w:font>
  <w:font w:name="OpenSymbol">
    <w:altName w:val="Segoe Print"/>
    <w:panose1 w:val="05010000000000000000"/>
    <w:charset w:val="00"/>
    <w:family w:val="roman"/>
    <w:pitch w:val="default"/>
    <w:sig w:usb0="00000000" w:usb1="00000000" w:usb2="00000000" w:usb3="00000000" w:csb0="00000001" w:csb1="00000000"/>
  </w:font>
  <w:font w:name="Wingdings">
    <w:panose1 w:val="05000000000000000000"/>
    <w:charset w:val="02"/>
    <w:family w:val="auto"/>
    <w:pitch w:val="default"/>
    <w:sig w:usb0="00000000" w:usb1="00000000" w:usb2="00000000" w:usb3="00000000" w:csb0="80000000" w:csb1="00000000"/>
  </w:font>
  <w:font w:name="Tahoma">
    <w:panose1 w:val="020B0604030504040204"/>
    <w:charset w:val="00"/>
    <w:family w:val="swiss"/>
    <w:pitch w:val="default"/>
    <w:sig w:usb0="E1002EFF" w:usb1="C000605B" w:usb2="00000029" w:usb3="00000000" w:csb0="200101FF" w:csb1="20280000"/>
  </w:font>
  <w:font w:name="Liberation Sans">
    <w:altName w:val="Segoe Print"/>
    <w:panose1 w:val="020B0604020202020204"/>
    <w:charset w:val="00"/>
    <w:family w:val="roman"/>
    <w:pitch w:val="default"/>
    <w:sig w:usb0="00000000" w:usb1="00000000" w:usb2="00000021" w:usb3="00000000" w:csb0="600001BF" w:csb1="DFF70000"/>
  </w:font>
  <w:font w:name="Noto Sans Symbols">
    <w:altName w:val="Times New Roman"/>
    <w:panose1 w:val="00000000000000000000"/>
    <w:charset w:val="00"/>
    <w:family w:val="auto"/>
    <w:pitch w:val="default"/>
    <w:sig w:usb0="00000000" w:usb1="00000000" w:usb2="00000000" w:usb3="00000000" w:csb0="00000000"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tabs>
        <w:tab w:val="center" w:pos="4252"/>
        <w:tab w:val="right" w:pos="8504"/>
      </w:tabs>
      <w:spacing w:line="240" w:lineRule="auto"/>
      <w:ind w:left="0" w:hanging="2"/>
      <w:rPr>
        <w:rFonts w:eastAsia="Liberation Serif" w:cs="Liberation Serif"/>
        <w:color w:val="000000"/>
      </w:rPr>
    </w:pPr>
    <w:r>
      <w:rPr>
        <w:rFonts w:eastAsia="Liberation Serif" w:cs="Liberation Serif"/>
        <w:color w:val="000000"/>
      </w:rPr>
      <w:fldChar w:fldCharType="begin"/>
    </w:r>
    <w:r>
      <w:rPr>
        <w:rFonts w:eastAsia="Liberation Serif" w:cs="Liberation Serif"/>
        <w:color w:val="000000"/>
      </w:rPr>
      <w:instrText xml:space="preserve">PAGE</w:instrText>
    </w:r>
    <w:r>
      <w:rPr>
        <w:rFonts w:eastAsia="Liberation Serif" w:cs="Liberation Serif"/>
        <w:color w:val="000000"/>
      </w:rPr>
      <w:fldChar w:fldCharType="separate"/>
    </w:r>
    <w:r>
      <w:rPr>
        <w:rFonts w:eastAsia="Liberation Serif" w:cs="Liberation Serif"/>
        <w:color w:val="000000"/>
      </w:rPr>
      <w:t>14</w:t>
    </w:r>
    <w:r>
      <w:rPr>
        <w:rFonts w:eastAsia="Liberation Serif" w:cs="Liberation Serif"/>
        <w:color w:val="000000"/>
      </w:rPr>
      <w:fldChar w:fldCharType="end"/>
    </w:r>
  </w:p>
  <w:p>
    <w:pPr>
      <w:pBdr>
        <w:top w:val="none" w:color="auto" w:sz="0" w:space="0"/>
        <w:left w:val="none" w:color="auto" w:sz="0" w:space="0"/>
        <w:bottom w:val="none" w:color="auto" w:sz="0" w:space="0"/>
        <w:right w:val="none" w:color="auto" w:sz="0" w:space="0"/>
        <w:between w:val="none" w:color="auto" w:sz="0" w:space="0"/>
      </w:pBdr>
      <w:tabs>
        <w:tab w:val="center" w:pos="4252"/>
        <w:tab w:val="right" w:pos="8504"/>
      </w:tabs>
      <w:spacing w:line="240" w:lineRule="auto"/>
      <w:ind w:left="0" w:hanging="2"/>
      <w:rPr>
        <w:rFonts w:eastAsia="Liberation Serif" w:cs="Liberation Serif"/>
        <w:color w:val="00000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hanging="2"/>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tabs>
        <w:tab w:val="center" w:pos="4252"/>
        <w:tab w:val="right" w:pos="8504"/>
      </w:tabs>
      <w:spacing w:line="240" w:lineRule="auto"/>
      <w:ind w:left="0" w:hanging="2"/>
      <w:rPr>
        <w:rFonts w:eastAsia="Liberation Serif" w:cs="Liberation Serif"/>
        <w:color w:val="000000"/>
        <w:sz w:val="20"/>
        <w:szCs w:val="20"/>
      </w:rPr>
    </w:pPr>
    <w:r>
      <w:rPr>
        <w:rFonts w:ascii="Times New Roman" w:hAnsi="Times New Roman" w:eastAsia="Times New Roman" w:cs="Times New Roman"/>
        <w:color w:val="000000"/>
      </w:rPr>
      <w:fldChar w:fldCharType="begin"/>
    </w:r>
    <w:r>
      <w:rPr>
        <w:rFonts w:ascii="Times New Roman" w:hAnsi="Times New Roman" w:eastAsia="Times New Roman" w:cs="Times New Roman"/>
        <w:color w:val="000000"/>
      </w:rPr>
      <w:instrText xml:space="preserve">PAGE</w:instrText>
    </w:r>
    <w:r>
      <w:rPr>
        <w:rFonts w:ascii="Times New Roman" w:hAnsi="Times New Roman" w:eastAsia="Times New Roman" w:cs="Times New Roman"/>
        <w:color w:val="000000"/>
      </w:rPr>
      <w:fldChar w:fldCharType="separate"/>
    </w:r>
    <w:r>
      <w:rPr>
        <w:rFonts w:ascii="Times New Roman" w:hAnsi="Times New Roman" w:eastAsia="Times New Roman" w:cs="Times New Roman"/>
        <w:color w:val="000000"/>
      </w:rPr>
      <w:t>264</w:t>
    </w:r>
    <w:r>
      <w:rPr>
        <w:rFonts w:ascii="Times New Roman" w:hAnsi="Times New Roman" w:eastAsia="Times New Roman" w:cs="Times New Roman"/>
        <w:color w:val="000000"/>
      </w:rPr>
      <w:fldChar w:fldCharType="end"/>
    </w:r>
  </w:p>
  <w:p>
    <w:pPr>
      <w:pBdr>
        <w:top w:val="none" w:color="auto" w:sz="0" w:space="0"/>
        <w:left w:val="none" w:color="auto" w:sz="0" w:space="0"/>
        <w:bottom w:val="none" w:color="auto" w:sz="0" w:space="0"/>
        <w:right w:val="none" w:color="auto" w:sz="0" w:space="0"/>
        <w:between w:val="none" w:color="auto" w:sz="0" w:space="0"/>
      </w:pBdr>
      <w:spacing w:line="240" w:lineRule="auto"/>
      <w:ind w:left="0" w:right="360" w:hanging="2"/>
      <w:jc w:val="center"/>
      <w:rPr>
        <w:rFonts w:eastAsia="Liberation Serif" w:cs="Liberation Serif"/>
        <w:color w:val="000000"/>
      </w:rPr>
    </w:pPr>
    <w:r>
      <w:rPr>
        <w:rFonts w:eastAsia="Liberation Serif" w:cs="Liberation Serif"/>
        <w:color w:val="000000"/>
        <w:sz w:val="20"/>
        <w:szCs w:val="20"/>
      </w:rPr>
      <w:t xml:space="preserve">Colegiado do Curso de História - Licenciatura </w:t>
    </w:r>
  </w:p>
  <w:p>
    <w:pPr>
      <w:pBdr>
        <w:top w:val="none" w:color="auto" w:sz="0" w:space="0"/>
        <w:left w:val="none" w:color="auto" w:sz="0" w:space="0"/>
        <w:bottom w:val="none" w:color="auto" w:sz="0" w:space="0"/>
        <w:right w:val="none" w:color="auto" w:sz="0" w:space="0"/>
        <w:between w:val="none" w:color="auto" w:sz="0" w:space="0"/>
      </w:pBdr>
      <w:spacing w:line="240" w:lineRule="auto"/>
      <w:ind w:left="0" w:right="360" w:hanging="2"/>
      <w:jc w:val="center"/>
      <w:rPr>
        <w:rFonts w:eastAsia="Liberation Serif" w:cs="Liberation Serif"/>
        <w:color w:val="000000"/>
      </w:rPr>
    </w:pPr>
    <w:r>
      <w:rPr>
        <w:rFonts w:eastAsia="Liberation Serif" w:cs="Liberation Serif"/>
        <w:color w:val="000000"/>
        <w:sz w:val="20"/>
        <w:szCs w:val="20"/>
      </w:rPr>
      <w:t>Contatos: Rua do Seminário s/n, Centro, Mariana - MG.</w:t>
    </w:r>
  </w:p>
  <w:p>
    <w:pPr>
      <w:pBdr>
        <w:top w:val="none" w:color="auto" w:sz="0" w:space="0"/>
        <w:left w:val="none" w:color="auto" w:sz="0" w:space="0"/>
        <w:bottom w:val="none" w:color="auto" w:sz="0" w:space="0"/>
        <w:right w:val="none" w:color="auto" w:sz="0" w:space="0"/>
        <w:between w:val="none" w:color="auto" w:sz="0" w:space="0"/>
      </w:pBdr>
      <w:spacing w:line="240" w:lineRule="auto"/>
      <w:ind w:left="0" w:right="-1" w:hanging="2"/>
      <w:jc w:val="center"/>
      <w:rPr>
        <w:rFonts w:eastAsia="Liberation Serif" w:cs="Liberation Serif"/>
        <w:color w:val="000000"/>
      </w:rPr>
    </w:pPr>
    <w:r>
      <w:rPr>
        <w:rFonts w:eastAsia="Liberation Serif" w:cs="Liberation Serif"/>
        <w:color w:val="000000"/>
        <w:sz w:val="20"/>
        <w:szCs w:val="20"/>
      </w:rPr>
      <w:t xml:space="preserve">CEP: 35420-000. Telefone: (31) 3557-9435. E-mail: </w:t>
    </w:r>
    <w:r>
      <w:fldChar w:fldCharType="begin"/>
    </w:r>
    <w:r>
      <w:instrText xml:space="preserve"> HYPERLINK "mailto:cohis@ichs.ufop.br" \h </w:instrText>
    </w:r>
    <w:r>
      <w:fldChar w:fldCharType="separate"/>
    </w:r>
    <w:r>
      <w:rPr>
        <w:rFonts w:eastAsia="Liberation Serif" w:cs="Liberation Serif"/>
        <w:color w:val="0000FF"/>
        <w:sz w:val="20"/>
        <w:szCs w:val="20"/>
        <w:u w:val="single"/>
      </w:rPr>
      <w:t>cohis@ufop.edu.br</w:t>
    </w:r>
    <w:r>
      <w:rPr>
        <w:rFonts w:eastAsia="Liberation Serif" w:cs="Liberation Serif"/>
        <w:color w:val="0000FF"/>
        <w:sz w:val="20"/>
        <w:szCs w:val="20"/>
        <w:u w:val="single"/>
      </w:rPr>
      <w:fldChar w:fldCharType="end"/>
    </w:r>
  </w:p>
  <w:p>
    <w:pPr>
      <w:pBdr>
        <w:top w:val="none" w:color="auto" w:sz="0" w:space="0"/>
        <w:left w:val="none" w:color="auto" w:sz="0" w:space="0"/>
        <w:bottom w:val="none" w:color="auto" w:sz="0" w:space="0"/>
        <w:right w:val="none" w:color="auto" w:sz="0" w:space="0"/>
        <w:between w:val="none" w:color="auto" w:sz="0" w:space="0"/>
      </w:pBdr>
      <w:tabs>
        <w:tab w:val="center" w:pos="4252"/>
        <w:tab w:val="right" w:pos="8504"/>
      </w:tabs>
      <w:spacing w:line="240" w:lineRule="auto"/>
      <w:ind w:left="0" w:hanging="2"/>
      <w:rPr>
        <w:rFonts w:eastAsia="Liberation Serif" w:cs="Liberation Serif"/>
        <w:color w:val="000000"/>
      </w:rPr>
    </w:pPr>
  </w:p>
  <w:p>
    <w:pPr>
      <w:pBdr>
        <w:top w:val="none" w:color="auto" w:sz="0" w:space="0"/>
        <w:left w:val="none" w:color="auto" w:sz="0" w:space="0"/>
        <w:bottom w:val="none" w:color="auto" w:sz="0" w:space="0"/>
        <w:right w:val="none" w:color="auto" w:sz="0" w:space="0"/>
        <w:between w:val="none" w:color="auto" w:sz="0" w:space="0"/>
      </w:pBdr>
      <w:tabs>
        <w:tab w:val="center" w:pos="4252"/>
        <w:tab w:val="right" w:pos="8504"/>
      </w:tabs>
      <w:spacing w:line="240" w:lineRule="auto"/>
      <w:ind w:left="0" w:hanging="2"/>
      <w:rPr>
        <w:rFonts w:eastAsia="Liberation Serif" w:cs="Liberation Serif"/>
        <w:color w:val="00000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hanging="2"/>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hanging="2"/>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tabs>
        <w:tab w:val="center" w:pos="4252"/>
        <w:tab w:val="right" w:pos="8504"/>
      </w:tabs>
      <w:spacing w:line="240" w:lineRule="auto"/>
      <w:ind w:left="0" w:hanging="2"/>
      <w:rPr>
        <w:rFonts w:eastAsia="Liberation Serif" w:cs="Liberation Serif"/>
        <w:color w:val="000000"/>
        <w:sz w:val="20"/>
        <w:szCs w:val="20"/>
      </w:rPr>
    </w:pPr>
    <w:r>
      <w:rPr>
        <w:rFonts w:ascii="Times New Roman" w:hAnsi="Times New Roman" w:eastAsia="Times New Roman" w:cs="Times New Roman"/>
        <w:color w:val="000000"/>
      </w:rPr>
      <w:fldChar w:fldCharType="begin"/>
    </w:r>
    <w:r>
      <w:rPr>
        <w:rFonts w:ascii="Times New Roman" w:hAnsi="Times New Roman" w:eastAsia="Times New Roman" w:cs="Times New Roman"/>
        <w:color w:val="000000"/>
      </w:rPr>
      <w:instrText xml:space="preserve">PAGE</w:instrText>
    </w:r>
    <w:r>
      <w:rPr>
        <w:rFonts w:ascii="Times New Roman" w:hAnsi="Times New Roman" w:eastAsia="Times New Roman" w:cs="Times New Roman"/>
        <w:color w:val="000000"/>
      </w:rPr>
      <w:fldChar w:fldCharType="separate"/>
    </w:r>
    <w:r>
      <w:rPr>
        <w:rFonts w:ascii="Times New Roman" w:hAnsi="Times New Roman" w:eastAsia="Times New Roman" w:cs="Times New Roman"/>
        <w:color w:val="000000"/>
      </w:rPr>
      <w:t>416</w:t>
    </w:r>
    <w:r>
      <w:rPr>
        <w:rFonts w:ascii="Times New Roman" w:hAnsi="Times New Roman" w:eastAsia="Times New Roman" w:cs="Times New Roman"/>
        <w:color w:val="000000"/>
      </w:rPr>
      <w:fldChar w:fldCharType="end"/>
    </w:r>
  </w:p>
  <w:p>
    <w:pPr>
      <w:pBdr>
        <w:top w:val="none" w:color="auto" w:sz="0" w:space="0"/>
        <w:left w:val="none" w:color="auto" w:sz="0" w:space="0"/>
        <w:bottom w:val="none" w:color="auto" w:sz="0" w:space="0"/>
        <w:right w:val="none" w:color="auto" w:sz="0" w:space="0"/>
        <w:between w:val="none" w:color="auto" w:sz="0" w:space="0"/>
      </w:pBdr>
      <w:spacing w:line="240" w:lineRule="auto"/>
      <w:ind w:left="0" w:right="360" w:hanging="2"/>
      <w:jc w:val="center"/>
      <w:rPr>
        <w:rFonts w:eastAsia="Liberation Serif" w:cs="Liberation Serif"/>
        <w:color w:val="000000"/>
      </w:rPr>
    </w:pPr>
    <w:r>
      <w:rPr>
        <w:rFonts w:eastAsia="Liberation Serif" w:cs="Liberation Serif"/>
        <w:color w:val="000000"/>
        <w:sz w:val="20"/>
        <w:szCs w:val="20"/>
      </w:rPr>
      <w:t xml:space="preserve">Colegiado do Curso de História - Licenciatura </w:t>
    </w:r>
  </w:p>
  <w:p>
    <w:pPr>
      <w:pBdr>
        <w:top w:val="none" w:color="auto" w:sz="0" w:space="0"/>
        <w:left w:val="none" w:color="auto" w:sz="0" w:space="0"/>
        <w:bottom w:val="none" w:color="auto" w:sz="0" w:space="0"/>
        <w:right w:val="none" w:color="auto" w:sz="0" w:space="0"/>
        <w:between w:val="none" w:color="auto" w:sz="0" w:space="0"/>
      </w:pBdr>
      <w:spacing w:line="240" w:lineRule="auto"/>
      <w:ind w:left="0" w:right="360" w:hanging="2"/>
      <w:jc w:val="center"/>
      <w:rPr>
        <w:rFonts w:eastAsia="Liberation Serif" w:cs="Liberation Serif"/>
        <w:color w:val="000000"/>
      </w:rPr>
    </w:pPr>
    <w:r>
      <w:rPr>
        <w:rFonts w:eastAsia="Liberation Serif" w:cs="Liberation Serif"/>
        <w:color w:val="000000"/>
        <w:sz w:val="20"/>
        <w:szCs w:val="20"/>
      </w:rPr>
      <w:t>Contatos: Rua do Seminário s/n, Centro, Mariana - MG.</w:t>
    </w:r>
  </w:p>
  <w:p>
    <w:pPr>
      <w:pBdr>
        <w:top w:val="none" w:color="auto" w:sz="0" w:space="0"/>
        <w:left w:val="none" w:color="auto" w:sz="0" w:space="0"/>
        <w:bottom w:val="none" w:color="auto" w:sz="0" w:space="0"/>
        <w:right w:val="none" w:color="auto" w:sz="0" w:space="0"/>
        <w:between w:val="none" w:color="auto" w:sz="0" w:space="0"/>
      </w:pBdr>
      <w:spacing w:line="240" w:lineRule="auto"/>
      <w:ind w:left="0" w:right="-1" w:hanging="2"/>
      <w:jc w:val="center"/>
      <w:rPr>
        <w:rFonts w:eastAsia="Liberation Serif" w:cs="Liberation Serif"/>
        <w:color w:val="000000"/>
      </w:rPr>
    </w:pPr>
    <w:r>
      <w:rPr>
        <w:rFonts w:eastAsia="Liberation Serif" w:cs="Liberation Serif"/>
        <w:color w:val="000000"/>
        <w:sz w:val="20"/>
        <w:szCs w:val="20"/>
      </w:rPr>
      <w:t xml:space="preserve">CEP: 35420-000. Telefone: (31) 3557-9435. E-mail: </w:t>
    </w:r>
    <w:r>
      <w:fldChar w:fldCharType="begin"/>
    </w:r>
    <w:r>
      <w:instrText xml:space="preserve"> HYPERLINK "mailto:cohis@ichs.ufop.br" \h </w:instrText>
    </w:r>
    <w:r>
      <w:fldChar w:fldCharType="separate"/>
    </w:r>
    <w:r>
      <w:rPr>
        <w:rFonts w:eastAsia="Liberation Serif" w:cs="Liberation Serif"/>
        <w:color w:val="0000FF"/>
        <w:sz w:val="20"/>
        <w:szCs w:val="20"/>
        <w:u w:val="single"/>
      </w:rPr>
      <w:t>cohis@ufop.edu.br</w:t>
    </w:r>
    <w:r>
      <w:rPr>
        <w:rFonts w:eastAsia="Liberation Serif" w:cs="Liberation Serif"/>
        <w:color w:val="0000FF"/>
        <w:sz w:val="20"/>
        <w:szCs w:val="20"/>
        <w:u w:val="single"/>
      </w:rPr>
      <w:fldChar w:fldCharType="end"/>
    </w:r>
  </w:p>
  <w:p>
    <w:pPr>
      <w:pBdr>
        <w:top w:val="none" w:color="auto" w:sz="0" w:space="0"/>
        <w:left w:val="none" w:color="auto" w:sz="0" w:space="0"/>
        <w:bottom w:val="none" w:color="auto" w:sz="0" w:space="0"/>
        <w:right w:val="none" w:color="auto" w:sz="0" w:space="0"/>
        <w:between w:val="none" w:color="auto" w:sz="0" w:space="0"/>
      </w:pBdr>
      <w:tabs>
        <w:tab w:val="center" w:pos="4252"/>
        <w:tab w:val="right" w:pos="8504"/>
      </w:tabs>
      <w:spacing w:line="240" w:lineRule="auto"/>
      <w:ind w:left="0" w:hanging="2"/>
      <w:rPr>
        <w:rFonts w:eastAsia="Liberation Serif" w:cs="Liberation Serif"/>
        <w:color w:val="000000"/>
      </w:rPr>
    </w:pPr>
  </w:p>
  <w:p>
    <w:pPr>
      <w:pBdr>
        <w:top w:val="none" w:color="auto" w:sz="0" w:space="0"/>
        <w:left w:val="none" w:color="auto" w:sz="0" w:space="0"/>
        <w:bottom w:val="none" w:color="auto" w:sz="0" w:space="0"/>
        <w:right w:val="none" w:color="auto" w:sz="0" w:space="0"/>
        <w:between w:val="none" w:color="auto" w:sz="0" w:space="0"/>
      </w:pBdr>
      <w:tabs>
        <w:tab w:val="center" w:pos="4252"/>
        <w:tab w:val="right" w:pos="8504"/>
      </w:tabs>
      <w:spacing w:line="240" w:lineRule="auto"/>
      <w:ind w:left="0" w:hanging="2"/>
      <w:rPr>
        <w:rFonts w:eastAsia="Liberation Serif" w:cs="Liberation Serif"/>
        <w:color w:val="00000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hanging="2"/>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hanging="2"/>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tabs>
        <w:tab w:val="center" w:pos="4252"/>
        <w:tab w:val="right" w:pos="8504"/>
      </w:tabs>
      <w:spacing w:line="240" w:lineRule="auto"/>
      <w:ind w:left="0" w:hanging="2"/>
      <w:rPr>
        <w:rFonts w:eastAsia="Liberation Serif" w:cs="Liberation Serif"/>
        <w:color w:val="000000"/>
        <w:sz w:val="20"/>
        <w:szCs w:val="20"/>
      </w:rPr>
    </w:pPr>
    <w:r>
      <w:rPr>
        <w:rFonts w:eastAsia="Liberation Serif" w:cs="Liberation Serif"/>
        <w:color w:val="000000"/>
      </w:rPr>
      <w:fldChar w:fldCharType="begin"/>
    </w:r>
    <w:r>
      <w:rPr>
        <w:rFonts w:eastAsia="Liberation Serif" w:cs="Liberation Serif"/>
        <w:color w:val="000000"/>
      </w:rPr>
      <w:instrText xml:space="preserve">PAGE</w:instrText>
    </w:r>
    <w:r>
      <w:rPr>
        <w:rFonts w:eastAsia="Liberation Serif" w:cs="Liberation Serif"/>
        <w:color w:val="000000"/>
      </w:rPr>
      <w:fldChar w:fldCharType="separate"/>
    </w:r>
    <w:r>
      <w:rPr>
        <w:rFonts w:eastAsia="Liberation Serif" w:cs="Liberation Serif"/>
        <w:color w:val="000000"/>
      </w:rPr>
      <w:t>437</w:t>
    </w:r>
    <w:r>
      <w:rPr>
        <w:rFonts w:eastAsia="Liberation Serif" w:cs="Liberation Serif"/>
        <w:color w:val="000000"/>
      </w:rPr>
      <w:fldChar w:fldCharType="end"/>
    </w:r>
  </w:p>
  <w:p>
    <w:pPr>
      <w:pBdr>
        <w:top w:val="none" w:color="auto" w:sz="0" w:space="0"/>
        <w:left w:val="none" w:color="auto" w:sz="0" w:space="0"/>
        <w:bottom w:val="none" w:color="auto" w:sz="0" w:space="0"/>
        <w:right w:val="none" w:color="auto" w:sz="0" w:space="0"/>
        <w:between w:val="none" w:color="auto" w:sz="0" w:space="0"/>
      </w:pBdr>
      <w:spacing w:line="240" w:lineRule="auto"/>
      <w:ind w:left="0" w:right="360" w:hanging="2"/>
      <w:jc w:val="center"/>
      <w:rPr>
        <w:rFonts w:eastAsia="Liberation Serif" w:cs="Liberation Serif"/>
        <w:color w:val="000000"/>
      </w:rPr>
    </w:pPr>
    <w:r>
      <w:rPr>
        <w:rFonts w:eastAsia="Liberation Serif" w:cs="Liberation Serif"/>
        <w:color w:val="000000"/>
        <w:sz w:val="20"/>
        <w:szCs w:val="20"/>
      </w:rPr>
      <w:t xml:space="preserve">Colegiado do Curso de História - Licenciatura </w:t>
    </w:r>
  </w:p>
  <w:p>
    <w:pPr>
      <w:pBdr>
        <w:top w:val="none" w:color="auto" w:sz="0" w:space="0"/>
        <w:left w:val="none" w:color="auto" w:sz="0" w:space="0"/>
        <w:bottom w:val="none" w:color="auto" w:sz="0" w:space="0"/>
        <w:right w:val="none" w:color="auto" w:sz="0" w:space="0"/>
        <w:between w:val="none" w:color="auto" w:sz="0" w:space="0"/>
      </w:pBdr>
      <w:spacing w:line="240" w:lineRule="auto"/>
      <w:ind w:left="0" w:right="360" w:hanging="2"/>
      <w:jc w:val="center"/>
      <w:rPr>
        <w:rFonts w:eastAsia="Liberation Serif" w:cs="Liberation Serif"/>
        <w:color w:val="000000"/>
      </w:rPr>
    </w:pPr>
    <w:r>
      <w:rPr>
        <w:rFonts w:eastAsia="Liberation Serif" w:cs="Liberation Serif"/>
        <w:color w:val="000000"/>
        <w:sz w:val="20"/>
        <w:szCs w:val="20"/>
      </w:rPr>
      <w:t>Contatos: Rua do Seminário s/n, Centro, Mariana - MG.</w:t>
    </w:r>
  </w:p>
  <w:p>
    <w:pPr>
      <w:pBdr>
        <w:top w:val="none" w:color="auto" w:sz="0" w:space="0"/>
        <w:left w:val="none" w:color="auto" w:sz="0" w:space="0"/>
        <w:bottom w:val="none" w:color="auto" w:sz="0" w:space="0"/>
        <w:right w:val="none" w:color="auto" w:sz="0" w:space="0"/>
        <w:between w:val="none" w:color="auto" w:sz="0" w:space="0"/>
      </w:pBdr>
      <w:spacing w:line="240" w:lineRule="auto"/>
      <w:ind w:left="0" w:right="-1" w:hanging="2"/>
      <w:jc w:val="center"/>
      <w:rPr>
        <w:rFonts w:eastAsia="Liberation Serif" w:cs="Liberation Serif"/>
        <w:color w:val="000000"/>
      </w:rPr>
    </w:pPr>
    <w:r>
      <w:rPr>
        <w:rFonts w:eastAsia="Liberation Serif" w:cs="Liberation Serif"/>
        <w:color w:val="000000"/>
        <w:sz w:val="20"/>
        <w:szCs w:val="20"/>
      </w:rPr>
      <w:t xml:space="preserve">CEP: 35420-000. Telefone: (31) 3557-9435. E-mail: </w:t>
    </w:r>
    <w:r>
      <w:fldChar w:fldCharType="begin"/>
    </w:r>
    <w:r>
      <w:instrText xml:space="preserve"> HYPERLINK "mailto:cohis@ichs.ufop.br" \h </w:instrText>
    </w:r>
    <w:r>
      <w:fldChar w:fldCharType="separate"/>
    </w:r>
    <w:r>
      <w:rPr>
        <w:rFonts w:eastAsia="Liberation Serif" w:cs="Liberation Serif"/>
        <w:color w:val="0000FF"/>
        <w:sz w:val="20"/>
        <w:szCs w:val="20"/>
        <w:u w:val="single"/>
      </w:rPr>
      <w:t>cohis@ufop.edu.br</w:t>
    </w:r>
    <w:r>
      <w:rPr>
        <w:rFonts w:eastAsia="Liberation Serif" w:cs="Liberation Serif"/>
        <w:color w:val="0000FF"/>
        <w:sz w:val="20"/>
        <w:szCs w:val="20"/>
        <w:u w:val="single"/>
      </w:rPr>
      <w:fldChar w:fldCharType="end"/>
    </w:r>
  </w:p>
  <w:p>
    <w:pPr>
      <w:pBdr>
        <w:top w:val="none" w:color="auto" w:sz="0" w:space="0"/>
        <w:left w:val="none" w:color="auto" w:sz="0" w:space="0"/>
        <w:bottom w:val="none" w:color="auto" w:sz="0" w:space="0"/>
        <w:right w:val="none" w:color="auto" w:sz="0" w:space="0"/>
        <w:between w:val="none" w:color="auto" w:sz="0" w:space="0"/>
      </w:pBdr>
      <w:tabs>
        <w:tab w:val="center" w:pos="4252"/>
        <w:tab w:val="right" w:pos="8504"/>
      </w:tabs>
      <w:spacing w:line="240" w:lineRule="auto"/>
      <w:ind w:left="0" w:hanging="2"/>
      <w:rPr>
        <w:rFonts w:eastAsia="Liberation Serif" w:cs="Liberation Serif"/>
        <w:color w:val="000000"/>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hanging="2"/>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tabs>
        <w:tab w:val="center" w:pos="4252"/>
        <w:tab w:val="right" w:pos="8504"/>
      </w:tabs>
      <w:spacing w:line="240" w:lineRule="auto"/>
      <w:ind w:left="0" w:hanging="2"/>
      <w:rPr>
        <w:rFonts w:eastAsia="Liberation Serif" w:cs="Liberation Serif"/>
        <w:color w:val="000000"/>
        <w:sz w:val="20"/>
        <w:szCs w:val="20"/>
      </w:rPr>
    </w:pPr>
    <w:r>
      <w:rPr>
        <w:rFonts w:ascii="Times New Roman" w:hAnsi="Times New Roman" w:eastAsia="Times New Roman" w:cs="Times New Roman"/>
        <w:color w:val="000000"/>
      </w:rPr>
      <w:fldChar w:fldCharType="begin"/>
    </w:r>
    <w:r>
      <w:rPr>
        <w:rFonts w:ascii="Times New Roman" w:hAnsi="Times New Roman" w:eastAsia="Times New Roman" w:cs="Times New Roman"/>
        <w:color w:val="000000"/>
      </w:rPr>
      <w:instrText xml:space="preserve">PAGE</w:instrText>
    </w:r>
    <w:r>
      <w:rPr>
        <w:rFonts w:ascii="Times New Roman" w:hAnsi="Times New Roman" w:eastAsia="Times New Roman" w:cs="Times New Roman"/>
        <w:color w:val="000000"/>
      </w:rPr>
      <w:fldChar w:fldCharType="separate"/>
    </w:r>
    <w:r>
      <w:rPr>
        <w:rFonts w:ascii="Times New Roman" w:hAnsi="Times New Roman" w:eastAsia="Times New Roman" w:cs="Times New Roman"/>
        <w:color w:val="000000"/>
      </w:rPr>
      <w:t>141</w:t>
    </w:r>
    <w:r>
      <w:rPr>
        <w:rFonts w:ascii="Times New Roman" w:hAnsi="Times New Roman" w:eastAsia="Times New Roman" w:cs="Times New Roman"/>
        <w:color w:val="000000"/>
      </w:rPr>
      <w:fldChar w:fldCharType="end"/>
    </w:r>
  </w:p>
  <w:p>
    <w:pPr>
      <w:pBdr>
        <w:top w:val="none" w:color="auto" w:sz="0" w:space="0"/>
        <w:left w:val="none" w:color="auto" w:sz="0" w:space="0"/>
        <w:bottom w:val="none" w:color="auto" w:sz="0" w:space="0"/>
        <w:right w:val="none" w:color="auto" w:sz="0" w:space="0"/>
        <w:between w:val="none" w:color="auto" w:sz="0" w:space="0"/>
      </w:pBdr>
      <w:spacing w:line="240" w:lineRule="auto"/>
      <w:ind w:left="0" w:right="360" w:hanging="2"/>
      <w:jc w:val="center"/>
      <w:rPr>
        <w:rFonts w:eastAsia="Liberation Serif" w:cs="Liberation Serif"/>
        <w:color w:val="000000"/>
      </w:rPr>
    </w:pPr>
    <w:r>
      <w:rPr>
        <w:rFonts w:eastAsia="Liberation Serif" w:cs="Liberation Serif"/>
        <w:color w:val="000000"/>
        <w:sz w:val="20"/>
        <w:szCs w:val="20"/>
      </w:rPr>
      <w:t xml:space="preserve">Colegiado do Curso de História - Licenciatura </w:t>
    </w:r>
  </w:p>
  <w:p>
    <w:pPr>
      <w:pBdr>
        <w:top w:val="none" w:color="auto" w:sz="0" w:space="0"/>
        <w:left w:val="none" w:color="auto" w:sz="0" w:space="0"/>
        <w:bottom w:val="none" w:color="auto" w:sz="0" w:space="0"/>
        <w:right w:val="none" w:color="auto" w:sz="0" w:space="0"/>
        <w:between w:val="none" w:color="auto" w:sz="0" w:space="0"/>
      </w:pBdr>
      <w:spacing w:line="240" w:lineRule="auto"/>
      <w:ind w:left="0" w:right="360" w:hanging="2"/>
      <w:jc w:val="center"/>
      <w:rPr>
        <w:rFonts w:eastAsia="Liberation Serif" w:cs="Liberation Serif"/>
        <w:color w:val="000000"/>
      </w:rPr>
    </w:pPr>
    <w:r>
      <w:rPr>
        <w:rFonts w:eastAsia="Liberation Serif" w:cs="Liberation Serif"/>
        <w:color w:val="000000"/>
        <w:sz w:val="20"/>
        <w:szCs w:val="20"/>
      </w:rPr>
      <w:t>Contatos: Rua do Seminário s/n, Centro, Mariana - MG.</w:t>
    </w:r>
  </w:p>
  <w:p>
    <w:pPr>
      <w:pBdr>
        <w:top w:val="none" w:color="auto" w:sz="0" w:space="0"/>
        <w:left w:val="none" w:color="auto" w:sz="0" w:space="0"/>
        <w:bottom w:val="none" w:color="auto" w:sz="0" w:space="0"/>
        <w:right w:val="none" w:color="auto" w:sz="0" w:space="0"/>
        <w:between w:val="none" w:color="auto" w:sz="0" w:space="0"/>
      </w:pBdr>
      <w:spacing w:line="240" w:lineRule="auto"/>
      <w:ind w:left="0" w:right="-1" w:hanging="2"/>
      <w:jc w:val="center"/>
      <w:rPr>
        <w:rFonts w:eastAsia="Liberation Serif" w:cs="Liberation Serif"/>
        <w:color w:val="000000"/>
      </w:rPr>
    </w:pPr>
    <w:r>
      <w:rPr>
        <w:rFonts w:eastAsia="Liberation Serif" w:cs="Liberation Serif"/>
        <w:color w:val="000000"/>
        <w:sz w:val="20"/>
        <w:szCs w:val="20"/>
      </w:rPr>
      <w:t xml:space="preserve">CEP: 35420-000. Telefone: (31) 3557-9435. E-mail: </w:t>
    </w:r>
    <w:r>
      <w:fldChar w:fldCharType="begin"/>
    </w:r>
    <w:r>
      <w:instrText xml:space="preserve"> HYPERLINK "mailto:cohis@ichs.ufop.br" \h </w:instrText>
    </w:r>
    <w:r>
      <w:fldChar w:fldCharType="separate"/>
    </w:r>
    <w:r>
      <w:rPr>
        <w:rFonts w:eastAsia="Liberation Serif" w:cs="Liberation Serif"/>
        <w:color w:val="0000FF"/>
        <w:sz w:val="20"/>
        <w:szCs w:val="20"/>
        <w:u w:val="single"/>
      </w:rPr>
      <w:t>cohis@ufop.edu.br</w:t>
    </w:r>
    <w:r>
      <w:rPr>
        <w:rFonts w:eastAsia="Liberation Serif" w:cs="Liberation Serif"/>
        <w:color w:val="0000FF"/>
        <w:sz w:val="20"/>
        <w:szCs w:val="20"/>
        <w:u w:val="single"/>
      </w:rPr>
      <w:fldChar w:fldCharType="end"/>
    </w:r>
  </w:p>
  <w:p>
    <w:pPr>
      <w:pBdr>
        <w:top w:val="none" w:color="auto" w:sz="0" w:space="0"/>
        <w:left w:val="none" w:color="auto" w:sz="0" w:space="0"/>
        <w:bottom w:val="none" w:color="auto" w:sz="0" w:space="0"/>
        <w:right w:val="none" w:color="auto" w:sz="0" w:space="0"/>
        <w:between w:val="none" w:color="auto" w:sz="0" w:space="0"/>
      </w:pBdr>
      <w:tabs>
        <w:tab w:val="center" w:pos="4252"/>
        <w:tab w:val="right" w:pos="8504"/>
      </w:tabs>
      <w:spacing w:line="240" w:lineRule="auto"/>
      <w:ind w:left="0" w:hanging="2"/>
      <w:rPr>
        <w:rFonts w:eastAsia="Liberation Serif" w:cs="Liberation Serif"/>
        <w:color w:val="000000"/>
      </w:rPr>
    </w:pPr>
  </w:p>
  <w:p>
    <w:pPr>
      <w:pBdr>
        <w:top w:val="none" w:color="auto" w:sz="0" w:space="0"/>
        <w:left w:val="none" w:color="auto" w:sz="0" w:space="0"/>
        <w:bottom w:val="none" w:color="auto" w:sz="0" w:space="0"/>
        <w:right w:val="none" w:color="auto" w:sz="0" w:space="0"/>
        <w:between w:val="none" w:color="auto" w:sz="0" w:space="0"/>
      </w:pBdr>
      <w:tabs>
        <w:tab w:val="center" w:pos="4252"/>
        <w:tab w:val="right" w:pos="8504"/>
      </w:tabs>
      <w:spacing w:line="240" w:lineRule="auto"/>
      <w:ind w:left="0" w:hanging="2"/>
      <w:rPr>
        <w:rFonts w:eastAsia="Liberation Serif" w:cs="Liberation Serif"/>
        <w:color w:val="000000"/>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tabs>
        <w:tab w:val="center" w:pos="4252"/>
        <w:tab w:val="right" w:pos="8504"/>
      </w:tabs>
      <w:spacing w:line="240" w:lineRule="auto"/>
      <w:ind w:left="0" w:hanging="2"/>
      <w:rPr>
        <w:rFonts w:eastAsia="Liberation Serif" w:cs="Liberation Serif"/>
        <w:color w:val="000000"/>
        <w:sz w:val="20"/>
        <w:szCs w:val="20"/>
      </w:rPr>
    </w:pPr>
    <w:r>
      <w:rPr>
        <w:rFonts w:eastAsia="Liberation Serif" w:cs="Liberation Serif"/>
        <w:color w:val="000000"/>
      </w:rPr>
      <w:fldChar w:fldCharType="begin"/>
    </w:r>
    <w:r>
      <w:rPr>
        <w:rFonts w:eastAsia="Liberation Serif" w:cs="Liberation Serif"/>
        <w:color w:val="000000"/>
      </w:rPr>
      <w:instrText xml:space="preserve">PAGE</w:instrText>
    </w:r>
    <w:r>
      <w:rPr>
        <w:rFonts w:eastAsia="Liberation Serif" w:cs="Liberation Serif"/>
        <w:color w:val="000000"/>
      </w:rPr>
      <w:fldChar w:fldCharType="separate"/>
    </w:r>
    <w:r>
      <w:rPr>
        <w:rFonts w:eastAsia="Liberation Serif" w:cs="Liberation Serif"/>
        <w:color w:val="000000"/>
      </w:rPr>
      <w:t>438</w:t>
    </w:r>
    <w:r>
      <w:rPr>
        <w:rFonts w:eastAsia="Liberation Serif" w:cs="Liberation Serif"/>
        <w:color w:val="000000"/>
      </w:rPr>
      <w:fldChar w:fldCharType="end"/>
    </w:r>
  </w:p>
  <w:p>
    <w:pPr>
      <w:pBdr>
        <w:top w:val="none" w:color="auto" w:sz="0" w:space="0"/>
        <w:left w:val="none" w:color="auto" w:sz="0" w:space="0"/>
        <w:bottom w:val="none" w:color="auto" w:sz="0" w:space="0"/>
        <w:right w:val="none" w:color="auto" w:sz="0" w:space="0"/>
        <w:between w:val="none" w:color="auto" w:sz="0" w:space="0"/>
      </w:pBdr>
      <w:spacing w:line="240" w:lineRule="auto"/>
      <w:ind w:left="0" w:right="360" w:hanging="2"/>
      <w:jc w:val="center"/>
      <w:rPr>
        <w:rFonts w:eastAsia="Liberation Serif" w:cs="Liberation Serif"/>
        <w:color w:val="000000"/>
      </w:rPr>
    </w:pPr>
    <w:r>
      <w:rPr>
        <w:rFonts w:eastAsia="Liberation Serif" w:cs="Liberation Serif"/>
        <w:color w:val="000000"/>
        <w:sz w:val="20"/>
        <w:szCs w:val="20"/>
      </w:rPr>
      <w:t xml:space="preserve">Colegiado do Curso de História - Licenciatura </w:t>
    </w:r>
  </w:p>
  <w:p>
    <w:pPr>
      <w:pBdr>
        <w:top w:val="none" w:color="auto" w:sz="0" w:space="0"/>
        <w:left w:val="none" w:color="auto" w:sz="0" w:space="0"/>
        <w:bottom w:val="none" w:color="auto" w:sz="0" w:space="0"/>
        <w:right w:val="none" w:color="auto" w:sz="0" w:space="0"/>
        <w:between w:val="none" w:color="auto" w:sz="0" w:space="0"/>
      </w:pBdr>
      <w:spacing w:line="240" w:lineRule="auto"/>
      <w:ind w:left="0" w:right="360" w:hanging="2"/>
      <w:jc w:val="center"/>
      <w:rPr>
        <w:rFonts w:eastAsia="Liberation Serif" w:cs="Liberation Serif"/>
        <w:color w:val="000000"/>
      </w:rPr>
    </w:pPr>
    <w:r>
      <w:rPr>
        <w:rFonts w:eastAsia="Liberation Serif" w:cs="Liberation Serif"/>
        <w:color w:val="000000"/>
        <w:sz w:val="20"/>
        <w:szCs w:val="20"/>
      </w:rPr>
      <w:t>Contatos: Rua do Seminário s/n, Centro, Mariana - MG.</w:t>
    </w:r>
  </w:p>
  <w:p>
    <w:pPr>
      <w:pBdr>
        <w:top w:val="none" w:color="auto" w:sz="0" w:space="0"/>
        <w:left w:val="none" w:color="auto" w:sz="0" w:space="0"/>
        <w:bottom w:val="none" w:color="auto" w:sz="0" w:space="0"/>
        <w:right w:val="none" w:color="auto" w:sz="0" w:space="0"/>
        <w:between w:val="none" w:color="auto" w:sz="0" w:space="0"/>
      </w:pBdr>
      <w:spacing w:line="240" w:lineRule="auto"/>
      <w:ind w:left="0" w:right="-1" w:hanging="2"/>
      <w:jc w:val="center"/>
      <w:rPr>
        <w:rFonts w:eastAsia="Liberation Serif" w:cs="Liberation Serif"/>
        <w:color w:val="000000"/>
      </w:rPr>
    </w:pPr>
    <w:r>
      <w:rPr>
        <w:rFonts w:eastAsia="Liberation Serif" w:cs="Liberation Serif"/>
        <w:color w:val="000000"/>
        <w:sz w:val="20"/>
        <w:szCs w:val="20"/>
      </w:rPr>
      <w:t xml:space="preserve">CEP: 35420-000. Telefone: (31) 3557-9435. E-mail: </w:t>
    </w:r>
    <w:r>
      <w:fldChar w:fldCharType="begin"/>
    </w:r>
    <w:r>
      <w:instrText xml:space="preserve"> HYPERLINK "mailto:cohis@ichs.ufop.br" \h </w:instrText>
    </w:r>
    <w:r>
      <w:fldChar w:fldCharType="separate"/>
    </w:r>
    <w:r>
      <w:rPr>
        <w:rFonts w:eastAsia="Liberation Serif" w:cs="Liberation Serif"/>
        <w:color w:val="0000FF"/>
        <w:sz w:val="20"/>
        <w:szCs w:val="20"/>
        <w:u w:val="single"/>
      </w:rPr>
      <w:t>cohis@ufop.edu.br</w:t>
    </w:r>
    <w:r>
      <w:rPr>
        <w:rFonts w:eastAsia="Liberation Serif" w:cs="Liberation Serif"/>
        <w:color w:val="0000FF"/>
        <w:sz w:val="20"/>
        <w:szCs w:val="20"/>
        <w:u w:val="single"/>
      </w:rPr>
      <w:fldChar w:fldCharType="end"/>
    </w:r>
  </w:p>
  <w:p>
    <w:pPr>
      <w:pBdr>
        <w:top w:val="none" w:color="auto" w:sz="0" w:space="0"/>
        <w:left w:val="none" w:color="auto" w:sz="0" w:space="0"/>
        <w:bottom w:val="none" w:color="auto" w:sz="0" w:space="0"/>
        <w:right w:val="none" w:color="auto" w:sz="0" w:space="0"/>
        <w:between w:val="none" w:color="auto" w:sz="0" w:space="0"/>
      </w:pBdr>
      <w:tabs>
        <w:tab w:val="center" w:pos="4252"/>
        <w:tab w:val="right" w:pos="8504"/>
      </w:tabs>
      <w:spacing w:line="240" w:lineRule="auto"/>
      <w:ind w:left="0" w:hanging="2"/>
      <w:rPr>
        <w:rFonts w:eastAsia="Liberation Serif" w:cs="Liberation Serif"/>
        <w:color w:val="000000"/>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hanging="2"/>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hanging="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hanging="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tabs>
        <w:tab w:val="center" w:pos="4252"/>
        <w:tab w:val="right" w:pos="8504"/>
      </w:tabs>
      <w:spacing w:line="240" w:lineRule="auto"/>
      <w:ind w:left="0" w:hanging="2"/>
      <w:rPr>
        <w:rFonts w:eastAsia="Liberation Serif" w:cs="Liberation Serif"/>
        <w:color w:val="000000"/>
        <w:sz w:val="20"/>
        <w:szCs w:val="20"/>
      </w:rPr>
    </w:pPr>
    <w:r>
      <w:rPr>
        <w:rFonts w:ascii="Times New Roman" w:hAnsi="Times New Roman" w:eastAsia="Times New Roman" w:cs="Times New Roman"/>
        <w:color w:val="000000"/>
      </w:rPr>
      <w:fldChar w:fldCharType="begin"/>
    </w:r>
    <w:r>
      <w:rPr>
        <w:rFonts w:ascii="Times New Roman" w:hAnsi="Times New Roman" w:eastAsia="Times New Roman" w:cs="Times New Roman"/>
        <w:color w:val="000000"/>
      </w:rPr>
      <w:instrText xml:space="preserve">PAGE</w:instrText>
    </w:r>
    <w:r>
      <w:rPr>
        <w:rFonts w:ascii="Times New Roman" w:hAnsi="Times New Roman" w:eastAsia="Times New Roman" w:cs="Times New Roman"/>
        <w:color w:val="000000"/>
      </w:rPr>
      <w:fldChar w:fldCharType="separate"/>
    </w:r>
    <w:r>
      <w:rPr>
        <w:rFonts w:ascii="Times New Roman" w:hAnsi="Times New Roman" w:eastAsia="Times New Roman" w:cs="Times New Roman"/>
        <w:color w:val="000000"/>
      </w:rPr>
      <w:t>157</w:t>
    </w:r>
    <w:r>
      <w:rPr>
        <w:rFonts w:ascii="Times New Roman" w:hAnsi="Times New Roman" w:eastAsia="Times New Roman" w:cs="Times New Roman"/>
        <w:color w:val="000000"/>
      </w:rPr>
      <w:fldChar w:fldCharType="end"/>
    </w:r>
  </w:p>
  <w:p>
    <w:pPr>
      <w:pBdr>
        <w:top w:val="none" w:color="auto" w:sz="0" w:space="0"/>
        <w:left w:val="none" w:color="auto" w:sz="0" w:space="0"/>
        <w:bottom w:val="none" w:color="auto" w:sz="0" w:space="0"/>
        <w:right w:val="none" w:color="auto" w:sz="0" w:space="0"/>
        <w:between w:val="none" w:color="auto" w:sz="0" w:space="0"/>
      </w:pBdr>
      <w:spacing w:line="240" w:lineRule="auto"/>
      <w:ind w:left="0" w:right="360" w:hanging="2"/>
      <w:jc w:val="center"/>
      <w:rPr>
        <w:rFonts w:eastAsia="Liberation Serif" w:cs="Liberation Serif"/>
        <w:color w:val="000000"/>
      </w:rPr>
    </w:pPr>
    <w:r>
      <w:rPr>
        <w:rFonts w:eastAsia="Liberation Serif" w:cs="Liberation Serif"/>
        <w:color w:val="000000"/>
        <w:sz w:val="20"/>
        <w:szCs w:val="20"/>
      </w:rPr>
      <w:t xml:space="preserve">Colegiado do Curso de História - Licenciatura </w:t>
    </w:r>
  </w:p>
  <w:p>
    <w:pPr>
      <w:pBdr>
        <w:top w:val="none" w:color="auto" w:sz="0" w:space="0"/>
        <w:left w:val="none" w:color="auto" w:sz="0" w:space="0"/>
        <w:bottom w:val="none" w:color="auto" w:sz="0" w:space="0"/>
        <w:right w:val="none" w:color="auto" w:sz="0" w:space="0"/>
        <w:between w:val="none" w:color="auto" w:sz="0" w:space="0"/>
      </w:pBdr>
      <w:spacing w:line="240" w:lineRule="auto"/>
      <w:ind w:left="0" w:right="360" w:hanging="2"/>
      <w:jc w:val="center"/>
      <w:rPr>
        <w:rFonts w:eastAsia="Liberation Serif" w:cs="Liberation Serif"/>
        <w:color w:val="000000"/>
      </w:rPr>
    </w:pPr>
    <w:r>
      <w:rPr>
        <w:rFonts w:eastAsia="Liberation Serif" w:cs="Liberation Serif"/>
        <w:color w:val="000000"/>
        <w:sz w:val="20"/>
        <w:szCs w:val="20"/>
      </w:rPr>
      <w:t>Contatos: Rua do Seminário s/n, Centro, Mariana - MG.</w:t>
    </w:r>
  </w:p>
  <w:p>
    <w:pPr>
      <w:pBdr>
        <w:top w:val="none" w:color="auto" w:sz="0" w:space="0"/>
        <w:left w:val="none" w:color="auto" w:sz="0" w:space="0"/>
        <w:bottom w:val="none" w:color="auto" w:sz="0" w:space="0"/>
        <w:right w:val="none" w:color="auto" w:sz="0" w:space="0"/>
        <w:between w:val="none" w:color="auto" w:sz="0" w:space="0"/>
      </w:pBdr>
      <w:spacing w:line="240" w:lineRule="auto"/>
      <w:ind w:left="0" w:right="-1" w:hanging="2"/>
      <w:jc w:val="center"/>
      <w:rPr>
        <w:rFonts w:eastAsia="Liberation Serif" w:cs="Liberation Serif"/>
        <w:color w:val="000000"/>
      </w:rPr>
    </w:pPr>
    <w:r>
      <w:rPr>
        <w:rFonts w:eastAsia="Liberation Serif" w:cs="Liberation Serif"/>
        <w:color w:val="000000"/>
        <w:sz w:val="20"/>
        <w:szCs w:val="20"/>
      </w:rPr>
      <w:t xml:space="preserve">CEP: 35420-000. Telefone: (31) 3557-9435. E-mail: </w:t>
    </w:r>
    <w:r>
      <w:fldChar w:fldCharType="begin"/>
    </w:r>
    <w:r>
      <w:instrText xml:space="preserve"> HYPERLINK "mailto:cohis@ichs.ufop.br" \h </w:instrText>
    </w:r>
    <w:r>
      <w:fldChar w:fldCharType="separate"/>
    </w:r>
    <w:r>
      <w:rPr>
        <w:rFonts w:eastAsia="Liberation Serif" w:cs="Liberation Serif"/>
        <w:color w:val="0000FF"/>
        <w:sz w:val="20"/>
        <w:szCs w:val="20"/>
        <w:u w:val="single"/>
      </w:rPr>
      <w:t>cohis@ufop.edu.br</w:t>
    </w:r>
    <w:r>
      <w:rPr>
        <w:rFonts w:eastAsia="Liberation Serif" w:cs="Liberation Serif"/>
        <w:color w:val="0000FF"/>
        <w:sz w:val="20"/>
        <w:szCs w:val="20"/>
        <w:u w:val="single"/>
      </w:rPr>
      <w:fldChar w:fldCharType="end"/>
    </w:r>
  </w:p>
  <w:p>
    <w:pPr>
      <w:pBdr>
        <w:top w:val="none" w:color="auto" w:sz="0" w:space="0"/>
        <w:left w:val="none" w:color="auto" w:sz="0" w:space="0"/>
        <w:bottom w:val="none" w:color="auto" w:sz="0" w:space="0"/>
        <w:right w:val="none" w:color="auto" w:sz="0" w:space="0"/>
        <w:between w:val="none" w:color="auto" w:sz="0" w:space="0"/>
      </w:pBdr>
      <w:tabs>
        <w:tab w:val="center" w:pos="4252"/>
        <w:tab w:val="right" w:pos="8504"/>
      </w:tabs>
      <w:spacing w:line="240" w:lineRule="auto"/>
      <w:ind w:left="0" w:hanging="2"/>
      <w:rPr>
        <w:rFonts w:eastAsia="Liberation Serif" w:cs="Liberation Serif"/>
        <w:color w:val="000000"/>
      </w:rPr>
    </w:pPr>
  </w:p>
  <w:p>
    <w:pPr>
      <w:pBdr>
        <w:top w:val="none" w:color="auto" w:sz="0" w:space="0"/>
        <w:left w:val="none" w:color="auto" w:sz="0" w:space="0"/>
        <w:bottom w:val="none" w:color="auto" w:sz="0" w:space="0"/>
        <w:right w:val="none" w:color="auto" w:sz="0" w:space="0"/>
        <w:between w:val="none" w:color="auto" w:sz="0" w:space="0"/>
      </w:pBdr>
      <w:tabs>
        <w:tab w:val="center" w:pos="4252"/>
        <w:tab w:val="right" w:pos="8504"/>
      </w:tabs>
      <w:spacing w:line="240" w:lineRule="auto"/>
      <w:ind w:left="0" w:hanging="2"/>
      <w:rPr>
        <w:rFonts w:eastAsia="Liberation Serif" w:cs="Liberation Serif"/>
        <w:color w:val="00000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hanging="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hanging="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tabs>
        <w:tab w:val="center" w:pos="4252"/>
        <w:tab w:val="right" w:pos="8504"/>
      </w:tabs>
      <w:spacing w:line="240" w:lineRule="auto"/>
      <w:ind w:left="0" w:hanging="2"/>
      <w:rPr>
        <w:rFonts w:eastAsia="Liberation Serif" w:cs="Liberation Serif"/>
        <w:color w:val="000000"/>
        <w:sz w:val="20"/>
        <w:szCs w:val="20"/>
      </w:rPr>
    </w:pPr>
    <w:r>
      <w:rPr>
        <w:rFonts w:ascii="Times New Roman" w:hAnsi="Times New Roman" w:eastAsia="Times New Roman" w:cs="Times New Roman"/>
        <w:color w:val="000000"/>
      </w:rPr>
      <w:fldChar w:fldCharType="begin"/>
    </w:r>
    <w:r>
      <w:rPr>
        <w:rFonts w:ascii="Times New Roman" w:hAnsi="Times New Roman" w:eastAsia="Times New Roman" w:cs="Times New Roman"/>
        <w:color w:val="000000"/>
      </w:rPr>
      <w:instrText xml:space="preserve">PAGE</w:instrText>
    </w:r>
    <w:r>
      <w:rPr>
        <w:rFonts w:ascii="Times New Roman" w:hAnsi="Times New Roman" w:eastAsia="Times New Roman" w:cs="Times New Roman"/>
        <w:color w:val="000000"/>
      </w:rPr>
      <w:fldChar w:fldCharType="separate"/>
    </w:r>
    <w:r>
      <w:rPr>
        <w:rFonts w:ascii="Times New Roman" w:hAnsi="Times New Roman" w:eastAsia="Times New Roman" w:cs="Times New Roman"/>
        <w:color w:val="000000"/>
      </w:rPr>
      <w:t>159</w:t>
    </w:r>
    <w:r>
      <w:rPr>
        <w:rFonts w:ascii="Times New Roman" w:hAnsi="Times New Roman" w:eastAsia="Times New Roman" w:cs="Times New Roman"/>
        <w:color w:val="000000"/>
      </w:rPr>
      <w:fldChar w:fldCharType="end"/>
    </w:r>
  </w:p>
  <w:p>
    <w:pPr>
      <w:pBdr>
        <w:top w:val="none" w:color="auto" w:sz="0" w:space="0"/>
        <w:left w:val="none" w:color="auto" w:sz="0" w:space="0"/>
        <w:bottom w:val="none" w:color="auto" w:sz="0" w:space="0"/>
        <w:right w:val="none" w:color="auto" w:sz="0" w:space="0"/>
        <w:between w:val="none" w:color="auto" w:sz="0" w:space="0"/>
      </w:pBdr>
      <w:spacing w:line="240" w:lineRule="auto"/>
      <w:ind w:left="0" w:right="360" w:hanging="2"/>
      <w:jc w:val="center"/>
      <w:rPr>
        <w:rFonts w:eastAsia="Liberation Serif" w:cs="Liberation Serif"/>
        <w:color w:val="000000"/>
      </w:rPr>
    </w:pPr>
    <w:r>
      <w:rPr>
        <w:rFonts w:eastAsia="Liberation Serif" w:cs="Liberation Serif"/>
        <w:color w:val="000000"/>
        <w:sz w:val="20"/>
        <w:szCs w:val="20"/>
      </w:rPr>
      <w:t xml:space="preserve">Colegiado do Curso de História - Licenciatura </w:t>
    </w:r>
  </w:p>
  <w:p>
    <w:pPr>
      <w:pBdr>
        <w:top w:val="none" w:color="auto" w:sz="0" w:space="0"/>
        <w:left w:val="none" w:color="auto" w:sz="0" w:space="0"/>
        <w:bottom w:val="none" w:color="auto" w:sz="0" w:space="0"/>
        <w:right w:val="none" w:color="auto" w:sz="0" w:space="0"/>
        <w:between w:val="none" w:color="auto" w:sz="0" w:space="0"/>
      </w:pBdr>
      <w:spacing w:line="240" w:lineRule="auto"/>
      <w:ind w:left="0" w:right="360" w:hanging="2"/>
      <w:jc w:val="center"/>
      <w:rPr>
        <w:rFonts w:eastAsia="Liberation Serif" w:cs="Liberation Serif"/>
        <w:color w:val="000000"/>
      </w:rPr>
    </w:pPr>
    <w:r>
      <w:rPr>
        <w:rFonts w:eastAsia="Liberation Serif" w:cs="Liberation Serif"/>
        <w:color w:val="000000"/>
        <w:sz w:val="20"/>
        <w:szCs w:val="20"/>
      </w:rPr>
      <w:t>Contatos: Rua do Seminário s/n, Centro, Mariana - MG.</w:t>
    </w:r>
  </w:p>
  <w:p>
    <w:pPr>
      <w:pBdr>
        <w:top w:val="none" w:color="auto" w:sz="0" w:space="0"/>
        <w:left w:val="none" w:color="auto" w:sz="0" w:space="0"/>
        <w:bottom w:val="none" w:color="auto" w:sz="0" w:space="0"/>
        <w:right w:val="none" w:color="auto" w:sz="0" w:space="0"/>
        <w:between w:val="none" w:color="auto" w:sz="0" w:space="0"/>
      </w:pBdr>
      <w:spacing w:line="240" w:lineRule="auto"/>
      <w:ind w:left="0" w:right="-1" w:hanging="2"/>
      <w:jc w:val="center"/>
      <w:rPr>
        <w:rFonts w:eastAsia="Liberation Serif" w:cs="Liberation Serif"/>
        <w:color w:val="000000"/>
      </w:rPr>
    </w:pPr>
    <w:r>
      <w:rPr>
        <w:rFonts w:eastAsia="Liberation Serif" w:cs="Liberation Serif"/>
        <w:color w:val="000000"/>
        <w:sz w:val="20"/>
        <w:szCs w:val="20"/>
      </w:rPr>
      <w:t xml:space="preserve">CEP: 35420-000. Telefone: (31) 3557-9435. E-mail: </w:t>
    </w:r>
    <w:r>
      <w:fldChar w:fldCharType="begin"/>
    </w:r>
    <w:r>
      <w:instrText xml:space="preserve"> HYPERLINK "mailto:cohis@ichs.ufop.br" \h </w:instrText>
    </w:r>
    <w:r>
      <w:fldChar w:fldCharType="separate"/>
    </w:r>
    <w:r>
      <w:rPr>
        <w:rFonts w:eastAsia="Liberation Serif" w:cs="Liberation Serif"/>
        <w:color w:val="0000FF"/>
        <w:sz w:val="20"/>
        <w:szCs w:val="20"/>
        <w:u w:val="single"/>
      </w:rPr>
      <w:t>cohis@ufop.edu.br</w:t>
    </w:r>
    <w:r>
      <w:rPr>
        <w:rFonts w:eastAsia="Liberation Serif" w:cs="Liberation Serif"/>
        <w:color w:val="0000FF"/>
        <w:sz w:val="20"/>
        <w:szCs w:val="20"/>
        <w:u w:val="single"/>
      </w:rPr>
      <w:fldChar w:fldCharType="end"/>
    </w:r>
  </w:p>
  <w:p>
    <w:pPr>
      <w:pBdr>
        <w:top w:val="none" w:color="auto" w:sz="0" w:space="0"/>
        <w:left w:val="none" w:color="auto" w:sz="0" w:space="0"/>
        <w:bottom w:val="none" w:color="auto" w:sz="0" w:space="0"/>
        <w:right w:val="none" w:color="auto" w:sz="0" w:space="0"/>
        <w:between w:val="none" w:color="auto" w:sz="0" w:space="0"/>
      </w:pBdr>
      <w:tabs>
        <w:tab w:val="center" w:pos="4252"/>
        <w:tab w:val="right" w:pos="8504"/>
      </w:tabs>
      <w:spacing w:line="240" w:lineRule="auto"/>
      <w:ind w:left="0" w:hanging="2"/>
      <w:rPr>
        <w:rFonts w:eastAsia="Liberation Serif" w:cs="Liberation Serif"/>
        <w:color w:val="000000"/>
      </w:rPr>
    </w:pPr>
  </w:p>
  <w:p>
    <w:pPr>
      <w:pBdr>
        <w:top w:val="none" w:color="auto" w:sz="0" w:space="0"/>
        <w:left w:val="none" w:color="auto" w:sz="0" w:space="0"/>
        <w:bottom w:val="none" w:color="auto" w:sz="0" w:space="0"/>
        <w:right w:val="none" w:color="auto" w:sz="0" w:space="0"/>
        <w:between w:val="none" w:color="auto" w:sz="0" w:space="0"/>
      </w:pBdr>
      <w:tabs>
        <w:tab w:val="center" w:pos="4252"/>
        <w:tab w:val="right" w:pos="8504"/>
      </w:tabs>
      <w:spacing w:line="240" w:lineRule="auto"/>
      <w:ind w:left="0" w:hanging="2"/>
      <w:rPr>
        <w:rFonts w:eastAsia="Liberation Serif" w:cs="Liberation Serif"/>
        <w:color w:val="00000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12">
    <w:p>
      <w:pPr>
        <w:spacing w:line="240" w:lineRule="auto"/>
        <w:ind w:left="-2" w:hanging="2"/>
      </w:pPr>
      <w:r>
        <w:separator/>
      </w:r>
    </w:p>
  </w:footnote>
  <w:footnote w:type="continuationSeparator" w:id="113">
    <w:p>
      <w:pPr>
        <w:spacing w:line="240" w:lineRule="auto"/>
        <w:ind w:left="-2" w:hanging="2"/>
      </w:pPr>
      <w:r>
        <w:continuationSeparator/>
      </w:r>
    </w:p>
  </w:footnote>
  <w:footnote w:id="0">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cs="Times New Roman"/>
          <w:vertAlign w:val="superscript"/>
        </w:rPr>
        <w:footnoteRef/>
      </w:r>
      <w:r>
        <w:rPr>
          <w:rFonts w:ascii="Times New Roman" w:hAnsi="Times New Roman" w:eastAsia="Calibri" w:cs="Times New Roman"/>
          <w:color w:val="000000"/>
          <w:sz w:val="20"/>
          <w:szCs w:val="20"/>
        </w:rPr>
        <w:t xml:space="preserve"> UNIVERSIDADE FEDERAL DE OURO PRETO. </w:t>
      </w:r>
      <w:r>
        <w:rPr>
          <w:rFonts w:ascii="Times New Roman" w:hAnsi="Times New Roman" w:eastAsia="Calibri" w:cs="Times New Roman"/>
          <w:i/>
          <w:color w:val="000000"/>
          <w:sz w:val="20"/>
          <w:szCs w:val="20"/>
        </w:rPr>
        <w:t>Política Institucional de Formação de Professores</w:t>
      </w:r>
      <w:r>
        <w:rPr>
          <w:rFonts w:ascii="Times New Roman" w:hAnsi="Times New Roman" w:eastAsia="Calibri" w:cs="Times New Roman"/>
          <w:color w:val="000000"/>
          <w:sz w:val="20"/>
          <w:szCs w:val="20"/>
        </w:rPr>
        <w:t xml:space="preserve">, 2018. </w:t>
      </w:r>
    </w:p>
  </w:footnote>
  <w:footnote w:id="1">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cs="Times New Roman"/>
          <w:vertAlign w:val="superscript"/>
        </w:rPr>
        <w:footnoteRef/>
      </w:r>
      <w:r>
        <w:rPr>
          <w:rFonts w:ascii="Times New Roman" w:hAnsi="Times New Roman" w:eastAsia="Calibri" w:cs="Times New Roman"/>
          <w:color w:val="000000"/>
          <w:sz w:val="20"/>
          <w:szCs w:val="20"/>
        </w:rPr>
        <w:t xml:space="preserve"> É mister destacar que a CNE 2/2015 foi revogada pela Resolução CNE/CP nº 2, de dezembro de 2019. Tanto o NDE quanto o Colegiado estão cientes e empenhados no atendimento da Resolução em vigor.</w:t>
      </w:r>
    </w:p>
  </w:footnote>
  <w:footnote w:id="2">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sz w:val="20"/>
          <w:szCs w:val="20"/>
        </w:rPr>
      </w:pPr>
      <w:r>
        <w:rPr>
          <w:rFonts w:ascii="Times New Roman" w:hAnsi="Times New Roman" w:cs="Times New Roman"/>
          <w:vertAlign w:val="superscript"/>
        </w:rPr>
        <w:footnoteRef/>
      </w:r>
      <w:r>
        <w:rPr>
          <w:rFonts w:ascii="Times New Roman" w:hAnsi="Times New Roman" w:eastAsia="Calibri" w:cs="Times New Roman"/>
          <w:color w:val="000000"/>
          <w:sz w:val="20"/>
          <w:szCs w:val="20"/>
          <w:vertAlign w:val="superscript"/>
        </w:rPr>
        <w:t xml:space="preserve"> </w:t>
      </w:r>
      <w:r>
        <w:rPr>
          <w:rFonts w:ascii="Times New Roman" w:hAnsi="Times New Roman" w:eastAsia="Calibri" w:cs="Times New Roman"/>
          <w:color w:val="000000"/>
          <w:sz w:val="20"/>
          <w:szCs w:val="20"/>
        </w:rPr>
        <w:t>Dentre outros, podemos citar os artigos: BITTENCOURT, Circe Fernandes. Reflexões sobre o ensino de História. </w:t>
      </w:r>
      <w:r>
        <w:rPr>
          <w:rFonts w:ascii="Times New Roman" w:hAnsi="Times New Roman" w:eastAsia="Calibri" w:cs="Times New Roman"/>
          <w:i/>
          <w:color w:val="000000"/>
          <w:sz w:val="20"/>
          <w:szCs w:val="20"/>
        </w:rPr>
        <w:t>Estud. av.</w:t>
      </w:r>
      <w:r>
        <w:rPr>
          <w:rFonts w:ascii="Times New Roman" w:hAnsi="Times New Roman" w:eastAsia="Calibri" w:cs="Times New Roman"/>
          <w:color w:val="000000"/>
          <w:sz w:val="20"/>
          <w:szCs w:val="20"/>
        </w:rPr>
        <w:t xml:space="preserve"> [online]. 2018, vol. 32, n.93 [citado 2019-11-16], pp. 127-149. Disponível em: </w:t>
      </w:r>
      <w:r>
        <w:fldChar w:fldCharType="begin"/>
      </w:r>
      <w:r>
        <w:instrText xml:space="preserve"> HYPERLINK "http://www.scielo.br/scielo.php?script=sci_arttext&amp;pid=S0103-40142018000200127&amp;lng=pt&amp;nrm=iso" \h </w:instrText>
      </w:r>
      <w:r>
        <w:fldChar w:fldCharType="separate"/>
      </w:r>
      <w:r>
        <w:rPr>
          <w:rFonts w:ascii="Times New Roman" w:hAnsi="Times New Roman" w:eastAsia="Calibri" w:cs="Times New Roman"/>
          <w:color w:val="0000FF"/>
          <w:sz w:val="20"/>
          <w:szCs w:val="20"/>
          <w:u w:val="single"/>
        </w:rPr>
        <w:t>http://www.scielo.br/scielo.php?script=sci_arttext&amp;pid=S0103-40142018000200127&amp;lng=pt&amp;nrm=iso</w:t>
      </w:r>
      <w:r>
        <w:rPr>
          <w:rFonts w:ascii="Times New Roman" w:hAnsi="Times New Roman" w:eastAsia="Calibri" w:cs="Times New Roman"/>
          <w:color w:val="0000FF"/>
          <w:sz w:val="20"/>
          <w:szCs w:val="20"/>
          <w:u w:val="single"/>
        </w:rPr>
        <w:fldChar w:fldCharType="end"/>
      </w:r>
      <w:r>
        <w:rPr>
          <w:rFonts w:ascii="Times New Roman" w:hAnsi="Times New Roman" w:eastAsia="Calibri" w:cs="Times New Roman"/>
          <w:color w:val="0563C1"/>
          <w:sz w:val="20"/>
          <w:szCs w:val="20"/>
          <w:u w:val="single"/>
        </w:rPr>
        <w:t xml:space="preserve"> </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sz w:val="20"/>
          <w:szCs w:val="20"/>
        </w:rPr>
      </w:pPr>
      <w:r>
        <w:rPr>
          <w:rFonts w:ascii="Times New Roman" w:hAnsi="Times New Roman" w:eastAsia="Calibri" w:cs="Times New Roman"/>
          <w:color w:val="000000"/>
          <w:sz w:val="20"/>
          <w:szCs w:val="20"/>
        </w:rPr>
        <w:t xml:space="preserve">MONTEIRO, Ana Maria F. C. A história ensinada: algumas configurações do saber escolar. In: </w:t>
      </w:r>
      <w:r>
        <w:rPr>
          <w:rFonts w:ascii="Times New Roman" w:hAnsi="Times New Roman" w:eastAsia="Calibri" w:cs="Times New Roman"/>
          <w:i/>
          <w:color w:val="000000"/>
          <w:sz w:val="20"/>
          <w:szCs w:val="20"/>
        </w:rPr>
        <w:t>História &amp; Ensino</w:t>
      </w:r>
      <w:r>
        <w:rPr>
          <w:rFonts w:ascii="Times New Roman" w:hAnsi="Times New Roman" w:eastAsia="Calibri" w:cs="Times New Roman"/>
          <w:color w:val="000000"/>
          <w:sz w:val="20"/>
          <w:szCs w:val="20"/>
        </w:rPr>
        <w:t>, Londrina, v. 9, 2003, p. 37-62. Disponível em:</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sz w:val="20"/>
          <w:szCs w:val="20"/>
        </w:rPr>
      </w:pPr>
      <w:r>
        <w:fldChar w:fldCharType="begin"/>
      </w:r>
      <w:r>
        <w:instrText xml:space="preserve"> HYPERLINK "http://www.uel.br/revistas/uel/index.php/histensino/article/viewFile/12075/10607" \h </w:instrText>
      </w:r>
      <w:r>
        <w:fldChar w:fldCharType="separate"/>
      </w:r>
      <w:r>
        <w:rPr>
          <w:rFonts w:ascii="Times New Roman" w:hAnsi="Times New Roman" w:eastAsia="Calibri" w:cs="Times New Roman"/>
          <w:color w:val="0000FF"/>
          <w:sz w:val="20"/>
          <w:szCs w:val="20"/>
          <w:u w:val="single"/>
        </w:rPr>
        <w:t>http://www.uel.br/revistas/uel/index.php/histensino/article/viewFile/12075/10607</w:t>
      </w:r>
      <w:r>
        <w:rPr>
          <w:rFonts w:ascii="Times New Roman" w:hAnsi="Times New Roman" w:eastAsia="Calibri" w:cs="Times New Roman"/>
          <w:color w:val="0000FF"/>
          <w:sz w:val="20"/>
          <w:szCs w:val="20"/>
          <w:u w:val="single"/>
        </w:rPr>
        <w:fldChar w:fldCharType="end"/>
      </w:r>
      <w:r>
        <w:rPr>
          <w:rFonts w:ascii="Times New Roman" w:hAnsi="Times New Roman" w:eastAsia="Calibri" w:cs="Times New Roman"/>
          <w:color w:val="000000"/>
          <w:sz w:val="20"/>
          <w:szCs w:val="20"/>
        </w:rPr>
        <w:t>.</w:t>
      </w:r>
    </w:p>
  </w:footnote>
  <w:footnote w:id="3">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sz w:val="20"/>
          <w:szCs w:val="20"/>
        </w:rPr>
      </w:pPr>
      <w:r>
        <w:rPr>
          <w:rFonts w:ascii="Times New Roman" w:hAnsi="Times New Roman" w:cs="Times New Roman"/>
          <w:vertAlign w:val="superscript"/>
        </w:rPr>
        <w:footnoteRef/>
      </w:r>
      <w:r>
        <w:rPr>
          <w:rFonts w:ascii="Times New Roman" w:hAnsi="Times New Roman" w:eastAsia="Calibri" w:cs="Times New Roman"/>
          <w:color w:val="000000"/>
          <w:sz w:val="20"/>
          <w:szCs w:val="20"/>
        </w:rPr>
        <w:t xml:space="preserve"> Apesar de ser um espaço atuante e definidor das políticas institucionais para as licenciaturas da UFOP, a Subcâmara de Licenciaturas só foi definida regimentalmente como parte da Câmara dos Colegiados de Graduação em 10 de abril de 2018, pela Resolução Cepe n° 7.417.</w:t>
      </w:r>
    </w:p>
  </w:footnote>
  <w:footnote w:id="4">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cs="Times New Roman"/>
          <w:vertAlign w:val="superscript"/>
        </w:rPr>
        <w:footnoteRef/>
      </w:r>
      <w:r>
        <w:rPr>
          <w:rFonts w:ascii="Times New Roman" w:hAnsi="Times New Roman" w:eastAsia="Calibri" w:cs="Times New Roman"/>
          <w:color w:val="000000"/>
          <w:sz w:val="20"/>
          <w:szCs w:val="20"/>
        </w:rPr>
        <w:t xml:space="preserve"> Referência ao Plano de Desenvolvimento Institucional da UFOP para os anos entre 2016 e 2025: </w:t>
      </w:r>
      <w:r>
        <w:fldChar w:fldCharType="begin"/>
      </w:r>
      <w:r>
        <w:instrText xml:space="preserve"> HYPERLINK "https://www.ufop.br/sites/default/files/pdi_ufop_2016_2025.pdf" \h </w:instrText>
      </w:r>
      <w:r>
        <w:fldChar w:fldCharType="separate"/>
      </w:r>
      <w:r>
        <w:rPr>
          <w:rFonts w:ascii="Times New Roman" w:hAnsi="Times New Roman" w:eastAsia="Calibri" w:cs="Times New Roman"/>
          <w:color w:val="0000FF"/>
          <w:sz w:val="20"/>
          <w:szCs w:val="20"/>
          <w:u w:val="single"/>
        </w:rPr>
        <w:t>https://www.ufop.br/sites/default/files/pdi_ufop_2016_2025.pdf</w:t>
      </w:r>
      <w:r>
        <w:rPr>
          <w:rFonts w:ascii="Times New Roman" w:hAnsi="Times New Roman" w:eastAsia="Calibri" w:cs="Times New Roman"/>
          <w:color w:val="0000FF"/>
          <w:sz w:val="20"/>
          <w:szCs w:val="20"/>
          <w:u w:val="single"/>
        </w:rPr>
        <w:fldChar w:fldCharType="end"/>
      </w:r>
    </w:p>
  </w:footnote>
  <w:footnote w:id="5">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cs="Times New Roman"/>
          <w:vertAlign w:val="superscript"/>
        </w:rPr>
        <w:footnoteRef/>
      </w:r>
      <w:r>
        <w:rPr>
          <w:rFonts w:ascii="Times New Roman" w:hAnsi="Times New Roman" w:eastAsia="Calibri" w:cs="Times New Roman"/>
          <w:color w:val="000000"/>
          <w:sz w:val="20"/>
          <w:szCs w:val="20"/>
        </w:rPr>
        <w:t xml:space="preserve"> VEIGA, Laura. Os projetos educativos como projetos de classe: Estado e Universidade no Brasil (1954-1964). </w:t>
      </w:r>
      <w:r>
        <w:rPr>
          <w:rFonts w:ascii="Times New Roman" w:hAnsi="Times New Roman" w:eastAsia="Calibri" w:cs="Times New Roman"/>
          <w:i/>
          <w:color w:val="000000"/>
          <w:sz w:val="20"/>
          <w:szCs w:val="20"/>
        </w:rPr>
        <w:t>Revista Educação e Sociedade</w:t>
      </w:r>
      <w:r>
        <w:rPr>
          <w:rFonts w:ascii="Times New Roman" w:hAnsi="Times New Roman" w:eastAsia="Calibri" w:cs="Times New Roman"/>
          <w:color w:val="000000"/>
          <w:sz w:val="20"/>
          <w:szCs w:val="20"/>
        </w:rPr>
        <w:t>, n</w:t>
      </w:r>
      <w:r>
        <w:rPr>
          <w:rFonts w:ascii="Times New Roman" w:hAnsi="Times New Roman" w:eastAsia="Calibri" w:cs="Times New Roman"/>
          <w:color w:val="000000"/>
          <w:sz w:val="20"/>
          <w:szCs w:val="20"/>
          <w:vertAlign w:val="superscript"/>
        </w:rPr>
        <w:t xml:space="preserve">o </w:t>
      </w:r>
      <w:r>
        <w:rPr>
          <w:rFonts w:ascii="Times New Roman" w:hAnsi="Times New Roman" w:eastAsia="Calibri" w:cs="Times New Roman"/>
          <w:color w:val="000000"/>
          <w:sz w:val="20"/>
          <w:szCs w:val="20"/>
        </w:rPr>
        <w:t xml:space="preserve">11, 1982, p. 25-71; FÁVERO, Maria de Lourdes de Albuquerque. A Universidade no Brasil: das origens à Reforma Universitária de 1968. In: </w:t>
      </w:r>
      <w:r>
        <w:rPr>
          <w:rFonts w:ascii="Times New Roman" w:hAnsi="Times New Roman" w:eastAsia="Calibri" w:cs="Times New Roman"/>
          <w:i/>
          <w:color w:val="000000"/>
          <w:sz w:val="20"/>
          <w:szCs w:val="20"/>
        </w:rPr>
        <w:t>Educar</w:t>
      </w:r>
      <w:r>
        <w:rPr>
          <w:rFonts w:ascii="Times New Roman" w:hAnsi="Times New Roman" w:eastAsia="Calibri" w:cs="Times New Roman"/>
          <w:color w:val="000000"/>
          <w:sz w:val="20"/>
          <w:szCs w:val="20"/>
        </w:rPr>
        <w:t>, n</w:t>
      </w:r>
      <w:r>
        <w:rPr>
          <w:rFonts w:ascii="Times New Roman" w:hAnsi="Times New Roman" w:eastAsia="Calibri" w:cs="Times New Roman"/>
          <w:color w:val="000000"/>
          <w:sz w:val="20"/>
          <w:szCs w:val="20"/>
          <w:vertAlign w:val="superscript"/>
        </w:rPr>
        <w:t>o</w:t>
      </w:r>
      <w:r>
        <w:rPr>
          <w:rFonts w:ascii="Times New Roman" w:hAnsi="Times New Roman" w:eastAsia="Calibri" w:cs="Times New Roman"/>
          <w:color w:val="000000"/>
          <w:sz w:val="20"/>
          <w:szCs w:val="20"/>
        </w:rPr>
        <w:t>.28, 2006, p. 17-36.</w:t>
      </w:r>
    </w:p>
  </w:footnote>
  <w:footnote w:id="6">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sz w:val="20"/>
          <w:szCs w:val="20"/>
        </w:rPr>
      </w:pPr>
      <w:r>
        <w:rPr>
          <w:rFonts w:ascii="Times New Roman" w:hAnsi="Times New Roman" w:cs="Times New Roman"/>
          <w:vertAlign w:val="superscript"/>
        </w:rPr>
        <w:footnoteRef/>
      </w:r>
      <w:r>
        <w:rPr>
          <w:rFonts w:ascii="Times New Roman" w:hAnsi="Times New Roman" w:eastAsia="Calibri" w:cs="Times New Roman"/>
          <w:color w:val="000000"/>
          <w:sz w:val="20"/>
          <w:szCs w:val="20"/>
        </w:rPr>
        <w:t xml:space="preserve"> Ata da Reunião conjunta das Congregações da Escola Federal de Minas de Ouro Preto e Escola Federal de Farmácia e Bioquímica de Ouro Preto realizada aos vinte e um dias de dezembro de mil novecentos sessenta e oito. Disponível em: </w:t>
      </w:r>
      <w:r>
        <w:fldChar w:fldCharType="begin"/>
      </w:r>
      <w:r>
        <w:instrText xml:space="preserve"> HYPERLINK "https://ufop.br/sites/default/files/anteprojeto_de_criacao_da_ufop.pdf" \h </w:instrText>
      </w:r>
      <w:r>
        <w:fldChar w:fldCharType="separate"/>
      </w:r>
      <w:r>
        <w:rPr>
          <w:rFonts w:ascii="Times New Roman" w:hAnsi="Times New Roman" w:eastAsia="Calibri" w:cs="Times New Roman"/>
          <w:color w:val="0000FF"/>
          <w:sz w:val="20"/>
          <w:szCs w:val="20"/>
          <w:u w:val="single"/>
        </w:rPr>
        <w:t>https://ufop.br/sites/default/files/anteprojeto_de_criacao_da_ufop.pdf</w:t>
      </w:r>
      <w:r>
        <w:rPr>
          <w:rFonts w:ascii="Times New Roman" w:hAnsi="Times New Roman" w:eastAsia="Calibri" w:cs="Times New Roman"/>
          <w:color w:val="0000FF"/>
          <w:sz w:val="20"/>
          <w:szCs w:val="20"/>
          <w:u w:val="single"/>
        </w:rPr>
        <w:fldChar w:fldCharType="end"/>
      </w:r>
      <w:r>
        <w:rPr>
          <w:rFonts w:ascii="Times New Roman" w:hAnsi="Times New Roman" w:eastAsia="Calibri" w:cs="Times New Roman"/>
          <w:color w:val="000000"/>
          <w:sz w:val="20"/>
          <w:szCs w:val="20"/>
        </w:rPr>
        <w:t xml:space="preserve"> Acesso em 06/10/2019.</w:t>
      </w:r>
    </w:p>
  </w:footnote>
  <w:footnote w:id="7">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sz w:val="20"/>
          <w:szCs w:val="20"/>
        </w:rPr>
      </w:pPr>
      <w:r>
        <w:rPr>
          <w:rFonts w:ascii="Times New Roman" w:hAnsi="Times New Roman" w:cs="Times New Roman"/>
          <w:vertAlign w:val="superscript"/>
        </w:rPr>
        <w:footnoteRef/>
      </w:r>
      <w:r>
        <w:rPr>
          <w:rFonts w:ascii="Times New Roman" w:hAnsi="Times New Roman" w:eastAsia="Calibri" w:cs="Times New Roman"/>
          <w:color w:val="000000"/>
          <w:sz w:val="20"/>
          <w:szCs w:val="20"/>
        </w:rPr>
        <w:t xml:space="preserve"> PROPLAD. A UFOP em Números – Agosto de 2019. Disponível em:</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sz w:val="20"/>
          <w:szCs w:val="20"/>
        </w:rPr>
      </w:pPr>
      <w:r>
        <w:rPr>
          <w:rFonts w:ascii="Times New Roman" w:hAnsi="Times New Roman" w:eastAsia="Calibri" w:cs="Times New Roman"/>
          <w:color w:val="000000"/>
          <w:sz w:val="20"/>
          <w:szCs w:val="20"/>
        </w:rPr>
        <w:t xml:space="preserve"> </w:t>
      </w:r>
      <w:r>
        <w:rPr>
          <w:rFonts w:ascii="Times New Roman" w:hAnsi="Times New Roman" w:eastAsia="Calibri" w:cs="Times New Roman"/>
          <w:color w:val="0070C0"/>
          <w:sz w:val="20"/>
          <w:szCs w:val="20"/>
          <w:u w:val="single"/>
        </w:rPr>
        <w:t>https://proplad.ufop.br/sites/default/files/</w:t>
      </w:r>
      <w:r>
        <w:rPr>
          <w:rFonts w:ascii="Times New Roman" w:hAnsi="Times New Roman" w:eastAsia="Calibri" w:cs="Times New Roman"/>
          <w:color w:val="0070C0"/>
          <w:sz w:val="20"/>
          <w:szCs w:val="20"/>
        </w:rPr>
        <w:t xml:space="preserve"> a_ufop_em_numeros.pdf. </w:t>
      </w:r>
      <w:r>
        <w:rPr>
          <w:rFonts w:ascii="Times New Roman" w:hAnsi="Times New Roman" w:eastAsia="Calibri" w:cs="Times New Roman"/>
          <w:color w:val="000000"/>
          <w:sz w:val="20"/>
          <w:szCs w:val="20"/>
        </w:rPr>
        <w:t>Acesso em 08/02/2022.</w:t>
      </w:r>
    </w:p>
  </w:footnote>
  <w:footnote w:id="8">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sz w:val="20"/>
          <w:szCs w:val="20"/>
        </w:rPr>
      </w:pPr>
      <w:r>
        <w:rPr>
          <w:rFonts w:ascii="Times New Roman" w:hAnsi="Times New Roman" w:cs="Times New Roman"/>
          <w:vertAlign w:val="superscript"/>
        </w:rPr>
        <w:footnoteRef/>
      </w:r>
      <w:r>
        <w:rPr>
          <w:rFonts w:ascii="Times New Roman" w:hAnsi="Times New Roman" w:eastAsia="Calibri" w:cs="Times New Roman"/>
          <w:color w:val="000000"/>
          <w:sz w:val="20"/>
          <w:szCs w:val="20"/>
        </w:rPr>
        <w:t xml:space="preserve"> Referência ao Plano de Desenvolvimento Institucional da UFOP para os anos entre 2016 e 2025: </w:t>
      </w:r>
      <w:r>
        <w:fldChar w:fldCharType="begin"/>
      </w:r>
      <w:r>
        <w:instrText xml:space="preserve"> HYPERLINK "https://www.ufop.br/sites/default/files/pdi_ufop_2016_2025.pdf" \h </w:instrText>
      </w:r>
      <w:r>
        <w:fldChar w:fldCharType="separate"/>
      </w:r>
      <w:r>
        <w:rPr>
          <w:rFonts w:ascii="Times New Roman" w:hAnsi="Times New Roman" w:eastAsia="Calibri" w:cs="Times New Roman"/>
          <w:color w:val="0000FF"/>
          <w:sz w:val="20"/>
          <w:szCs w:val="20"/>
          <w:u w:val="single"/>
        </w:rPr>
        <w:t>https://www.ufop.br/sites/default/files/pdi_ufop_2016_2025.pdf</w:t>
      </w:r>
      <w:r>
        <w:rPr>
          <w:rFonts w:ascii="Times New Roman" w:hAnsi="Times New Roman" w:eastAsia="Calibri" w:cs="Times New Roman"/>
          <w:color w:val="0000FF"/>
          <w:sz w:val="20"/>
          <w:szCs w:val="20"/>
          <w:u w:val="single"/>
        </w:rPr>
        <w:fldChar w:fldCharType="end"/>
      </w:r>
      <w:r>
        <w:rPr>
          <w:rFonts w:ascii="Times New Roman" w:hAnsi="Times New Roman" w:eastAsia="Calibri" w:cs="Times New Roman"/>
          <w:color w:val="000000"/>
          <w:sz w:val="20"/>
          <w:szCs w:val="20"/>
        </w:rPr>
        <w:t xml:space="preserve">. Acesso em 27/09/2020. </w:t>
      </w:r>
    </w:p>
  </w:footnote>
  <w:footnote w:id="9">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sz w:val="20"/>
          <w:szCs w:val="20"/>
        </w:rPr>
      </w:pPr>
      <w:r>
        <w:rPr>
          <w:rFonts w:ascii="Times New Roman" w:hAnsi="Times New Roman" w:cs="Times New Roman"/>
          <w:vertAlign w:val="superscript"/>
        </w:rPr>
        <w:footnoteRef/>
      </w:r>
      <w:r>
        <w:rPr>
          <w:rFonts w:ascii="Times New Roman" w:hAnsi="Times New Roman" w:eastAsia="Calibri" w:cs="Times New Roman"/>
          <w:color w:val="000000"/>
          <w:sz w:val="20"/>
          <w:szCs w:val="20"/>
        </w:rPr>
        <w:t xml:space="preserve"> </w:t>
      </w:r>
      <w:r>
        <w:rPr>
          <w:rFonts w:ascii="Times New Roman" w:hAnsi="Times New Roman" w:eastAsia="Calibri" w:cs="Times New Roman"/>
          <w:i/>
          <w:color w:val="000000"/>
          <w:sz w:val="20"/>
          <w:szCs w:val="20"/>
        </w:rPr>
        <w:t>Ibidem</w:t>
      </w:r>
      <w:r>
        <w:rPr>
          <w:rFonts w:ascii="Times New Roman" w:hAnsi="Times New Roman" w:eastAsia="Calibri" w:cs="Times New Roman"/>
          <w:color w:val="000000"/>
          <w:sz w:val="20"/>
          <w:szCs w:val="20"/>
        </w:rPr>
        <w:t>.</w:t>
      </w:r>
    </w:p>
  </w:footnote>
  <w:footnote w:id="10">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sz w:val="20"/>
          <w:szCs w:val="20"/>
        </w:rPr>
      </w:pPr>
      <w:r>
        <w:rPr>
          <w:rFonts w:ascii="Times New Roman" w:hAnsi="Times New Roman" w:cs="Times New Roman"/>
          <w:vertAlign w:val="superscript"/>
        </w:rPr>
        <w:footnoteRef/>
      </w:r>
      <w:r>
        <w:rPr>
          <w:rFonts w:ascii="Times New Roman" w:hAnsi="Times New Roman" w:eastAsia="Calibri" w:cs="Times New Roman"/>
          <w:color w:val="000000"/>
          <w:sz w:val="20"/>
          <w:szCs w:val="20"/>
        </w:rPr>
        <w:tab/>
      </w:r>
      <w:r>
        <w:rPr>
          <w:rFonts w:ascii="Times New Roman" w:hAnsi="Times New Roman" w:eastAsia="Calibri" w:cs="Times New Roman"/>
          <w:color w:val="000000"/>
          <w:sz w:val="20"/>
          <w:szCs w:val="20"/>
        </w:rPr>
        <w:t xml:space="preserve"> </w:t>
      </w:r>
      <w:r>
        <w:rPr>
          <w:rFonts w:ascii="Times New Roman" w:hAnsi="Times New Roman" w:eastAsia="Calibri" w:cs="Times New Roman"/>
          <w:i/>
          <w:color w:val="000000"/>
          <w:sz w:val="20"/>
          <w:szCs w:val="20"/>
        </w:rPr>
        <w:t>Ibidem</w:t>
      </w:r>
      <w:r>
        <w:rPr>
          <w:rFonts w:ascii="Times New Roman" w:hAnsi="Times New Roman" w:eastAsia="Calibri" w:cs="Times New Roman"/>
          <w:color w:val="000000"/>
          <w:sz w:val="20"/>
          <w:szCs w:val="20"/>
        </w:rPr>
        <w:t>.</w:t>
      </w:r>
    </w:p>
  </w:footnote>
  <w:footnote w:id="11">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sz w:val="20"/>
          <w:szCs w:val="20"/>
        </w:rPr>
      </w:pPr>
      <w:r>
        <w:rPr>
          <w:rFonts w:ascii="Times New Roman" w:hAnsi="Times New Roman" w:cs="Times New Roman"/>
          <w:vertAlign w:val="superscript"/>
        </w:rPr>
        <w:footnoteRef/>
      </w:r>
      <w:r>
        <w:rPr>
          <w:rFonts w:ascii="Times New Roman" w:hAnsi="Times New Roman" w:eastAsia="Calibri" w:cs="Times New Roman"/>
          <w:color w:val="000000"/>
          <w:sz w:val="20"/>
          <w:szCs w:val="20"/>
        </w:rPr>
        <w:t xml:space="preserve"> Plano de Desenvolvimento Institucional - Universidade Federal de Ouro Preto/2010-2015 (PDI UFOP, 2010-2015). Disponível em: </w:t>
      </w:r>
      <w:r>
        <w:fldChar w:fldCharType="begin"/>
      </w:r>
      <w:r>
        <w:instrText xml:space="preserve"> HYPERLINK "https://www.ufop.br/sites/default/files/pdi_ufop_2016_2025.pdf" \h </w:instrText>
      </w:r>
      <w:r>
        <w:fldChar w:fldCharType="separate"/>
      </w:r>
      <w:r>
        <w:rPr>
          <w:rFonts w:ascii="Times New Roman" w:hAnsi="Times New Roman" w:eastAsia="Calibri" w:cs="Times New Roman"/>
          <w:color w:val="0000FF"/>
          <w:sz w:val="20"/>
          <w:szCs w:val="20"/>
          <w:u w:val="single"/>
        </w:rPr>
        <w:t>https://www.ufop.br/sites/default/files/pdi_ufop_2016_2025.pdf</w:t>
      </w:r>
      <w:r>
        <w:rPr>
          <w:rFonts w:ascii="Times New Roman" w:hAnsi="Times New Roman" w:eastAsia="Calibri" w:cs="Times New Roman"/>
          <w:color w:val="0000FF"/>
          <w:sz w:val="20"/>
          <w:szCs w:val="20"/>
          <w:u w:val="single"/>
        </w:rPr>
        <w:fldChar w:fldCharType="end"/>
      </w:r>
      <w:r>
        <w:rPr>
          <w:rFonts w:ascii="Times New Roman" w:hAnsi="Times New Roman" w:eastAsia="Calibri" w:cs="Times New Roman"/>
          <w:color w:val="000000"/>
          <w:sz w:val="20"/>
          <w:szCs w:val="20"/>
        </w:rPr>
        <w:t>. Acesso em 08/10/2019.</w:t>
      </w:r>
    </w:p>
  </w:footnote>
  <w:footnote w:id="12">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sz w:val="20"/>
          <w:szCs w:val="20"/>
        </w:rPr>
      </w:pPr>
      <w:r>
        <w:rPr>
          <w:rFonts w:ascii="Times New Roman" w:hAnsi="Times New Roman" w:cs="Times New Roman"/>
          <w:vertAlign w:val="superscript"/>
        </w:rPr>
        <w:footnoteRef/>
      </w:r>
      <w:r>
        <w:rPr>
          <w:rFonts w:ascii="Times New Roman" w:hAnsi="Times New Roman" w:eastAsia="Calibri" w:cs="Times New Roman"/>
          <w:color w:val="000000"/>
          <w:sz w:val="20"/>
          <w:szCs w:val="20"/>
        </w:rPr>
        <w:t xml:space="preserve"> Disponível em: </w:t>
      </w:r>
      <w:r>
        <w:fldChar w:fldCharType="begin"/>
      </w:r>
      <w:r>
        <w:instrText xml:space="preserve"> HYPERLINK "http://anphlac.fflch.usp.br/historico" \h </w:instrText>
      </w:r>
      <w:r>
        <w:fldChar w:fldCharType="separate"/>
      </w:r>
      <w:r>
        <w:rPr>
          <w:rFonts w:ascii="Times New Roman" w:hAnsi="Times New Roman" w:eastAsia="Calibri" w:cs="Times New Roman"/>
          <w:color w:val="0000FF"/>
          <w:sz w:val="20"/>
          <w:szCs w:val="20"/>
          <w:u w:val="single"/>
        </w:rPr>
        <w:t>http://anphlac.fflch.usp.br/historico</w:t>
      </w:r>
      <w:r>
        <w:rPr>
          <w:rFonts w:ascii="Times New Roman" w:hAnsi="Times New Roman" w:eastAsia="Calibri" w:cs="Times New Roman"/>
          <w:color w:val="0000FF"/>
          <w:sz w:val="20"/>
          <w:szCs w:val="20"/>
          <w:u w:val="single"/>
        </w:rPr>
        <w:fldChar w:fldCharType="end"/>
      </w:r>
      <w:r>
        <w:rPr>
          <w:rFonts w:ascii="Times New Roman" w:hAnsi="Times New Roman" w:eastAsia="Calibri" w:cs="Times New Roman"/>
          <w:color w:val="000000"/>
          <w:sz w:val="20"/>
          <w:szCs w:val="20"/>
        </w:rPr>
        <w:t>. Acesso em 31/10/2019.</w:t>
      </w:r>
    </w:p>
  </w:footnote>
  <w:footnote w:id="13">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sz w:val="20"/>
          <w:szCs w:val="20"/>
        </w:rPr>
      </w:pPr>
      <w:r>
        <w:rPr>
          <w:rFonts w:ascii="Times New Roman" w:hAnsi="Times New Roman" w:cs="Times New Roman"/>
          <w:vertAlign w:val="superscript"/>
        </w:rPr>
        <w:footnoteRef/>
      </w:r>
      <w:r>
        <w:rPr>
          <w:rFonts w:ascii="Times New Roman" w:hAnsi="Times New Roman" w:eastAsia="Calibri" w:cs="Times New Roman"/>
          <w:color w:val="000000"/>
          <w:sz w:val="20"/>
          <w:szCs w:val="20"/>
        </w:rPr>
        <w:t xml:space="preserve"> 2007, 2008, 2009, 2010, 2011, 2012, 2013, 2014, 2015 e 2018. Disponível em:  </w:t>
      </w:r>
      <w:r>
        <w:fldChar w:fldCharType="begin"/>
      </w:r>
      <w:r>
        <w:instrText xml:space="preserve"> HYPERLINK "http://www.sbthh.org.br/%20pb/seminario-brasileiro-de-historia-da-historiografia/" \h </w:instrText>
      </w:r>
      <w:r>
        <w:fldChar w:fldCharType="separate"/>
      </w:r>
      <w:r>
        <w:rPr>
          <w:rFonts w:ascii="Times New Roman" w:hAnsi="Times New Roman" w:eastAsia="Calibri" w:cs="Times New Roman"/>
          <w:color w:val="0000FF"/>
          <w:sz w:val="20"/>
          <w:szCs w:val="20"/>
          <w:u w:val="single"/>
        </w:rPr>
        <w:t>http://www.sbthh.org.br/ pb/seminario-brasileiro-de-historia-da-historiografia/</w:t>
      </w:r>
      <w:r>
        <w:rPr>
          <w:rFonts w:ascii="Times New Roman" w:hAnsi="Times New Roman" w:eastAsia="Calibri" w:cs="Times New Roman"/>
          <w:color w:val="0000FF"/>
          <w:sz w:val="20"/>
          <w:szCs w:val="20"/>
          <w:u w:val="single"/>
        </w:rPr>
        <w:fldChar w:fldCharType="end"/>
      </w:r>
      <w:r>
        <w:rPr>
          <w:rFonts w:ascii="Times New Roman" w:hAnsi="Times New Roman" w:eastAsia="Calibri" w:cs="Times New Roman"/>
          <w:color w:val="000000"/>
          <w:sz w:val="20"/>
          <w:szCs w:val="20"/>
        </w:rPr>
        <w:t>. Acesso em 07/11/2019.</w:t>
      </w:r>
    </w:p>
  </w:footnote>
  <w:footnote w:id="14">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cs="Times New Roman"/>
          <w:vertAlign w:val="superscript"/>
        </w:rPr>
        <w:footnoteRef/>
      </w:r>
      <w:r>
        <w:rPr>
          <w:rFonts w:ascii="Times New Roman" w:hAnsi="Times New Roman" w:eastAsia="Calibri" w:cs="Times New Roman"/>
          <w:color w:val="000000"/>
          <w:sz w:val="20"/>
          <w:szCs w:val="20"/>
        </w:rPr>
        <w:t xml:space="preserve"> UNIVERSIDADE FEDERAL DE OURO PRETO. Projeto pedagógico do curso de Bacharelado em História, 2012. Disponível em: </w:t>
      </w:r>
      <w:r>
        <w:fldChar w:fldCharType="begin"/>
      </w:r>
      <w:r>
        <w:instrText xml:space="preserve"> HYPERLINK "https://ichs.ufop.br/projeto-pedag%C3%B3gico-4" \h </w:instrText>
      </w:r>
      <w:r>
        <w:fldChar w:fldCharType="separate"/>
      </w:r>
      <w:r>
        <w:rPr>
          <w:rFonts w:ascii="Times New Roman" w:hAnsi="Times New Roman" w:eastAsia="Calibri" w:cs="Times New Roman"/>
          <w:color w:val="0000FF"/>
          <w:sz w:val="20"/>
          <w:szCs w:val="20"/>
          <w:u w:val="single"/>
        </w:rPr>
        <w:t>https://ichs.ufop.br/projeto-pedagógico-4</w:t>
      </w:r>
      <w:r>
        <w:rPr>
          <w:rFonts w:ascii="Times New Roman" w:hAnsi="Times New Roman" w:eastAsia="Calibri" w:cs="Times New Roman"/>
          <w:color w:val="0000FF"/>
          <w:sz w:val="20"/>
          <w:szCs w:val="20"/>
          <w:u w:val="single"/>
        </w:rPr>
        <w:fldChar w:fldCharType="end"/>
      </w:r>
    </w:p>
  </w:footnote>
  <w:footnote w:id="15">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sz w:val="20"/>
          <w:szCs w:val="20"/>
        </w:rPr>
      </w:pPr>
      <w:r>
        <w:rPr>
          <w:rFonts w:ascii="Times New Roman" w:hAnsi="Times New Roman" w:cs="Times New Roman"/>
          <w:vertAlign w:val="superscript"/>
        </w:rPr>
        <w:footnoteRef/>
      </w:r>
      <w:r>
        <w:rPr>
          <w:rFonts w:ascii="Times New Roman" w:hAnsi="Times New Roman" w:eastAsia="Calibri" w:cs="Times New Roman"/>
          <w:color w:val="000000"/>
          <w:sz w:val="20"/>
          <w:szCs w:val="20"/>
        </w:rPr>
        <w:t xml:space="preserve"> Antiga matriz em Anexo. </w:t>
      </w:r>
    </w:p>
  </w:footnote>
  <w:footnote w:id="16">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cs="Times New Roman"/>
          <w:vertAlign w:val="superscript"/>
        </w:rPr>
        <w:footnoteRef/>
      </w:r>
      <w:r>
        <w:rPr>
          <w:rFonts w:ascii="Times New Roman" w:hAnsi="Times New Roman" w:eastAsia="Calibri" w:cs="Times New Roman"/>
          <w:color w:val="000000"/>
          <w:sz w:val="20"/>
          <w:szCs w:val="20"/>
        </w:rPr>
        <w:t xml:space="preserve"> Disponível em: </w:t>
      </w:r>
      <w:r>
        <w:fldChar w:fldCharType="begin"/>
      </w:r>
      <w:r>
        <w:instrText xml:space="preserve"> HYPERLINK "http://portal.mec.gov.br/cne/arquivos/pdf/CES0492.pdf" \h </w:instrText>
      </w:r>
      <w:r>
        <w:fldChar w:fldCharType="separate"/>
      </w:r>
      <w:r>
        <w:rPr>
          <w:rFonts w:ascii="Times New Roman" w:hAnsi="Times New Roman" w:eastAsia="Calibri" w:cs="Times New Roman"/>
          <w:color w:val="0000FF"/>
          <w:sz w:val="20"/>
          <w:szCs w:val="20"/>
          <w:u w:val="single"/>
        </w:rPr>
        <w:t>http://portal.mec.gov.br/cne/arquivos/pdf/CES0492.pdf</w:t>
      </w:r>
      <w:r>
        <w:rPr>
          <w:rFonts w:ascii="Times New Roman" w:hAnsi="Times New Roman" w:eastAsia="Calibri" w:cs="Times New Roman"/>
          <w:color w:val="0000FF"/>
          <w:sz w:val="20"/>
          <w:szCs w:val="20"/>
          <w:u w:val="single"/>
        </w:rPr>
        <w:fldChar w:fldCharType="end"/>
      </w:r>
    </w:p>
  </w:footnote>
  <w:footnote w:id="17">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sz w:val="20"/>
          <w:szCs w:val="20"/>
        </w:rPr>
      </w:pPr>
      <w:r>
        <w:rPr>
          <w:rFonts w:ascii="Times New Roman" w:hAnsi="Times New Roman" w:cs="Times New Roman"/>
          <w:vertAlign w:val="superscript"/>
        </w:rPr>
        <w:footnoteRef/>
      </w:r>
      <w:r>
        <w:rPr>
          <w:rFonts w:ascii="Times New Roman" w:hAnsi="Times New Roman" w:eastAsia="Calibri" w:cs="Times New Roman"/>
          <w:color w:val="000000"/>
          <w:sz w:val="20"/>
          <w:szCs w:val="20"/>
        </w:rPr>
        <w:tab/>
      </w:r>
      <w:r>
        <w:rPr>
          <w:rFonts w:ascii="Times New Roman" w:hAnsi="Times New Roman" w:eastAsia="Calibri" w:cs="Times New Roman"/>
          <w:color w:val="000000"/>
          <w:sz w:val="20"/>
          <w:szCs w:val="20"/>
        </w:rPr>
        <w:t>Em anexo, lista com nomes dos discentes e título dos trabalhos.</w:t>
      </w:r>
    </w:p>
  </w:footnote>
  <w:footnote w:id="18">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sz w:val="20"/>
          <w:szCs w:val="20"/>
        </w:rPr>
      </w:pPr>
      <w:r>
        <w:rPr>
          <w:rFonts w:ascii="Times New Roman" w:hAnsi="Times New Roman" w:cs="Times New Roman"/>
          <w:vertAlign w:val="superscript"/>
        </w:rPr>
        <w:footnoteRef/>
      </w:r>
      <w:r>
        <w:rPr>
          <w:rFonts w:ascii="Times New Roman" w:hAnsi="Times New Roman" w:eastAsia="Calibri" w:cs="Times New Roman"/>
          <w:color w:val="000000"/>
          <w:sz w:val="20"/>
          <w:szCs w:val="20"/>
        </w:rPr>
        <w:t xml:space="preserve"> HOUNTONDJI, Paulin J. Conhecimento de África, conhecimento de Africanos: Duas perspectivas sobre os Estudos Africanos. Disponível em: </w:t>
      </w:r>
      <w:r>
        <w:fldChar w:fldCharType="begin"/>
      </w:r>
      <w:r>
        <w:instrText xml:space="preserve"> HYPERLINK "https://journals.openedition.org/rccs/699" \h </w:instrText>
      </w:r>
      <w:r>
        <w:fldChar w:fldCharType="separate"/>
      </w:r>
      <w:r>
        <w:rPr>
          <w:rFonts w:ascii="Times New Roman" w:hAnsi="Times New Roman" w:eastAsia="Calibri" w:cs="Times New Roman"/>
          <w:color w:val="0000FF"/>
          <w:sz w:val="20"/>
          <w:szCs w:val="20"/>
          <w:u w:val="single"/>
        </w:rPr>
        <w:t>https://journals.openedition.org/rccs/699</w:t>
      </w:r>
      <w:r>
        <w:rPr>
          <w:rFonts w:ascii="Times New Roman" w:hAnsi="Times New Roman" w:eastAsia="Calibri" w:cs="Times New Roman"/>
          <w:color w:val="0000FF"/>
          <w:sz w:val="20"/>
          <w:szCs w:val="20"/>
          <w:u w:val="single"/>
        </w:rPr>
        <w:fldChar w:fldCharType="end"/>
      </w:r>
    </w:p>
  </w:footnote>
  <w:footnote w:id="19">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sz w:val="20"/>
          <w:szCs w:val="20"/>
        </w:rPr>
      </w:pPr>
      <w:r>
        <w:rPr>
          <w:rFonts w:ascii="Times New Roman" w:hAnsi="Times New Roman" w:cs="Times New Roman"/>
          <w:vertAlign w:val="superscript"/>
        </w:rPr>
        <w:footnoteRef/>
      </w:r>
      <w:r>
        <w:rPr>
          <w:rFonts w:ascii="Times New Roman" w:hAnsi="Times New Roman" w:eastAsia="Calibri" w:cs="Times New Roman"/>
          <w:color w:val="000000"/>
          <w:sz w:val="20"/>
          <w:szCs w:val="20"/>
        </w:rPr>
        <w:t xml:space="preserve"> JAHN, J. </w:t>
      </w:r>
      <w:r>
        <w:rPr>
          <w:rFonts w:ascii="Times New Roman" w:hAnsi="Times New Roman" w:eastAsia="Calibri" w:cs="Times New Roman"/>
          <w:i/>
          <w:color w:val="000000"/>
          <w:sz w:val="20"/>
          <w:szCs w:val="20"/>
        </w:rPr>
        <w:t>Las culturas neoafricanas</w:t>
      </w:r>
      <w:r>
        <w:rPr>
          <w:rFonts w:ascii="Times New Roman" w:hAnsi="Times New Roman" w:eastAsia="Calibri" w:cs="Times New Roman"/>
          <w:color w:val="000000"/>
          <w:sz w:val="20"/>
          <w:szCs w:val="20"/>
        </w:rPr>
        <w:t>. México – Buenos Aires: Fondo de cultura económica, 1963.</w:t>
      </w:r>
    </w:p>
  </w:footnote>
  <w:footnote w:id="20">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sz w:val="20"/>
          <w:szCs w:val="20"/>
        </w:rPr>
      </w:pPr>
      <w:r>
        <w:rPr>
          <w:rFonts w:ascii="Times New Roman" w:hAnsi="Times New Roman" w:cs="Times New Roman"/>
          <w:vertAlign w:val="superscript"/>
        </w:rPr>
        <w:footnoteRef/>
      </w:r>
      <w:r>
        <w:rPr>
          <w:rFonts w:ascii="Times New Roman" w:hAnsi="Times New Roman" w:eastAsia="Calibri" w:cs="Times New Roman"/>
          <w:color w:val="000000"/>
          <w:sz w:val="20"/>
          <w:szCs w:val="20"/>
        </w:rPr>
        <w:t xml:space="preserve"> GILROY, P. </w:t>
      </w:r>
      <w:r>
        <w:rPr>
          <w:rFonts w:ascii="Times New Roman" w:hAnsi="Times New Roman" w:eastAsia="Calibri" w:cs="Times New Roman"/>
          <w:i/>
          <w:color w:val="000000"/>
          <w:sz w:val="20"/>
          <w:szCs w:val="20"/>
        </w:rPr>
        <w:t>O Atlântico Negro</w:t>
      </w:r>
      <w:r>
        <w:rPr>
          <w:rFonts w:ascii="Times New Roman" w:hAnsi="Times New Roman" w:eastAsia="Calibri" w:cs="Times New Roman"/>
          <w:color w:val="000000"/>
          <w:sz w:val="20"/>
          <w:szCs w:val="20"/>
        </w:rPr>
        <w:t>. Modernidade e dupla consciência, São Paulo, Rio de Janeiro, 34/Universidade Cândido Mendes, 2001.</w:t>
      </w:r>
    </w:p>
  </w:footnote>
  <w:footnote w:id="21">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sz w:val="20"/>
          <w:szCs w:val="20"/>
        </w:rPr>
      </w:pPr>
      <w:r>
        <w:rPr>
          <w:rFonts w:ascii="Times New Roman" w:hAnsi="Times New Roman" w:cs="Times New Roman"/>
          <w:vertAlign w:val="superscript"/>
        </w:rPr>
        <w:footnoteRef/>
      </w:r>
      <w:r>
        <w:rPr>
          <w:rFonts w:ascii="Times New Roman" w:hAnsi="Times New Roman" w:eastAsia="Calibri" w:cs="Times New Roman"/>
          <w:color w:val="000000"/>
          <w:sz w:val="20"/>
          <w:szCs w:val="20"/>
        </w:rPr>
        <w:t xml:space="preserve"> UNIVERSIDADE FEDERAL DE OURO PRETO. Projeto pedagógico das licenciaturas – PPL. Ouro Preto, 2018. Resolução Cepe 7488 aprova a política institucional de formação de professores da UFOP (PPL). Disponível em: </w:t>
      </w:r>
      <w:r>
        <w:fldChar w:fldCharType="begin"/>
      </w:r>
      <w:r>
        <w:instrText xml:space="preserve"> HYPERLINK "https://www.soc.ufop.br/public/files/RESOLUCAO_CEPE_7488_ANEXO_0.pdf" \h </w:instrText>
      </w:r>
      <w:r>
        <w:fldChar w:fldCharType="separate"/>
      </w:r>
      <w:r>
        <w:rPr>
          <w:rFonts w:ascii="Times New Roman" w:hAnsi="Times New Roman" w:eastAsia="Calibri" w:cs="Times New Roman"/>
          <w:color w:val="0000FF"/>
          <w:sz w:val="20"/>
          <w:szCs w:val="20"/>
          <w:u w:val="single"/>
        </w:rPr>
        <w:t>https://www.soc.ufop.br/public/files/RESOLUCAO_CEPE_7488_ANEXO_0.pdf</w:t>
      </w:r>
      <w:r>
        <w:rPr>
          <w:rFonts w:ascii="Times New Roman" w:hAnsi="Times New Roman" w:eastAsia="Calibri" w:cs="Times New Roman"/>
          <w:color w:val="0000FF"/>
          <w:sz w:val="20"/>
          <w:szCs w:val="20"/>
          <w:u w:val="single"/>
        </w:rPr>
        <w:fldChar w:fldCharType="end"/>
      </w:r>
    </w:p>
  </w:footnote>
  <w:footnote w:id="22">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cs="Times New Roman"/>
          <w:vertAlign w:val="superscript"/>
        </w:rPr>
        <w:footnoteRef/>
      </w:r>
      <w:r>
        <w:rPr>
          <w:rFonts w:ascii="Times New Roman" w:hAnsi="Times New Roman" w:eastAsia="Calibri" w:cs="Times New Roman"/>
          <w:color w:val="000000"/>
          <w:sz w:val="20"/>
          <w:szCs w:val="20"/>
        </w:rPr>
        <w:t xml:space="preserve"> É importante ressaltar que disciplinas como História das Áfricas e Ensino de História também contemplam iniciativas e propostas que se caracterizam como Prática Curricular direcionada para o Ensino de História.</w:t>
      </w:r>
    </w:p>
  </w:footnote>
  <w:footnote w:id="23">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sz w:val="20"/>
          <w:szCs w:val="20"/>
        </w:rPr>
      </w:pPr>
      <w:r>
        <w:rPr>
          <w:rFonts w:ascii="Times New Roman" w:hAnsi="Times New Roman" w:cs="Times New Roman"/>
          <w:vertAlign w:val="superscript"/>
        </w:rPr>
        <w:footnoteRef/>
      </w:r>
      <w:r>
        <w:rPr>
          <w:rFonts w:ascii="Times New Roman" w:hAnsi="Times New Roman" w:eastAsia="Calibri" w:cs="Times New Roman"/>
          <w:color w:val="000000"/>
          <w:sz w:val="20"/>
          <w:szCs w:val="20"/>
        </w:rPr>
        <w:t xml:space="preserve"> BRASIL. Secretaria de Educação Fundamental. </w:t>
      </w:r>
      <w:r>
        <w:rPr>
          <w:rFonts w:ascii="Times New Roman" w:hAnsi="Times New Roman" w:eastAsia="Calibri" w:cs="Times New Roman"/>
          <w:i/>
          <w:color w:val="000000"/>
          <w:sz w:val="20"/>
          <w:szCs w:val="20"/>
        </w:rPr>
        <w:t>Parâmetros curriculares nacionais: apresentação dos temas transversais, ética / Secretaria de Educação Fundamental</w:t>
      </w:r>
      <w:r>
        <w:rPr>
          <w:rFonts w:ascii="Times New Roman" w:hAnsi="Times New Roman" w:eastAsia="Calibri" w:cs="Times New Roman"/>
          <w:color w:val="000000"/>
          <w:sz w:val="20"/>
          <w:szCs w:val="20"/>
        </w:rPr>
        <w:t>. Brasília: MEC/SEF, 1997.</w:t>
      </w:r>
    </w:p>
  </w:footnote>
  <w:footnote w:id="24">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sz w:val="20"/>
          <w:szCs w:val="20"/>
        </w:rPr>
      </w:pPr>
      <w:r>
        <w:rPr>
          <w:rFonts w:ascii="Times New Roman" w:hAnsi="Times New Roman" w:cs="Times New Roman"/>
          <w:vertAlign w:val="superscript"/>
        </w:rPr>
        <w:footnoteRef/>
      </w:r>
      <w:r>
        <w:rPr>
          <w:rFonts w:ascii="Times New Roman" w:hAnsi="Times New Roman" w:eastAsia="Calibri" w:cs="Times New Roman"/>
          <w:color w:val="000000"/>
          <w:sz w:val="20"/>
          <w:szCs w:val="20"/>
        </w:rPr>
        <w:t xml:space="preserve"> COSTA, Antonio Carlos Figueiredo; ALMEIDA, Daniella Custódia de Almeida; SILVA, Tayane Alves da Silva. Os temas transversais e a lei 10.639/03: o desafio da sua aplicação nas séries iniciais de ensino. </w:t>
      </w:r>
      <w:r>
        <w:rPr>
          <w:rFonts w:ascii="Times New Roman" w:hAnsi="Times New Roman" w:eastAsia="Calibri" w:cs="Times New Roman"/>
          <w:i/>
          <w:color w:val="000000"/>
          <w:sz w:val="20"/>
          <w:szCs w:val="20"/>
        </w:rPr>
        <w:t>SABERES</w:t>
      </w:r>
      <w:r>
        <w:rPr>
          <w:rFonts w:ascii="Times New Roman" w:hAnsi="Times New Roman" w:eastAsia="Calibri" w:cs="Times New Roman"/>
          <w:color w:val="000000"/>
          <w:sz w:val="20"/>
          <w:szCs w:val="20"/>
        </w:rPr>
        <w:t>, Natal RN, v. 1, n. 18, Maio, 2018, p.152.</w:t>
      </w:r>
    </w:p>
  </w:footnote>
  <w:footnote w:id="25">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sz w:val="20"/>
          <w:szCs w:val="20"/>
        </w:rPr>
      </w:pPr>
      <w:r>
        <w:rPr>
          <w:rFonts w:ascii="Times New Roman" w:hAnsi="Times New Roman" w:cs="Times New Roman"/>
          <w:vertAlign w:val="superscript"/>
        </w:rPr>
        <w:footnoteRef/>
      </w:r>
      <w:r>
        <w:rPr>
          <w:rFonts w:ascii="Times New Roman" w:hAnsi="Times New Roman" w:eastAsia="Calibri" w:cs="Times New Roman"/>
          <w:color w:val="000000"/>
          <w:sz w:val="20"/>
          <w:szCs w:val="20"/>
        </w:rPr>
        <w:t xml:space="preserve"> CHAKRABARTY, Dipesh. O clima da história: quatro teses. </w:t>
      </w:r>
      <w:r>
        <w:rPr>
          <w:rFonts w:ascii="Times New Roman" w:hAnsi="Times New Roman" w:eastAsia="Calibri" w:cs="Times New Roman"/>
          <w:i/>
          <w:color w:val="000000"/>
          <w:sz w:val="20"/>
          <w:szCs w:val="20"/>
        </w:rPr>
        <w:t>Sopro 91</w:t>
      </w:r>
      <w:r>
        <w:rPr>
          <w:rFonts w:ascii="Times New Roman" w:hAnsi="Times New Roman" w:eastAsia="Calibri" w:cs="Times New Roman"/>
          <w:color w:val="000000"/>
          <w:sz w:val="20"/>
          <w:szCs w:val="20"/>
        </w:rPr>
        <w:t xml:space="preserve">, julho de 2013. Disponível em: </w:t>
      </w:r>
      <w:r>
        <w:fldChar w:fldCharType="begin"/>
      </w:r>
      <w:r>
        <w:instrText xml:space="preserve"> HYPERLINK "http://www.culturaebarbarie.org/sopro/n91s.pdf" \h </w:instrText>
      </w:r>
      <w:r>
        <w:fldChar w:fldCharType="separate"/>
      </w:r>
      <w:r>
        <w:rPr>
          <w:rFonts w:ascii="Times New Roman" w:hAnsi="Times New Roman" w:eastAsia="Calibri" w:cs="Times New Roman"/>
          <w:color w:val="0000FF"/>
          <w:sz w:val="20"/>
          <w:szCs w:val="20"/>
          <w:u w:val="single"/>
        </w:rPr>
        <w:t>http://www.culturaebarbarie.org/sopro/n91s.pdf</w:t>
      </w:r>
      <w:r>
        <w:rPr>
          <w:rFonts w:ascii="Times New Roman" w:hAnsi="Times New Roman" w:eastAsia="Calibri" w:cs="Times New Roman"/>
          <w:color w:val="0000FF"/>
          <w:sz w:val="20"/>
          <w:szCs w:val="20"/>
          <w:u w:val="single"/>
        </w:rPr>
        <w:fldChar w:fldCharType="end"/>
      </w:r>
    </w:p>
  </w:footnote>
  <w:footnote w:id="26">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sz w:val="20"/>
          <w:szCs w:val="20"/>
        </w:rPr>
      </w:pPr>
      <w:r>
        <w:rPr>
          <w:rFonts w:ascii="Times New Roman" w:hAnsi="Times New Roman" w:cs="Times New Roman"/>
          <w:vertAlign w:val="superscript"/>
        </w:rPr>
        <w:footnoteRef/>
      </w:r>
      <w:r>
        <w:rPr>
          <w:rFonts w:ascii="Times New Roman" w:hAnsi="Times New Roman" w:eastAsia="Calibri" w:cs="Times New Roman"/>
          <w:color w:val="000000"/>
          <w:sz w:val="20"/>
          <w:szCs w:val="20"/>
        </w:rPr>
        <w:t xml:space="preserve"> MAIA DO BOMFIM, Alexandre </w:t>
      </w:r>
      <w:r>
        <w:rPr>
          <w:rFonts w:ascii="Times New Roman" w:hAnsi="Times New Roman" w:eastAsia="Calibri" w:cs="Times New Roman"/>
          <w:i/>
          <w:color w:val="000000"/>
          <w:sz w:val="20"/>
          <w:szCs w:val="20"/>
        </w:rPr>
        <w:t>et al</w:t>
      </w:r>
      <w:r>
        <w:rPr>
          <w:rFonts w:ascii="Times New Roman" w:hAnsi="Times New Roman" w:eastAsia="Calibri" w:cs="Times New Roman"/>
          <w:color w:val="000000"/>
          <w:sz w:val="20"/>
          <w:szCs w:val="20"/>
        </w:rPr>
        <w:t xml:space="preserve">. Parâmetros curriculares nacionais: uma revisita aos temas transversais meio ambiente e saúde. </w:t>
      </w:r>
      <w:r>
        <w:rPr>
          <w:rFonts w:ascii="Times New Roman" w:hAnsi="Times New Roman" w:eastAsia="Calibri" w:cs="Times New Roman"/>
          <w:i/>
          <w:color w:val="000000"/>
          <w:sz w:val="20"/>
          <w:szCs w:val="20"/>
        </w:rPr>
        <w:t>Trabalho, Educação e Saúde</w:t>
      </w:r>
      <w:r>
        <w:rPr>
          <w:rFonts w:ascii="Times New Roman" w:hAnsi="Times New Roman" w:eastAsia="Calibri" w:cs="Times New Roman"/>
          <w:color w:val="000000"/>
          <w:sz w:val="20"/>
          <w:szCs w:val="20"/>
        </w:rPr>
        <w:t xml:space="preserve"> [enlinea]. 2013, 11(1), p. 34-35 [fecha de Consulta 18 de Noviembre de 2019]. ISSN: 1678-1007. Disponible en:</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sz w:val="20"/>
          <w:szCs w:val="20"/>
        </w:rPr>
      </w:pPr>
      <w:r>
        <w:fldChar w:fldCharType="begin"/>
      </w:r>
      <w:r>
        <w:instrText xml:space="preserve"> HYPERLINK "https://www.redalyc.org/articulo.oa?id=406756995003" \h </w:instrText>
      </w:r>
      <w:r>
        <w:fldChar w:fldCharType="separate"/>
      </w:r>
      <w:r>
        <w:rPr>
          <w:rFonts w:ascii="Times New Roman" w:hAnsi="Times New Roman" w:eastAsia="Calibri" w:cs="Times New Roman"/>
          <w:color w:val="0000FF"/>
          <w:sz w:val="20"/>
          <w:szCs w:val="20"/>
          <w:u w:val="single"/>
        </w:rPr>
        <w:t>https://www.redalyc.org/articulo.oa?id=406756995003</w:t>
      </w:r>
      <w:r>
        <w:rPr>
          <w:rFonts w:ascii="Times New Roman" w:hAnsi="Times New Roman" w:eastAsia="Calibri" w:cs="Times New Roman"/>
          <w:color w:val="0000FF"/>
          <w:sz w:val="20"/>
          <w:szCs w:val="20"/>
          <w:u w:val="single"/>
        </w:rPr>
        <w:fldChar w:fldCharType="end"/>
      </w:r>
    </w:p>
  </w:footnote>
  <w:footnote w:id="27">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sz w:val="20"/>
          <w:szCs w:val="20"/>
        </w:rPr>
      </w:pPr>
      <w:r>
        <w:rPr>
          <w:rFonts w:ascii="Times New Roman" w:hAnsi="Times New Roman" w:cs="Times New Roman"/>
          <w:vertAlign w:val="superscript"/>
        </w:rPr>
        <w:footnoteRef/>
      </w:r>
      <w:r>
        <w:rPr>
          <w:rFonts w:ascii="Times New Roman" w:hAnsi="Times New Roman" w:eastAsia="Calibri" w:cs="Times New Roman"/>
          <w:color w:val="000000"/>
          <w:sz w:val="20"/>
          <w:szCs w:val="20"/>
          <w:vertAlign w:val="superscript"/>
        </w:rPr>
        <w:t xml:space="preserve"> </w:t>
      </w:r>
      <w:r>
        <w:rPr>
          <w:rFonts w:ascii="Times New Roman" w:hAnsi="Times New Roman" w:eastAsia="Calibri" w:cs="Times New Roman"/>
          <w:color w:val="000000"/>
          <w:sz w:val="20"/>
          <w:szCs w:val="20"/>
        </w:rPr>
        <w:t xml:space="preserve">PEREIRA, Júnia Sales. Reconhecendo ou construindo uma polaridade étnico-identitária? Desafios do ensino de história no imediato contexto pós-Lei nº 10.639. </w:t>
      </w:r>
      <w:r>
        <w:rPr>
          <w:rFonts w:ascii="Times New Roman" w:hAnsi="Times New Roman" w:eastAsia="Calibri" w:cs="Times New Roman"/>
          <w:i/>
          <w:color w:val="000000"/>
          <w:sz w:val="20"/>
          <w:szCs w:val="20"/>
        </w:rPr>
        <w:t>Estudos históricos</w:t>
      </w:r>
      <w:r>
        <w:rPr>
          <w:rFonts w:ascii="Times New Roman" w:hAnsi="Times New Roman" w:eastAsia="Calibri" w:cs="Times New Roman"/>
          <w:color w:val="000000"/>
          <w:sz w:val="20"/>
          <w:szCs w:val="20"/>
        </w:rPr>
        <w:t xml:space="preserve"> (Rio de Janeiro), Rio de Janeiro, v. 21, n. 41, p. 21-43, 2008.</w:t>
      </w:r>
    </w:p>
  </w:footnote>
  <w:footnote w:id="28">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Times New Roman" w:cs="Times New Roman"/>
          <w:color w:val="000000"/>
        </w:rPr>
      </w:pPr>
      <w:r>
        <w:rPr>
          <w:rFonts w:ascii="Times New Roman" w:hAnsi="Times New Roman" w:cs="Times New Roman"/>
          <w:vertAlign w:val="superscript"/>
        </w:rPr>
        <w:footnoteRef/>
      </w:r>
      <w:r>
        <w:rPr>
          <w:rFonts w:ascii="Times New Roman" w:hAnsi="Times New Roman" w:eastAsia="Calibri" w:cs="Times New Roman"/>
          <w:color w:val="000000"/>
        </w:rPr>
        <w:t xml:space="preserve"> </w:t>
      </w:r>
      <w:r>
        <w:rPr>
          <w:rFonts w:ascii="Times New Roman" w:hAnsi="Times New Roman" w:eastAsia="Calibri" w:cs="Times New Roman"/>
          <w:color w:val="000000"/>
          <w:sz w:val="20"/>
          <w:szCs w:val="20"/>
        </w:rPr>
        <w:t xml:space="preserve">Listamos, de forma não exaustiva, algumas referências importantes sobre o tema: CAVALCANTE, Thiago L. V. Etno-história e história indígena: questões sobre conceitos, métodos e relevância da pesquisa. </w:t>
      </w:r>
      <w:r>
        <w:rPr>
          <w:rFonts w:ascii="Times New Roman" w:hAnsi="Times New Roman" w:eastAsia="Calibri" w:cs="Times New Roman"/>
          <w:i/>
          <w:color w:val="000000"/>
          <w:sz w:val="20"/>
          <w:szCs w:val="20"/>
        </w:rPr>
        <w:t xml:space="preserve">História </w:t>
      </w:r>
      <w:r>
        <w:rPr>
          <w:rFonts w:ascii="Times New Roman" w:hAnsi="Times New Roman" w:eastAsia="Calibri" w:cs="Times New Roman"/>
          <w:color w:val="000000"/>
          <w:sz w:val="20"/>
          <w:szCs w:val="20"/>
        </w:rPr>
        <w:t xml:space="preserve">(São Paulo), v. 30, n. 1, p. 349-371, jan./jun. 2011; CUNHA, Manuela Carneiro da. </w:t>
      </w:r>
      <w:r>
        <w:rPr>
          <w:rFonts w:ascii="Times New Roman" w:hAnsi="Times New Roman" w:eastAsia="Calibri" w:cs="Times New Roman"/>
          <w:i/>
          <w:color w:val="000000"/>
          <w:sz w:val="20"/>
          <w:szCs w:val="20"/>
        </w:rPr>
        <w:t>História dos índios no Brasil. São Paulo</w:t>
      </w:r>
      <w:r>
        <w:rPr>
          <w:rFonts w:ascii="Times New Roman" w:hAnsi="Times New Roman" w:eastAsia="Calibri" w:cs="Times New Roman"/>
          <w:color w:val="000000"/>
          <w:sz w:val="20"/>
          <w:szCs w:val="20"/>
        </w:rPr>
        <w:t xml:space="preserve">: Companhia das Letras, 1992; FERNÁNDEZ, Blanca; SEPÚLVEDA Bastien. Pueblos indígenas, saberes y descolonización: procesos interculturales en América Latina. </w:t>
      </w:r>
      <w:r>
        <w:rPr>
          <w:rFonts w:ascii="Times New Roman" w:hAnsi="Times New Roman" w:eastAsia="Calibri" w:cs="Times New Roman"/>
          <w:i/>
          <w:color w:val="000000"/>
          <w:sz w:val="20"/>
          <w:szCs w:val="20"/>
        </w:rPr>
        <w:t>Polis revista latinoamericana</w:t>
      </w:r>
      <w:r>
        <w:rPr>
          <w:rFonts w:ascii="Times New Roman" w:hAnsi="Times New Roman" w:eastAsia="Calibri" w:cs="Times New Roman"/>
          <w:color w:val="000000"/>
          <w:sz w:val="20"/>
          <w:szCs w:val="20"/>
        </w:rPr>
        <w:t xml:space="preserve">, n. 38, 2014. Disponível em: </w:t>
      </w:r>
      <w:r>
        <w:fldChar w:fldCharType="begin"/>
      </w:r>
      <w:r>
        <w:instrText xml:space="preserve"> HYPERLINK "https://polis.revues.org/10323" \h </w:instrText>
      </w:r>
      <w:r>
        <w:fldChar w:fldCharType="separate"/>
      </w:r>
      <w:r>
        <w:rPr>
          <w:rFonts w:ascii="Times New Roman" w:hAnsi="Times New Roman" w:eastAsia="Calibri" w:cs="Times New Roman"/>
          <w:color w:val="0000FF"/>
          <w:sz w:val="20"/>
          <w:szCs w:val="20"/>
          <w:u w:val="single"/>
        </w:rPr>
        <w:t>https://polis.revues.org/10323</w:t>
      </w:r>
      <w:r>
        <w:rPr>
          <w:rFonts w:ascii="Times New Roman" w:hAnsi="Times New Roman" w:eastAsia="Calibri" w:cs="Times New Roman"/>
          <w:color w:val="0000FF"/>
          <w:sz w:val="20"/>
          <w:szCs w:val="20"/>
          <w:u w:val="single"/>
        </w:rPr>
        <w:fldChar w:fldCharType="end"/>
      </w:r>
      <w:r>
        <w:rPr>
          <w:rFonts w:ascii="Times New Roman" w:hAnsi="Times New Roman" w:eastAsia="Calibri" w:cs="Times New Roman"/>
          <w:color w:val="000000"/>
          <w:sz w:val="20"/>
          <w:szCs w:val="20"/>
        </w:rPr>
        <w:t xml:space="preserve">. Acesso em: 16/07/2017; MONTEIRO, John M. </w:t>
      </w:r>
      <w:r>
        <w:rPr>
          <w:rFonts w:ascii="Times New Roman" w:hAnsi="Times New Roman" w:eastAsia="Calibri" w:cs="Times New Roman"/>
          <w:i/>
          <w:color w:val="000000"/>
          <w:sz w:val="20"/>
          <w:szCs w:val="20"/>
        </w:rPr>
        <w:t>Tupis, tapuias e historiadores</w:t>
      </w:r>
      <w:r>
        <w:rPr>
          <w:rFonts w:ascii="Times New Roman" w:hAnsi="Times New Roman" w:eastAsia="Calibri" w:cs="Times New Roman"/>
          <w:color w:val="000000"/>
          <w:sz w:val="20"/>
          <w:szCs w:val="20"/>
        </w:rPr>
        <w:t xml:space="preserve">: estudos de História Indígena e do Indigenismo. Campinas, Unicamp, 2001; PARGA, José-Sánchez. </w:t>
      </w:r>
      <w:r>
        <w:rPr>
          <w:rFonts w:ascii="Times New Roman" w:hAnsi="Times New Roman" w:eastAsia="Calibri" w:cs="Times New Roman"/>
          <w:i/>
          <w:color w:val="000000"/>
          <w:sz w:val="20"/>
          <w:szCs w:val="20"/>
        </w:rPr>
        <w:t>Qué significa ser indígena para el indígena. Más allá de la comunidad y la lengua</w:t>
      </w:r>
      <w:r>
        <w:rPr>
          <w:rFonts w:ascii="Times New Roman" w:hAnsi="Times New Roman" w:eastAsia="Calibri" w:cs="Times New Roman"/>
          <w:color w:val="000000"/>
          <w:sz w:val="20"/>
          <w:szCs w:val="20"/>
        </w:rPr>
        <w:t xml:space="preserve">. Cuenca, Ecuador: Universidad Politécnica Salesiana, 2013; ZAPATA, Claudia (Comp.). </w:t>
      </w:r>
      <w:r>
        <w:rPr>
          <w:rFonts w:ascii="Times New Roman" w:hAnsi="Times New Roman" w:eastAsia="Calibri" w:cs="Times New Roman"/>
          <w:i/>
          <w:color w:val="000000"/>
          <w:sz w:val="20"/>
          <w:szCs w:val="20"/>
        </w:rPr>
        <w:t>Intelectuales indígenas piensan América Latina</w:t>
      </w:r>
      <w:r>
        <w:rPr>
          <w:rFonts w:ascii="Times New Roman" w:hAnsi="Times New Roman" w:eastAsia="Calibri" w:cs="Times New Roman"/>
          <w:color w:val="000000"/>
          <w:sz w:val="20"/>
          <w:szCs w:val="20"/>
        </w:rPr>
        <w:t>. Quito: Universidad Andina Simón Bolívar, 2007.</w:t>
      </w:r>
    </w:p>
  </w:footnote>
  <w:footnote w:id="29">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sz w:val="20"/>
          <w:szCs w:val="20"/>
        </w:rPr>
      </w:pPr>
      <w:r>
        <w:rPr>
          <w:rFonts w:ascii="Times New Roman" w:hAnsi="Times New Roman" w:cs="Times New Roman"/>
          <w:vertAlign w:val="superscript"/>
        </w:rPr>
        <w:footnoteRef/>
      </w:r>
      <w:r>
        <w:rPr>
          <w:rFonts w:ascii="Times New Roman" w:hAnsi="Times New Roman" w:eastAsia="Calibri" w:cs="Times New Roman"/>
          <w:color w:val="000000"/>
          <w:sz w:val="20"/>
          <w:szCs w:val="20"/>
        </w:rPr>
        <w:t xml:space="preserve"> </w:t>
      </w:r>
      <w:r>
        <w:rPr>
          <w:rFonts w:ascii="Times New Roman" w:hAnsi="Times New Roman" w:eastAsia="Calibri" w:cs="Times New Roman"/>
          <w:color w:val="201F1E"/>
          <w:sz w:val="20"/>
          <w:szCs w:val="20"/>
          <w:highlight w:val="white"/>
        </w:rPr>
        <w:t>MBEMBE, Achille</w:t>
      </w:r>
      <w:r>
        <w:rPr>
          <w:rFonts w:ascii="Times New Roman" w:hAnsi="Times New Roman" w:eastAsia="Calibri" w:cs="Times New Roman"/>
          <w:i/>
          <w:color w:val="201F1E"/>
          <w:sz w:val="20"/>
          <w:szCs w:val="20"/>
          <w:highlight w:val="white"/>
        </w:rPr>
        <w:t>. Diferença e autodeterminação</w:t>
      </w:r>
      <w:r>
        <w:rPr>
          <w:rFonts w:ascii="Times New Roman" w:hAnsi="Times New Roman" w:eastAsia="Calibri" w:cs="Times New Roman"/>
          <w:color w:val="201F1E"/>
          <w:sz w:val="20"/>
          <w:szCs w:val="20"/>
          <w:highlight w:val="white"/>
        </w:rPr>
        <w:t xml:space="preserve">. </w:t>
      </w:r>
      <w:r>
        <w:rPr>
          <w:rFonts w:ascii="Times New Roman" w:hAnsi="Times New Roman" w:eastAsia="Calibri" w:cs="Times New Roman"/>
          <w:i/>
          <w:color w:val="201F1E"/>
          <w:sz w:val="20"/>
          <w:szCs w:val="20"/>
          <w:highlight w:val="white"/>
        </w:rPr>
        <w:t>Crítica da Razão Negra</w:t>
      </w:r>
      <w:r>
        <w:rPr>
          <w:rFonts w:ascii="Times New Roman" w:hAnsi="Times New Roman" w:eastAsia="Calibri" w:cs="Times New Roman"/>
          <w:color w:val="201F1E"/>
          <w:sz w:val="20"/>
          <w:szCs w:val="20"/>
          <w:highlight w:val="white"/>
        </w:rPr>
        <w:t>. Lisboa: n</w:t>
      </w:r>
      <w:r>
        <w:rPr>
          <w:rFonts w:ascii="Times New Roman" w:hAnsi="Times New Roman" w:eastAsia="Calibri" w:cs="Times New Roman"/>
          <w:color w:val="201F1E"/>
          <w:sz w:val="20"/>
          <w:szCs w:val="20"/>
          <w:highlight w:val="white"/>
          <w:vertAlign w:val="superscript"/>
        </w:rPr>
        <w:t xml:space="preserve">o </w:t>
      </w:r>
      <w:r>
        <w:rPr>
          <w:rFonts w:ascii="Times New Roman" w:hAnsi="Times New Roman" w:eastAsia="Calibri" w:cs="Times New Roman"/>
          <w:color w:val="201F1E"/>
          <w:sz w:val="20"/>
          <w:szCs w:val="20"/>
          <w:highlight w:val="white"/>
        </w:rPr>
        <w:t>1 edições, 2018.</w:t>
      </w:r>
    </w:p>
  </w:footnote>
  <w:footnote w:id="30">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sz w:val="20"/>
          <w:szCs w:val="20"/>
        </w:rPr>
      </w:pPr>
      <w:r>
        <w:rPr>
          <w:rFonts w:ascii="Times New Roman" w:hAnsi="Times New Roman" w:cs="Times New Roman"/>
          <w:vertAlign w:val="superscript"/>
        </w:rPr>
        <w:footnoteRef/>
      </w:r>
      <w:r>
        <w:rPr>
          <w:rFonts w:ascii="Times New Roman" w:hAnsi="Times New Roman" w:eastAsia="Calibri" w:cs="Times New Roman"/>
          <w:color w:val="000000"/>
          <w:sz w:val="20"/>
          <w:szCs w:val="20"/>
        </w:rPr>
        <w:t xml:space="preserve"> FERNANDES, Angela Viana Machado; PALUDETO, Melina Casari Paludeto. Educação e Direitos Humanos: desafios para a escola contemporânea. In: </w:t>
      </w:r>
      <w:r>
        <w:rPr>
          <w:rFonts w:ascii="Times New Roman" w:hAnsi="Times New Roman" w:eastAsia="Calibri" w:cs="Times New Roman"/>
          <w:i/>
          <w:color w:val="000000"/>
          <w:sz w:val="20"/>
          <w:szCs w:val="20"/>
        </w:rPr>
        <w:t>Cad. Cedes</w:t>
      </w:r>
      <w:r>
        <w:rPr>
          <w:rFonts w:ascii="Times New Roman" w:hAnsi="Times New Roman" w:eastAsia="Calibri" w:cs="Times New Roman"/>
          <w:color w:val="000000"/>
          <w:sz w:val="20"/>
          <w:szCs w:val="20"/>
        </w:rPr>
        <w:t>, Campinas, vol. 30, n</w:t>
      </w:r>
      <w:r>
        <w:rPr>
          <w:rFonts w:ascii="Times New Roman" w:hAnsi="Times New Roman" w:eastAsia="Calibri" w:cs="Times New Roman"/>
          <w:color w:val="000000"/>
          <w:sz w:val="20"/>
          <w:szCs w:val="20"/>
          <w:vertAlign w:val="superscript"/>
        </w:rPr>
        <w:t>o</w:t>
      </w:r>
      <w:r>
        <w:rPr>
          <w:rFonts w:ascii="Times New Roman" w:hAnsi="Times New Roman" w:eastAsia="Calibri" w:cs="Times New Roman"/>
          <w:color w:val="000000"/>
          <w:sz w:val="20"/>
          <w:szCs w:val="20"/>
        </w:rPr>
        <w:t xml:space="preserve"> 81, mai-ago. 2010 p. 247.</w:t>
      </w:r>
    </w:p>
  </w:footnote>
  <w:footnote w:id="31">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sz w:val="20"/>
          <w:szCs w:val="20"/>
        </w:rPr>
      </w:pPr>
      <w:r>
        <w:rPr>
          <w:rFonts w:ascii="Times New Roman" w:hAnsi="Times New Roman" w:cs="Times New Roman"/>
          <w:vertAlign w:val="superscript"/>
        </w:rPr>
        <w:footnoteRef/>
      </w:r>
      <w:r>
        <w:rPr>
          <w:rFonts w:ascii="Times New Roman" w:hAnsi="Times New Roman" w:eastAsia="Calibri" w:cs="Times New Roman"/>
          <w:color w:val="000000"/>
          <w:sz w:val="20"/>
          <w:szCs w:val="20"/>
        </w:rPr>
        <w:t xml:space="preserve"> BRASIL. Conselho Nacional de Educação. </w:t>
      </w:r>
      <w:r>
        <w:rPr>
          <w:rFonts w:ascii="Times New Roman" w:hAnsi="Times New Roman" w:eastAsia="Calibri" w:cs="Times New Roman"/>
          <w:i/>
          <w:color w:val="000000"/>
          <w:sz w:val="20"/>
          <w:szCs w:val="20"/>
        </w:rPr>
        <w:t>Diretrizes Curriculares Nacionais para a Formação Inicial e Continuada dos Profissionais do Magistério da Educação Básica</w:t>
      </w:r>
      <w:r>
        <w:rPr>
          <w:rFonts w:ascii="Times New Roman" w:hAnsi="Times New Roman" w:eastAsia="Calibri" w:cs="Times New Roman"/>
          <w:color w:val="000000"/>
          <w:sz w:val="20"/>
          <w:szCs w:val="20"/>
        </w:rPr>
        <w:t>. Parecer CNE/CP nº 2 de 9 de junho de 2015.</w:t>
      </w:r>
    </w:p>
  </w:footnote>
  <w:footnote w:id="32">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cs="Times New Roman"/>
          <w:vertAlign w:val="superscript"/>
        </w:rPr>
        <w:footnoteRef/>
      </w:r>
      <w:r>
        <w:rPr>
          <w:rFonts w:ascii="Times New Roman" w:hAnsi="Times New Roman" w:eastAsia="Calibri" w:cs="Times New Roman"/>
          <w:color w:val="000000"/>
          <w:sz w:val="20"/>
          <w:szCs w:val="20"/>
        </w:rPr>
        <w:t xml:space="preserve"> QUIJANO, Aníbal. Coloniality of Power, Ethnocentrism, and Latin America. </w:t>
      </w:r>
      <w:r>
        <w:rPr>
          <w:rFonts w:ascii="Times New Roman" w:hAnsi="Times New Roman" w:eastAsia="Calibri" w:cs="Times New Roman"/>
          <w:i/>
          <w:color w:val="000000"/>
          <w:sz w:val="20"/>
          <w:szCs w:val="20"/>
        </w:rPr>
        <w:t>Nepantla</w:t>
      </w:r>
      <w:r>
        <w:rPr>
          <w:rFonts w:ascii="Times New Roman" w:hAnsi="Times New Roman" w:eastAsia="Calibri" w:cs="Times New Roman"/>
          <w:color w:val="000000"/>
          <w:sz w:val="20"/>
          <w:szCs w:val="20"/>
        </w:rPr>
        <w:t>1 (3), 2000, p. 533-580.</w:t>
      </w:r>
    </w:p>
  </w:footnote>
  <w:footnote w:id="33">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cs="Times New Roman"/>
          <w:vertAlign w:val="superscript"/>
        </w:rPr>
        <w:footnoteRef/>
      </w:r>
      <w:r>
        <w:rPr>
          <w:rFonts w:ascii="Times New Roman" w:hAnsi="Times New Roman" w:eastAsia="Calibri" w:cs="Times New Roman"/>
          <w:color w:val="000000"/>
          <w:sz w:val="20"/>
          <w:szCs w:val="20"/>
          <w:vertAlign w:val="superscript"/>
        </w:rPr>
        <w:t xml:space="preserve"> </w:t>
      </w:r>
      <w:r>
        <w:rPr>
          <w:rFonts w:ascii="Times New Roman" w:hAnsi="Times New Roman" w:eastAsia="Calibri" w:cs="Times New Roman"/>
          <w:color w:val="000000"/>
          <w:sz w:val="20"/>
          <w:szCs w:val="20"/>
        </w:rPr>
        <w:t xml:space="preserve">GOMES, Nilma Lino. Relações étnico-raciais, educação e descolonização dos currículos. </w:t>
      </w:r>
      <w:r>
        <w:rPr>
          <w:rFonts w:ascii="Times New Roman" w:hAnsi="Times New Roman" w:eastAsia="Calibri" w:cs="Times New Roman"/>
          <w:i/>
          <w:color w:val="000000"/>
          <w:sz w:val="20"/>
          <w:szCs w:val="20"/>
        </w:rPr>
        <w:t>Currículo sem fronteiras</w:t>
      </w:r>
      <w:r>
        <w:rPr>
          <w:rFonts w:ascii="Times New Roman" w:hAnsi="Times New Roman" w:eastAsia="Calibri" w:cs="Times New Roman"/>
          <w:color w:val="000000"/>
          <w:sz w:val="20"/>
          <w:szCs w:val="20"/>
        </w:rPr>
        <w:t>, v. 12, n</w:t>
      </w:r>
      <w:r>
        <w:rPr>
          <w:rFonts w:ascii="Times New Roman" w:hAnsi="Times New Roman" w:eastAsia="Calibri" w:cs="Times New Roman"/>
          <w:color w:val="000000"/>
          <w:sz w:val="20"/>
          <w:szCs w:val="20"/>
          <w:vertAlign w:val="superscript"/>
        </w:rPr>
        <w:t>o</w:t>
      </w:r>
      <w:r>
        <w:rPr>
          <w:rFonts w:ascii="Times New Roman" w:hAnsi="Times New Roman" w:eastAsia="Calibri" w:cs="Times New Roman"/>
          <w:color w:val="000000"/>
          <w:sz w:val="20"/>
          <w:szCs w:val="20"/>
        </w:rPr>
        <w:t>. 1, abr 2012, p. 98-109.</w:t>
      </w:r>
    </w:p>
  </w:footnote>
  <w:footnote w:id="34">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cs="Times New Roman"/>
          <w:vertAlign w:val="superscript"/>
        </w:rPr>
        <w:footnoteRef/>
      </w:r>
      <w:r>
        <w:rPr>
          <w:rFonts w:ascii="Times New Roman" w:hAnsi="Times New Roman" w:eastAsia="Calibri" w:cs="Times New Roman"/>
          <w:color w:val="000000"/>
          <w:sz w:val="20"/>
          <w:szCs w:val="20"/>
        </w:rPr>
        <w:t xml:space="preserve"> CORREA, M.E., SALDARRIAGA, D. El epistemicidio indígena latino-americano: algunas reflexiones desde elpensamiento crítico decolonial. </w:t>
      </w:r>
      <w:r>
        <w:rPr>
          <w:rFonts w:ascii="Times New Roman" w:hAnsi="Times New Roman" w:eastAsia="Calibri" w:cs="Times New Roman"/>
          <w:i/>
          <w:color w:val="000000"/>
          <w:sz w:val="20"/>
          <w:szCs w:val="20"/>
        </w:rPr>
        <w:t>CES Derecho</w:t>
      </w:r>
      <w:r>
        <w:rPr>
          <w:rFonts w:ascii="Times New Roman" w:hAnsi="Times New Roman" w:eastAsia="Calibri" w:cs="Times New Roman"/>
          <w:color w:val="000000"/>
          <w:sz w:val="20"/>
          <w:szCs w:val="20"/>
        </w:rPr>
        <w:t xml:space="preserve">, 5(2), 2014, p. 154-164. </w:t>
      </w:r>
    </w:p>
  </w:footnote>
  <w:footnote w:id="35">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cs="Times New Roman"/>
          <w:vertAlign w:val="superscript"/>
        </w:rPr>
        <w:footnoteRef/>
      </w:r>
      <w:r>
        <w:rPr>
          <w:rFonts w:ascii="Times New Roman" w:hAnsi="Times New Roman" w:eastAsia="Calibri" w:cs="Times New Roman"/>
          <w:color w:val="000000"/>
          <w:sz w:val="20"/>
          <w:szCs w:val="20"/>
        </w:rPr>
        <w:t xml:space="preserve"> GONÇALVES, Clézio Roberto, MUNIZ, Kassandra da Silva (Orgs.). </w:t>
      </w:r>
      <w:r>
        <w:rPr>
          <w:rFonts w:ascii="Times New Roman" w:hAnsi="Times New Roman" w:eastAsia="Calibri" w:cs="Times New Roman"/>
          <w:i/>
          <w:color w:val="000000"/>
          <w:sz w:val="20"/>
          <w:szCs w:val="20"/>
        </w:rPr>
        <w:t>Educação como prática da igualdade racial na escola</w:t>
      </w:r>
      <w:r>
        <w:rPr>
          <w:rFonts w:ascii="Times New Roman" w:hAnsi="Times New Roman" w:eastAsia="Calibri" w:cs="Times New Roman"/>
          <w:color w:val="000000"/>
          <w:sz w:val="20"/>
          <w:szCs w:val="20"/>
        </w:rPr>
        <w:t>. Belo Horizonte: Mazza Edições, 2016.</w:t>
      </w:r>
    </w:p>
  </w:footnote>
  <w:footnote w:id="36">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cs="Times New Roman"/>
          <w:vertAlign w:val="superscript"/>
        </w:rPr>
        <w:footnoteRef/>
      </w:r>
      <w:r>
        <w:rPr>
          <w:rFonts w:ascii="Times New Roman" w:hAnsi="Times New Roman" w:eastAsia="Calibri" w:cs="Times New Roman"/>
          <w:color w:val="000000"/>
          <w:sz w:val="20"/>
          <w:szCs w:val="20"/>
          <w:vertAlign w:val="superscript"/>
        </w:rPr>
        <w:t xml:space="preserve"> </w:t>
      </w:r>
      <w:r>
        <w:rPr>
          <w:rFonts w:ascii="Times New Roman" w:hAnsi="Times New Roman" w:eastAsia="Calibri" w:cs="Times New Roman"/>
          <w:color w:val="000000"/>
          <w:sz w:val="20"/>
          <w:szCs w:val="20"/>
        </w:rPr>
        <w:t xml:space="preserve">KRENAK, Ailton. O eterno retorno do encontro. In: NOVAES, Adauto. </w:t>
      </w:r>
      <w:r>
        <w:rPr>
          <w:rFonts w:ascii="Times New Roman" w:hAnsi="Times New Roman" w:eastAsia="Calibri" w:cs="Times New Roman"/>
          <w:i/>
          <w:color w:val="000000"/>
          <w:sz w:val="20"/>
          <w:szCs w:val="20"/>
        </w:rPr>
        <w:t>A outra margem do ocidente</w:t>
      </w:r>
      <w:r>
        <w:rPr>
          <w:rFonts w:ascii="Times New Roman" w:hAnsi="Times New Roman" w:eastAsia="Calibri" w:cs="Times New Roman"/>
          <w:color w:val="000000"/>
          <w:sz w:val="20"/>
          <w:szCs w:val="20"/>
        </w:rPr>
        <w:t>. São Paulo: Companhia das Letras, 1999.</w:t>
      </w:r>
    </w:p>
  </w:footnote>
  <w:footnote w:id="37">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cs="Times New Roman"/>
          <w:vertAlign w:val="superscript"/>
        </w:rPr>
        <w:footnoteRef/>
      </w:r>
      <w:r>
        <w:rPr>
          <w:rFonts w:ascii="Times New Roman" w:hAnsi="Times New Roman" w:eastAsia="Calibri" w:cs="Times New Roman"/>
          <w:color w:val="000000"/>
          <w:sz w:val="20"/>
          <w:szCs w:val="20"/>
          <w:vertAlign w:val="superscript"/>
        </w:rPr>
        <w:t xml:space="preserve"> </w:t>
      </w:r>
      <w:r>
        <w:rPr>
          <w:rFonts w:ascii="Times New Roman" w:hAnsi="Times New Roman" w:eastAsia="Calibri" w:cs="Times New Roman"/>
          <w:color w:val="000000"/>
          <w:sz w:val="20"/>
          <w:szCs w:val="20"/>
        </w:rPr>
        <w:t xml:space="preserve">AGUIAR, Neuma (Org.). </w:t>
      </w:r>
      <w:r>
        <w:rPr>
          <w:rFonts w:ascii="Times New Roman" w:hAnsi="Times New Roman" w:eastAsia="Calibri" w:cs="Times New Roman"/>
          <w:i/>
          <w:color w:val="000000"/>
          <w:sz w:val="20"/>
          <w:szCs w:val="20"/>
        </w:rPr>
        <w:t>Gênero e ciências humanas: desafio às ciências desde a perspectiva das mulheres</w:t>
      </w:r>
      <w:r>
        <w:rPr>
          <w:rFonts w:ascii="Times New Roman" w:hAnsi="Times New Roman" w:eastAsia="Calibri" w:cs="Times New Roman"/>
          <w:color w:val="000000"/>
          <w:sz w:val="20"/>
          <w:szCs w:val="20"/>
        </w:rPr>
        <w:t xml:space="preserve">. Rio de Janeiro: Record: Rosa dos Tempos, 1997; BUTLER, Judith. </w:t>
      </w:r>
      <w:r>
        <w:rPr>
          <w:rFonts w:ascii="Times New Roman" w:hAnsi="Times New Roman" w:eastAsia="Calibri" w:cs="Times New Roman"/>
          <w:i/>
          <w:color w:val="000000"/>
          <w:sz w:val="20"/>
          <w:szCs w:val="20"/>
        </w:rPr>
        <w:t>Undoing Gender</w:t>
      </w:r>
      <w:r>
        <w:rPr>
          <w:rFonts w:ascii="Times New Roman" w:hAnsi="Times New Roman" w:eastAsia="Calibri" w:cs="Times New Roman"/>
          <w:color w:val="000000"/>
          <w:sz w:val="20"/>
          <w:szCs w:val="20"/>
        </w:rPr>
        <w:t>. New York, London: Routledge, 2004.</w:t>
      </w:r>
    </w:p>
  </w:footnote>
  <w:footnote w:id="38">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cs="Times New Roman"/>
          <w:vertAlign w:val="superscript"/>
        </w:rPr>
        <w:footnoteRef/>
      </w:r>
      <w:r>
        <w:rPr>
          <w:rFonts w:ascii="Times New Roman" w:hAnsi="Times New Roman" w:eastAsia="Calibri" w:cs="Times New Roman"/>
          <w:color w:val="000000"/>
          <w:sz w:val="20"/>
          <w:szCs w:val="20"/>
        </w:rPr>
        <w:t xml:space="preserve"> DUSSEL, Enrique. Una nueva edad en la História de la Filosofía: el diálogo mundial entre tradiciones filosóficas. </w:t>
      </w:r>
      <w:r>
        <w:rPr>
          <w:rFonts w:ascii="Times New Roman" w:hAnsi="Times New Roman" w:eastAsia="Calibri" w:cs="Times New Roman"/>
          <w:i/>
          <w:color w:val="000000"/>
          <w:sz w:val="20"/>
          <w:szCs w:val="20"/>
        </w:rPr>
        <w:t>Educación Superior</w:t>
      </w:r>
      <w:r>
        <w:rPr>
          <w:rFonts w:ascii="Times New Roman" w:hAnsi="Times New Roman" w:eastAsia="Calibri" w:cs="Times New Roman"/>
          <w:color w:val="000000"/>
          <w:sz w:val="20"/>
          <w:szCs w:val="20"/>
        </w:rPr>
        <w:t xml:space="preserve"> (CIICH-UNAM), Vol. 7, n</w:t>
      </w:r>
      <w:r>
        <w:rPr>
          <w:rFonts w:ascii="Times New Roman" w:hAnsi="Times New Roman" w:eastAsia="Calibri" w:cs="Times New Roman"/>
          <w:color w:val="000000"/>
          <w:sz w:val="20"/>
          <w:szCs w:val="20"/>
          <w:vertAlign w:val="superscript"/>
        </w:rPr>
        <w:t>o</w:t>
      </w:r>
      <w:r>
        <w:rPr>
          <w:rFonts w:ascii="Times New Roman" w:hAnsi="Times New Roman" w:eastAsia="Calibri" w:cs="Times New Roman"/>
          <w:color w:val="000000"/>
          <w:sz w:val="20"/>
          <w:szCs w:val="20"/>
        </w:rPr>
        <w:t>. 43-44, (enero-abril), 2009, p.44-58.</w:t>
      </w:r>
    </w:p>
  </w:footnote>
  <w:footnote w:id="39">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cs="Times New Roman"/>
          <w:vertAlign w:val="superscript"/>
        </w:rPr>
        <w:footnoteRef/>
      </w:r>
      <w:r>
        <w:rPr>
          <w:rFonts w:ascii="Times New Roman" w:hAnsi="Times New Roman" w:eastAsia="Calibri" w:cs="Times New Roman"/>
          <w:color w:val="000000"/>
          <w:sz w:val="20"/>
          <w:szCs w:val="20"/>
        </w:rPr>
        <w:t xml:space="preserve"> UNIVERSIDADE FEDERAL DE OURO PRETO. Pró-Reitoria de Assuntos Comunitários e Estudantis. Perfil socioeconômico e cultural dos estudantes de graduação da UFOP [recurso eletrônico]: ingressantes na Graduação 2017-1. Ouro Preto, MG: Editora da UFOP, 2018. Disponível em: &lt;</w:t>
      </w:r>
      <w:r>
        <w:fldChar w:fldCharType="begin"/>
      </w:r>
      <w:r>
        <w:instrText xml:space="preserve"> HYPERLINK "https://www.prace.ufop.br/" \h </w:instrText>
      </w:r>
      <w:r>
        <w:fldChar w:fldCharType="separate"/>
      </w:r>
      <w:r>
        <w:rPr>
          <w:rFonts w:ascii="Times New Roman" w:hAnsi="Times New Roman" w:eastAsia="Calibri" w:cs="Times New Roman"/>
          <w:color w:val="0000FF"/>
          <w:sz w:val="20"/>
          <w:szCs w:val="20"/>
          <w:u w:val="single"/>
        </w:rPr>
        <w:t>https://www.prace.ufop.br</w:t>
      </w:r>
      <w:r>
        <w:rPr>
          <w:rFonts w:ascii="Times New Roman" w:hAnsi="Times New Roman" w:eastAsia="Calibri" w:cs="Times New Roman"/>
          <w:color w:val="0000FF"/>
          <w:sz w:val="20"/>
          <w:szCs w:val="20"/>
          <w:u w:val="single"/>
        </w:rPr>
        <w:fldChar w:fldCharType="end"/>
      </w:r>
      <w:r>
        <w:rPr>
          <w:rFonts w:ascii="Times New Roman" w:hAnsi="Times New Roman" w:eastAsia="Calibri" w:cs="Times New Roman"/>
          <w:color w:val="0563C1"/>
          <w:sz w:val="20"/>
          <w:szCs w:val="20"/>
          <w:u w:val="single"/>
        </w:rPr>
        <w:t>/</w:t>
      </w:r>
      <w:r>
        <w:rPr>
          <w:rFonts w:ascii="Times New Roman" w:hAnsi="Times New Roman" w:eastAsia="Calibri" w:cs="Times New Roman"/>
          <w:color w:val="000000"/>
          <w:sz w:val="20"/>
          <w:szCs w:val="20"/>
        </w:rPr>
        <w:t>&gt;. Acesso em 05/11/2019.</w:t>
      </w:r>
    </w:p>
  </w:footnote>
  <w:footnote w:id="40">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cs="Times New Roman"/>
          <w:vertAlign w:val="superscript"/>
        </w:rPr>
        <w:footnoteRef/>
      </w:r>
      <w:r>
        <w:rPr>
          <w:rFonts w:ascii="Times New Roman" w:hAnsi="Times New Roman" w:eastAsia="Calibri" w:cs="Times New Roman"/>
          <w:color w:val="000000"/>
          <w:sz w:val="20"/>
          <w:szCs w:val="20"/>
        </w:rPr>
        <w:t xml:space="preserve"> UNIVERSIDADE FEDERAL DE OURO PRETO. Pró-Reitoria de Assuntos Comunitários e Estudantis. Perfil socioeconômico e cultural dos estudantes de graduação da UFOP [recurso eletrônico]: ingressantes na Graduação 2017-1. Ouro Preto, MG: Editora da UFOP, 2018, p. 14. Disponível em: &lt;</w:t>
      </w:r>
      <w:r>
        <w:fldChar w:fldCharType="begin"/>
      </w:r>
      <w:r>
        <w:instrText xml:space="preserve"> HYPERLINK "https://www.prace.ufop.br/" \h </w:instrText>
      </w:r>
      <w:r>
        <w:fldChar w:fldCharType="separate"/>
      </w:r>
      <w:r>
        <w:rPr>
          <w:rFonts w:ascii="Times New Roman" w:hAnsi="Times New Roman" w:eastAsia="Calibri" w:cs="Times New Roman"/>
          <w:color w:val="0000FF"/>
          <w:sz w:val="20"/>
          <w:szCs w:val="20"/>
          <w:u w:val="single"/>
        </w:rPr>
        <w:t>https://www.prace.ufop.br</w:t>
      </w:r>
      <w:r>
        <w:rPr>
          <w:rFonts w:ascii="Times New Roman" w:hAnsi="Times New Roman" w:eastAsia="Calibri" w:cs="Times New Roman"/>
          <w:color w:val="0000FF"/>
          <w:sz w:val="20"/>
          <w:szCs w:val="20"/>
          <w:u w:val="single"/>
        </w:rPr>
        <w:fldChar w:fldCharType="end"/>
      </w:r>
      <w:r>
        <w:rPr>
          <w:rFonts w:ascii="Times New Roman" w:hAnsi="Times New Roman" w:eastAsia="Calibri" w:cs="Times New Roman"/>
          <w:color w:val="0563C1"/>
          <w:sz w:val="20"/>
          <w:szCs w:val="20"/>
          <w:u w:val="single"/>
        </w:rPr>
        <w:t>/</w:t>
      </w:r>
      <w:r>
        <w:rPr>
          <w:rFonts w:ascii="Times New Roman" w:hAnsi="Times New Roman" w:eastAsia="Calibri" w:cs="Times New Roman"/>
          <w:color w:val="000000"/>
          <w:sz w:val="20"/>
          <w:szCs w:val="20"/>
        </w:rPr>
        <w:t>&gt;. Acesso em 05/11/2019.</w:t>
      </w:r>
    </w:p>
  </w:footnote>
  <w:footnote w:id="41">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cs="Times New Roman"/>
          <w:vertAlign w:val="superscript"/>
        </w:rPr>
        <w:footnoteRef/>
      </w:r>
      <w:r>
        <w:rPr>
          <w:rFonts w:ascii="Times New Roman" w:hAnsi="Times New Roman" w:eastAsia="Calibri" w:cs="Times New Roman"/>
          <w:color w:val="000000"/>
          <w:sz w:val="20"/>
          <w:szCs w:val="20"/>
        </w:rPr>
        <w:t xml:space="preserve"> </w:t>
      </w:r>
      <w:r>
        <w:fldChar w:fldCharType="begin"/>
      </w:r>
      <w:r>
        <w:instrText xml:space="preserve"> HYPERLINK "https://zeppelin10.ufop.br/minhaUfop/desktop/login.xhtml" \h </w:instrText>
      </w:r>
      <w:r>
        <w:fldChar w:fldCharType="separate"/>
      </w:r>
      <w:r>
        <w:rPr>
          <w:rFonts w:ascii="Times New Roman" w:hAnsi="Times New Roman" w:eastAsia="Calibri" w:cs="Times New Roman"/>
          <w:color w:val="0000FF"/>
          <w:sz w:val="20"/>
          <w:szCs w:val="20"/>
          <w:u w:val="single"/>
        </w:rPr>
        <w:t>https://zeppelin10.ufop.br/minhaUfop/desktop/login.xhtml</w:t>
      </w:r>
      <w:r>
        <w:rPr>
          <w:rFonts w:ascii="Times New Roman" w:hAnsi="Times New Roman" w:eastAsia="Calibri" w:cs="Times New Roman"/>
          <w:color w:val="0000FF"/>
          <w:sz w:val="20"/>
          <w:szCs w:val="20"/>
          <w:u w:val="single"/>
        </w:rPr>
        <w:fldChar w:fldCharType="end"/>
      </w:r>
    </w:p>
  </w:footnote>
  <w:footnote w:id="42">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cs="Times New Roman"/>
          <w:vertAlign w:val="superscript"/>
        </w:rPr>
        <w:footnoteRef/>
      </w:r>
      <w:r>
        <w:rPr>
          <w:rFonts w:ascii="Times New Roman" w:hAnsi="Times New Roman" w:eastAsia="Calibri" w:cs="Times New Roman"/>
          <w:color w:val="000000"/>
          <w:sz w:val="20"/>
          <w:szCs w:val="20"/>
        </w:rPr>
        <w:t xml:space="preserve"> </w:t>
      </w:r>
      <w:r>
        <w:fldChar w:fldCharType="begin"/>
      </w:r>
      <w:r>
        <w:instrText xml:space="preserve"> HYPERLINK "http://www.nei.ufop.br/" \h </w:instrText>
      </w:r>
      <w:r>
        <w:fldChar w:fldCharType="separate"/>
      </w:r>
      <w:r>
        <w:rPr>
          <w:rFonts w:ascii="Times New Roman" w:hAnsi="Times New Roman" w:eastAsia="Calibri" w:cs="Times New Roman"/>
          <w:color w:val="0000FF"/>
          <w:sz w:val="20"/>
          <w:szCs w:val="20"/>
          <w:u w:val="single"/>
        </w:rPr>
        <w:t>http://www.nei.ufop.br/</w:t>
      </w:r>
      <w:r>
        <w:rPr>
          <w:rFonts w:ascii="Times New Roman" w:hAnsi="Times New Roman" w:eastAsia="Calibri" w:cs="Times New Roman"/>
          <w:color w:val="0000FF"/>
          <w:sz w:val="20"/>
          <w:szCs w:val="20"/>
          <w:u w:val="single"/>
        </w:rPr>
        <w:fldChar w:fldCharType="end"/>
      </w:r>
    </w:p>
  </w:footnote>
  <w:footnote w:id="43">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cs="Times New Roman"/>
          <w:vertAlign w:val="superscript"/>
        </w:rPr>
        <w:footnoteRef/>
      </w:r>
      <w:r>
        <w:rPr>
          <w:rFonts w:ascii="Times New Roman" w:hAnsi="Times New Roman" w:eastAsia="Calibri" w:cs="Times New Roman"/>
          <w:color w:val="000000"/>
          <w:sz w:val="20"/>
          <w:szCs w:val="20"/>
        </w:rPr>
        <w:t xml:space="preserve"> </w:t>
      </w:r>
      <w:r>
        <w:fldChar w:fldCharType="begin"/>
      </w:r>
      <w:r>
        <w:instrText xml:space="preserve"> HYPERLINK "http://www.prograd.ufop.br/nap/pro-ativa" \h </w:instrText>
      </w:r>
      <w:r>
        <w:fldChar w:fldCharType="separate"/>
      </w:r>
      <w:r>
        <w:rPr>
          <w:rFonts w:ascii="Times New Roman" w:hAnsi="Times New Roman" w:eastAsia="Calibri" w:cs="Times New Roman"/>
          <w:color w:val="0000FF"/>
          <w:sz w:val="20"/>
          <w:szCs w:val="20"/>
          <w:u w:val="single"/>
        </w:rPr>
        <w:t>http://www.prograd.ufop.br/nap/pro-ativa</w:t>
      </w:r>
      <w:r>
        <w:rPr>
          <w:rFonts w:ascii="Times New Roman" w:hAnsi="Times New Roman" w:eastAsia="Calibri" w:cs="Times New Roman"/>
          <w:color w:val="0000FF"/>
          <w:sz w:val="20"/>
          <w:szCs w:val="20"/>
          <w:u w:val="single"/>
        </w:rPr>
        <w:fldChar w:fldCharType="end"/>
      </w:r>
    </w:p>
  </w:footnote>
  <w:footnote w:id="44">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cs="Times New Roman"/>
          <w:vertAlign w:val="superscript"/>
        </w:rPr>
        <w:footnoteRef/>
      </w:r>
      <w:r>
        <w:rPr>
          <w:rFonts w:ascii="Times New Roman" w:hAnsi="Times New Roman" w:eastAsia="Calibri" w:cs="Times New Roman"/>
          <w:color w:val="000000"/>
          <w:sz w:val="20"/>
          <w:szCs w:val="20"/>
        </w:rPr>
        <w:t xml:space="preserve"> </w:t>
      </w:r>
      <w:r>
        <w:fldChar w:fldCharType="begin"/>
      </w:r>
      <w:r>
        <w:instrText xml:space="preserve"> HYPERLINK "http://www.prograd.ufop.br/nap/ped" \h </w:instrText>
      </w:r>
      <w:r>
        <w:fldChar w:fldCharType="separate"/>
      </w:r>
      <w:r>
        <w:rPr>
          <w:rFonts w:ascii="Times New Roman" w:hAnsi="Times New Roman" w:eastAsia="Calibri" w:cs="Times New Roman"/>
          <w:color w:val="0000FF"/>
          <w:sz w:val="20"/>
          <w:szCs w:val="20"/>
          <w:u w:val="single"/>
        </w:rPr>
        <w:t>http://www.prograd.ufop.br/nap/ped</w:t>
      </w:r>
      <w:r>
        <w:rPr>
          <w:rFonts w:ascii="Times New Roman" w:hAnsi="Times New Roman" w:eastAsia="Calibri" w:cs="Times New Roman"/>
          <w:color w:val="0000FF"/>
          <w:sz w:val="20"/>
          <w:szCs w:val="20"/>
          <w:u w:val="single"/>
        </w:rPr>
        <w:fldChar w:fldCharType="end"/>
      </w:r>
    </w:p>
  </w:footnote>
  <w:footnote w:id="45">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cs="Times New Roman"/>
          <w:vertAlign w:val="superscript"/>
        </w:rPr>
        <w:footnoteRef/>
      </w:r>
      <w:r>
        <w:rPr>
          <w:rFonts w:ascii="Times New Roman" w:hAnsi="Times New Roman" w:eastAsia="Calibri" w:cs="Times New Roman"/>
          <w:color w:val="000000"/>
          <w:sz w:val="20"/>
          <w:szCs w:val="20"/>
        </w:rPr>
        <w:t xml:space="preserve"> Subprojeto PIBID História.</w:t>
      </w:r>
    </w:p>
  </w:footnote>
  <w:footnote w:id="46">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cs="Times New Roman"/>
          <w:vertAlign w:val="superscript"/>
        </w:rPr>
        <w:footnoteRef/>
      </w:r>
      <w:r>
        <w:rPr>
          <w:rFonts w:ascii="Times New Roman" w:hAnsi="Times New Roman" w:eastAsia="Calibri" w:cs="Times New Roman"/>
          <w:color w:val="000000"/>
          <w:sz w:val="20"/>
          <w:szCs w:val="20"/>
        </w:rPr>
        <w:t xml:space="preserve"> </w:t>
      </w:r>
      <w:r>
        <w:fldChar w:fldCharType="begin"/>
      </w:r>
      <w:r>
        <w:instrText xml:space="preserve"> HYPERLINK "http://www.prograd.ufop.br/nap/monitoria" \h </w:instrText>
      </w:r>
      <w:r>
        <w:fldChar w:fldCharType="separate"/>
      </w:r>
      <w:r>
        <w:rPr>
          <w:rFonts w:ascii="Times New Roman" w:hAnsi="Times New Roman" w:eastAsia="Calibri" w:cs="Times New Roman"/>
          <w:color w:val="0000FF"/>
          <w:sz w:val="20"/>
          <w:szCs w:val="20"/>
          <w:u w:val="single"/>
        </w:rPr>
        <w:t>http://www.prograd.ufop.br/nap/monitoria</w:t>
      </w:r>
      <w:r>
        <w:rPr>
          <w:rFonts w:ascii="Times New Roman" w:hAnsi="Times New Roman" w:eastAsia="Calibri" w:cs="Times New Roman"/>
          <w:color w:val="0000FF"/>
          <w:sz w:val="20"/>
          <w:szCs w:val="20"/>
          <w:u w:val="single"/>
        </w:rPr>
        <w:fldChar w:fldCharType="end"/>
      </w:r>
    </w:p>
  </w:footnote>
  <w:footnote w:id="47">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cs="Times New Roman"/>
          <w:vertAlign w:val="superscript"/>
        </w:rPr>
        <w:footnoteRef/>
      </w:r>
      <w:r>
        <w:rPr>
          <w:rFonts w:ascii="Times New Roman" w:hAnsi="Times New Roman" w:eastAsia="Calibri" w:cs="Times New Roman"/>
          <w:color w:val="000000"/>
          <w:sz w:val="20"/>
          <w:szCs w:val="20"/>
        </w:rPr>
        <w:t xml:space="preserve"> </w:t>
      </w:r>
      <w:r>
        <w:fldChar w:fldCharType="begin"/>
      </w:r>
      <w:r>
        <w:instrText xml:space="preserve"> HYPERLINK "http://www.prograd.ufop.br/arqdown/EDITAL_PROGRAD_04.2019_Tutoria_2019.1.pdf" \h </w:instrText>
      </w:r>
      <w:r>
        <w:fldChar w:fldCharType="separate"/>
      </w:r>
      <w:r>
        <w:rPr>
          <w:rFonts w:ascii="Times New Roman" w:hAnsi="Times New Roman" w:eastAsia="Calibri" w:cs="Times New Roman"/>
          <w:color w:val="0000FF"/>
          <w:sz w:val="20"/>
          <w:szCs w:val="20"/>
          <w:u w:val="single"/>
        </w:rPr>
        <w:t>http://www.prograd.ufop.br/arqdown/EDITAL_PROGRAD_04.2019_Tutoria_2019.1.pdf</w:t>
      </w:r>
      <w:r>
        <w:rPr>
          <w:rFonts w:ascii="Times New Roman" w:hAnsi="Times New Roman" w:eastAsia="Calibri" w:cs="Times New Roman"/>
          <w:color w:val="0000FF"/>
          <w:sz w:val="20"/>
          <w:szCs w:val="20"/>
          <w:u w:val="single"/>
        </w:rPr>
        <w:fldChar w:fldCharType="end"/>
      </w:r>
    </w:p>
  </w:footnote>
  <w:footnote w:id="48">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cs="Times New Roman"/>
          <w:vertAlign w:val="superscript"/>
        </w:rPr>
        <w:footnoteRef/>
      </w:r>
      <w:r>
        <w:rPr>
          <w:rFonts w:ascii="Times New Roman" w:hAnsi="Times New Roman" w:eastAsia="Calibri" w:cs="Times New Roman"/>
          <w:color w:val="000000"/>
          <w:sz w:val="20"/>
          <w:szCs w:val="20"/>
        </w:rPr>
        <w:t xml:space="preserve"> TERRA, Ernani. </w:t>
      </w:r>
      <w:r>
        <w:rPr>
          <w:rFonts w:ascii="Times New Roman" w:hAnsi="Times New Roman" w:eastAsia="Calibri" w:cs="Times New Roman"/>
          <w:i/>
          <w:color w:val="000000"/>
          <w:sz w:val="20"/>
          <w:szCs w:val="20"/>
        </w:rPr>
        <w:t>Leitura do Texto Literário</w:t>
      </w:r>
      <w:r>
        <w:rPr>
          <w:rFonts w:ascii="Times New Roman" w:hAnsi="Times New Roman" w:eastAsia="Calibri" w:cs="Times New Roman"/>
          <w:color w:val="000000"/>
          <w:sz w:val="20"/>
          <w:szCs w:val="20"/>
        </w:rPr>
        <w:t>. São Paulo: Contexto, 2014, p. 52-53.</w:t>
      </w:r>
    </w:p>
  </w:footnote>
  <w:footnote w:id="49">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cs="Times New Roman"/>
          <w:vertAlign w:val="superscript"/>
        </w:rPr>
        <w:footnoteRef/>
      </w:r>
      <w:r>
        <w:rPr>
          <w:rFonts w:ascii="Times New Roman" w:hAnsi="Times New Roman" w:eastAsia="Calibri" w:cs="Times New Roman"/>
          <w:color w:val="000000"/>
          <w:sz w:val="20"/>
          <w:szCs w:val="20"/>
        </w:rPr>
        <w:t xml:space="preserve"> KOCH, Ingedore Villaça; ELIAS, Vanda Maria. </w:t>
      </w:r>
      <w:r>
        <w:rPr>
          <w:rFonts w:ascii="Times New Roman" w:hAnsi="Times New Roman" w:eastAsia="Calibri" w:cs="Times New Roman"/>
          <w:i/>
          <w:color w:val="000000"/>
          <w:sz w:val="20"/>
          <w:szCs w:val="20"/>
        </w:rPr>
        <w:t>Ler e Compreender</w:t>
      </w:r>
      <w:r>
        <w:rPr>
          <w:rFonts w:ascii="Times New Roman" w:hAnsi="Times New Roman" w:eastAsia="Calibri" w:cs="Times New Roman"/>
          <w:color w:val="000000"/>
          <w:sz w:val="20"/>
          <w:szCs w:val="20"/>
        </w:rPr>
        <w:t>: os sentidos do texto. São Paulo: Contexto, 2017, p. 11.</w:t>
      </w:r>
    </w:p>
  </w:footnote>
  <w:footnote w:id="50">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cs="Times New Roman"/>
          <w:vertAlign w:val="superscript"/>
        </w:rPr>
        <w:footnoteRef/>
      </w:r>
      <w:r>
        <w:rPr>
          <w:rFonts w:ascii="Times New Roman" w:hAnsi="Times New Roman" w:eastAsia="Calibri" w:cs="Times New Roman"/>
          <w:color w:val="000000"/>
          <w:sz w:val="20"/>
          <w:szCs w:val="20"/>
        </w:rPr>
        <w:t xml:space="preserve"> </w:t>
      </w:r>
      <w:r>
        <w:fldChar w:fldCharType="begin"/>
      </w:r>
      <w:r>
        <w:instrText xml:space="preserve"> HYPERLINK "http://www.prace.ufop.br/assistencia-estudantil/orientacao-estudantil/programa-caminhar" \h </w:instrText>
      </w:r>
      <w:r>
        <w:fldChar w:fldCharType="separate"/>
      </w:r>
      <w:r>
        <w:rPr>
          <w:rFonts w:ascii="Times New Roman" w:hAnsi="Times New Roman" w:eastAsia="Calibri" w:cs="Times New Roman"/>
          <w:color w:val="0000FF"/>
          <w:sz w:val="20"/>
          <w:szCs w:val="20"/>
          <w:u w:val="single"/>
        </w:rPr>
        <w:t>http://www.prace.ufop.br/assistencia-estudantil/orientacao-estudantil/programa-caminhar</w:t>
      </w:r>
      <w:r>
        <w:rPr>
          <w:rFonts w:ascii="Times New Roman" w:hAnsi="Times New Roman" w:eastAsia="Calibri" w:cs="Times New Roman"/>
          <w:color w:val="0000FF"/>
          <w:sz w:val="20"/>
          <w:szCs w:val="20"/>
          <w:u w:val="single"/>
        </w:rPr>
        <w:fldChar w:fldCharType="end"/>
      </w:r>
    </w:p>
  </w:footnote>
  <w:footnote w:id="51">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cs="Times New Roman"/>
          <w:vertAlign w:val="superscript"/>
        </w:rPr>
        <w:footnoteRef/>
      </w:r>
      <w:r>
        <w:rPr>
          <w:rFonts w:ascii="Times New Roman" w:hAnsi="Times New Roman" w:eastAsia="Calibri" w:cs="Times New Roman"/>
          <w:color w:val="000000"/>
          <w:sz w:val="20"/>
          <w:szCs w:val="20"/>
        </w:rPr>
        <w:t xml:space="preserve"> </w:t>
      </w:r>
      <w:r>
        <w:fldChar w:fldCharType="begin"/>
      </w:r>
      <w:r>
        <w:instrText xml:space="preserve"> HYPERLINK "https://sites.ufop.br/centrodesaude/psicologia" \h </w:instrText>
      </w:r>
      <w:r>
        <w:fldChar w:fldCharType="separate"/>
      </w:r>
      <w:r>
        <w:rPr>
          <w:rFonts w:ascii="Times New Roman" w:hAnsi="Times New Roman" w:eastAsia="Calibri" w:cs="Times New Roman"/>
          <w:color w:val="0000FF"/>
          <w:sz w:val="20"/>
          <w:szCs w:val="20"/>
          <w:u w:val="single"/>
        </w:rPr>
        <w:t>https://sites.ufop.br/centrodesaude/psicologia</w:t>
      </w:r>
      <w:r>
        <w:rPr>
          <w:rFonts w:ascii="Times New Roman" w:hAnsi="Times New Roman" w:eastAsia="Calibri" w:cs="Times New Roman"/>
          <w:color w:val="0000FF"/>
          <w:sz w:val="20"/>
          <w:szCs w:val="20"/>
          <w:u w:val="single"/>
        </w:rPr>
        <w:fldChar w:fldCharType="end"/>
      </w:r>
    </w:p>
  </w:footnote>
  <w:footnote w:id="52">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cs="Times New Roman"/>
          <w:vertAlign w:val="superscript"/>
        </w:rPr>
        <w:footnoteRef/>
      </w:r>
      <w:r>
        <w:rPr>
          <w:rFonts w:ascii="Times New Roman" w:hAnsi="Times New Roman" w:eastAsia="Calibri" w:cs="Times New Roman"/>
          <w:color w:val="000000"/>
          <w:sz w:val="20"/>
          <w:szCs w:val="20"/>
        </w:rPr>
        <w:t xml:space="preserve"> </w:t>
      </w:r>
      <w:r>
        <w:fldChar w:fldCharType="begin"/>
      </w:r>
      <w:r>
        <w:instrText xml:space="preserve"> HYPERLINK "https://prace.ufop.br/sites/default/files/cuni1380_anexo_-_alterado_pela_cuni2139-1.pdf" \h </w:instrText>
      </w:r>
      <w:r>
        <w:fldChar w:fldCharType="separate"/>
      </w:r>
      <w:r>
        <w:rPr>
          <w:rFonts w:ascii="Times New Roman" w:hAnsi="Times New Roman" w:eastAsia="Calibri" w:cs="Times New Roman"/>
          <w:color w:val="0000FF"/>
          <w:sz w:val="20"/>
          <w:szCs w:val="20"/>
          <w:u w:val="single"/>
        </w:rPr>
        <w:t>https://prace.ufop.br/sites/default/files/cuni1380_anexo_-_alterado_pela_cuni2139-1.pdf</w:t>
      </w:r>
      <w:r>
        <w:rPr>
          <w:rFonts w:ascii="Times New Roman" w:hAnsi="Times New Roman" w:eastAsia="Calibri" w:cs="Times New Roman"/>
          <w:color w:val="0000FF"/>
          <w:sz w:val="20"/>
          <w:szCs w:val="20"/>
          <w:u w:val="single"/>
        </w:rPr>
        <w:fldChar w:fldCharType="end"/>
      </w:r>
    </w:p>
  </w:footnote>
  <w:footnote w:id="53">
    <w:p>
      <w:pPr>
        <w:pBdr>
          <w:top w:val="none" w:color="auto" w:sz="0" w:space="0"/>
          <w:left w:val="none" w:color="auto" w:sz="0" w:space="0"/>
          <w:bottom w:val="none" w:color="auto" w:sz="0" w:space="0"/>
          <w:right w:val="none" w:color="auto" w:sz="0" w:space="0"/>
          <w:between w:val="none" w:color="auto" w:sz="0" w:space="0"/>
        </w:pBdr>
        <w:spacing w:line="240" w:lineRule="auto"/>
        <w:ind w:left="0" w:hanging="2"/>
        <w:rPr>
          <w:rFonts w:ascii="Times New Roman" w:hAnsi="Times New Roman" w:eastAsia="Liberation Serif" w:cs="Times New Roman"/>
          <w:color w:val="000000"/>
        </w:rPr>
      </w:pPr>
      <w:r>
        <w:rPr>
          <w:rFonts w:ascii="Times New Roman" w:hAnsi="Times New Roman" w:cs="Times New Roman"/>
          <w:vertAlign w:val="superscript"/>
        </w:rPr>
        <w:footnoteRef/>
      </w:r>
      <w:r>
        <w:rPr>
          <w:rFonts w:ascii="Times New Roman" w:hAnsi="Times New Roman" w:eastAsia="Calibri" w:cs="Times New Roman"/>
          <w:color w:val="000000"/>
          <w:sz w:val="20"/>
          <w:szCs w:val="20"/>
        </w:rPr>
        <w:t xml:space="preserve"> </w:t>
      </w:r>
      <w:r>
        <w:fldChar w:fldCharType="begin"/>
      </w:r>
      <w:r>
        <w:instrText xml:space="preserve"> HYPERLINK "http://www.prace.ufop.br/assistencia-estudantil/orientacao-estudantil/incentivo-diversidade-e-convivencia-pidic" \h </w:instrText>
      </w:r>
      <w:r>
        <w:fldChar w:fldCharType="separate"/>
      </w:r>
      <w:r>
        <w:rPr>
          <w:rFonts w:ascii="Times New Roman" w:hAnsi="Times New Roman" w:eastAsia="Calibri" w:cs="Times New Roman"/>
          <w:color w:val="0000FF"/>
          <w:sz w:val="20"/>
          <w:szCs w:val="20"/>
          <w:u w:val="single"/>
        </w:rPr>
        <w:t>http://www.prace.ufop.br/assistencia-estudantil/orientacao-estudantil/incentivo-diversidade-e-convivencia-pidic</w:t>
      </w:r>
      <w:r>
        <w:rPr>
          <w:rFonts w:ascii="Times New Roman" w:hAnsi="Times New Roman" w:eastAsia="Calibri" w:cs="Times New Roman"/>
          <w:color w:val="0000FF"/>
          <w:sz w:val="20"/>
          <w:szCs w:val="20"/>
          <w:u w:val="single"/>
        </w:rPr>
        <w:fldChar w:fldCharType="end"/>
      </w:r>
    </w:p>
  </w:footnote>
  <w:footnote w:id="54">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cs="Times New Roman"/>
          <w:vertAlign w:val="superscript"/>
        </w:rPr>
        <w:footnoteRef/>
      </w:r>
      <w:r>
        <w:rPr>
          <w:rFonts w:ascii="Times New Roman" w:hAnsi="Times New Roman" w:eastAsia="Times New Roman" w:cs="Times New Roman"/>
          <w:color w:val="000000"/>
          <w:sz w:val="20"/>
          <w:szCs w:val="20"/>
        </w:rPr>
        <w:t xml:space="preserve"> CONAES. Parecer CONAES N° 4 de 07 de junho de 2010, sobre o Núcleo Docente Estruturante – NDE. </w:t>
      </w:r>
      <w:r>
        <w:fldChar w:fldCharType="begin"/>
      </w:r>
      <w:r>
        <w:instrText xml:space="preserve"> HYPERLINK "http://portal.mec.gov.br/index.php?option=com_docman&amp;view=download&amp;alias=6884-parecer-conae-nde4-2010&amp;category_slug=outubro-2010-pdf&amp;Itemid=30192" \h </w:instrText>
      </w:r>
      <w:r>
        <w:fldChar w:fldCharType="separate"/>
      </w:r>
      <w:r>
        <w:rPr>
          <w:rFonts w:ascii="Times New Roman" w:hAnsi="Times New Roman" w:eastAsia="Times New Roman" w:cs="Times New Roman"/>
          <w:color w:val="0000FF"/>
          <w:sz w:val="20"/>
          <w:szCs w:val="20"/>
          <w:u w:val="single"/>
        </w:rPr>
        <w:t>http://portal.mec.gov.br/index.php?option=com_docman&amp;view=download&amp;alias=6884-parecer-conae-nde4-2010&amp;category_slug=outubro-2010-pdf&amp;Itemid=30192</w:t>
      </w:r>
      <w:r>
        <w:rPr>
          <w:rFonts w:ascii="Times New Roman" w:hAnsi="Times New Roman" w:eastAsia="Times New Roman" w:cs="Times New Roman"/>
          <w:color w:val="0000FF"/>
          <w:sz w:val="20"/>
          <w:szCs w:val="20"/>
          <w:u w:val="single"/>
        </w:rPr>
        <w:fldChar w:fldCharType="end"/>
      </w:r>
    </w:p>
  </w:footnote>
  <w:footnote w:id="55">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both"/>
        <w:rPr>
          <w:rFonts w:ascii="Times New Roman" w:hAnsi="Times New Roman" w:eastAsia="Liberation Serif" w:cs="Times New Roman"/>
          <w:color w:val="000000"/>
        </w:rPr>
      </w:pPr>
      <w:r>
        <w:rPr>
          <w:rFonts w:ascii="Times New Roman" w:hAnsi="Times New Roman" w:cs="Times New Roman"/>
          <w:vertAlign w:val="superscript"/>
        </w:rPr>
        <w:footnoteRef/>
      </w:r>
      <w:r>
        <w:rPr>
          <w:rFonts w:ascii="Times New Roman" w:hAnsi="Times New Roman" w:eastAsia="Times New Roman" w:cs="Times New Roman"/>
          <w:color w:val="000000"/>
          <w:sz w:val="20"/>
          <w:szCs w:val="20"/>
        </w:rPr>
        <w:t xml:space="preserve"> UNIVERSIDADE FEDERAL DE OURO PRETO. Resolução CEPE 4.450 de 29 de abril de 2011. </w:t>
      </w:r>
      <w:r>
        <w:fldChar w:fldCharType="begin"/>
      </w:r>
      <w:r>
        <w:instrText xml:space="preserve"> HYPERLINK "https://www.prograd.ufop.br/arqdown/Resolu%C3%A7ao_Cepe_4450_17-04-2017-145406.pdf" \h </w:instrText>
      </w:r>
      <w:r>
        <w:fldChar w:fldCharType="separate"/>
      </w:r>
      <w:r>
        <w:rPr>
          <w:rFonts w:ascii="Times New Roman" w:hAnsi="Times New Roman" w:eastAsia="Times New Roman" w:cs="Times New Roman"/>
          <w:color w:val="0000FF"/>
          <w:sz w:val="20"/>
          <w:szCs w:val="20"/>
          <w:u w:val="single"/>
        </w:rPr>
        <w:t>https://www.prograd.ufop.br/arqdown/Resolu%C3%A7ao_Cepe_4450_17-04-2017-145406.pdf</w:t>
      </w:r>
      <w:r>
        <w:rPr>
          <w:rFonts w:ascii="Times New Roman" w:hAnsi="Times New Roman" w:eastAsia="Times New Roman" w:cs="Times New Roman"/>
          <w:color w:val="0000FF"/>
          <w:sz w:val="20"/>
          <w:szCs w:val="20"/>
          <w:u w:val="single"/>
        </w:rP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tabs>
        <w:tab w:val="center" w:pos="4252"/>
        <w:tab w:val="right" w:pos="8504"/>
      </w:tabs>
      <w:spacing w:line="240" w:lineRule="auto"/>
      <w:ind w:left="0" w:hanging="2"/>
      <w:jc w:val="center"/>
      <w:rPr>
        <w:rFonts w:ascii="Calibri" w:hAnsi="Calibri" w:eastAsia="Calibri" w:cs="Calibri"/>
        <w:color w:val="000000"/>
      </w:rPr>
    </w:pPr>
    <w:r>
      <w:rPr>
        <w:rFonts w:eastAsia="Liberation Serif" w:cs="Liberation Serif"/>
        <w:color w:val="000000"/>
      </w:rPr>
      <w:br w:type="textWrapping"/>
    </w:r>
    <w:r>
      <w:rPr>
        <w:rFonts w:ascii="Calibri" w:hAnsi="Calibri" w:eastAsia="Calibri" w:cs="Calibri"/>
        <w:color w:val="000000"/>
      </w:rPr>
      <w:t>Universidade Federal de Ouro Preto</w:t>
    </w:r>
    <w:r>
      <w:rPr>
        <w:lang w:eastAsia="pt-BR" w:bidi="ar-SA"/>
      </w:rPr>
      <w:drawing>
        <wp:anchor distT="0" distB="0" distL="114935" distR="114935" simplePos="0" relativeHeight="251659264" behindDoc="0" locked="0" layoutInCell="1" allowOverlap="1">
          <wp:simplePos x="0" y="0"/>
          <wp:positionH relativeFrom="column">
            <wp:posOffset>-3810</wp:posOffset>
          </wp:positionH>
          <wp:positionV relativeFrom="paragraph">
            <wp:posOffset>-8255</wp:posOffset>
          </wp:positionV>
          <wp:extent cx="606425" cy="644525"/>
          <wp:effectExtent l="0" t="0" r="0" b="0"/>
          <wp:wrapNone/>
          <wp:docPr id="1070" name="image10.png"/>
          <wp:cNvGraphicFramePr/>
          <a:graphic xmlns:a="http://schemas.openxmlformats.org/drawingml/2006/main">
            <a:graphicData uri="http://schemas.openxmlformats.org/drawingml/2006/picture">
              <pic:pic xmlns:pic="http://schemas.openxmlformats.org/drawingml/2006/picture">
                <pic:nvPicPr>
                  <pic:cNvPr id="1070" name="image10.png"/>
                  <pic:cNvPicPr preferRelativeResize="0"/>
                </pic:nvPicPr>
                <pic:blipFill>
                  <a:blip r:embed="rId1"/>
                  <a:srcRect l="-115" t="-108" r="-114" b="-109"/>
                  <a:stretch>
                    <a:fillRect/>
                  </a:stretch>
                </pic:blipFill>
                <pic:spPr>
                  <a:xfrm>
                    <a:off x="0" y="0"/>
                    <a:ext cx="606425" cy="644525"/>
                  </a:xfrm>
                  <a:prstGeom prst="rect">
                    <a:avLst/>
                  </a:prstGeom>
                </pic:spPr>
              </pic:pic>
            </a:graphicData>
          </a:graphic>
        </wp:anchor>
      </w:drawing>
    </w:r>
    <w:r>
      <w:rPr>
        <w:lang w:eastAsia="pt-BR" w:bidi="ar-SA"/>
      </w:rPr>
      <w:drawing>
        <wp:anchor distT="0" distB="0" distL="114935" distR="114935" simplePos="0" relativeHeight="251660288" behindDoc="0" locked="0" layoutInCell="1" allowOverlap="1">
          <wp:simplePos x="0" y="0"/>
          <wp:positionH relativeFrom="column">
            <wp:posOffset>5003165</wp:posOffset>
          </wp:positionH>
          <wp:positionV relativeFrom="paragraph">
            <wp:posOffset>-56515</wp:posOffset>
          </wp:positionV>
          <wp:extent cx="302260" cy="720725"/>
          <wp:effectExtent l="0" t="0" r="0" b="0"/>
          <wp:wrapNone/>
          <wp:docPr id="1063" name="image9.png"/>
          <wp:cNvGraphicFramePr/>
          <a:graphic xmlns:a="http://schemas.openxmlformats.org/drawingml/2006/main">
            <a:graphicData uri="http://schemas.openxmlformats.org/drawingml/2006/picture">
              <pic:pic xmlns:pic="http://schemas.openxmlformats.org/drawingml/2006/picture">
                <pic:nvPicPr>
                  <pic:cNvPr id="1063" name="image9.png"/>
                  <pic:cNvPicPr preferRelativeResize="0"/>
                </pic:nvPicPr>
                <pic:blipFill>
                  <a:blip r:embed="rId2"/>
                  <a:srcRect l="-50" t="-21" r="-49" b="-21"/>
                  <a:stretch>
                    <a:fillRect/>
                  </a:stretch>
                </pic:blipFill>
                <pic:spPr>
                  <a:xfrm>
                    <a:off x="0" y="0"/>
                    <a:ext cx="302260" cy="720725"/>
                  </a:xfrm>
                  <a:prstGeom prst="rect">
                    <a:avLst/>
                  </a:prstGeom>
                </pic:spPr>
              </pic:pic>
            </a:graphicData>
          </a:graphic>
        </wp:anchor>
      </w:drawing>
    </w:r>
  </w:p>
  <w:p>
    <w:pPr>
      <w:pBdr>
        <w:top w:val="none" w:color="auto" w:sz="0" w:space="0"/>
        <w:left w:val="none" w:color="auto" w:sz="0" w:space="0"/>
        <w:bottom w:val="none" w:color="auto" w:sz="0" w:space="0"/>
        <w:right w:val="none" w:color="auto" w:sz="0" w:space="0"/>
        <w:between w:val="none" w:color="auto" w:sz="0" w:space="0"/>
      </w:pBdr>
      <w:tabs>
        <w:tab w:val="center" w:pos="4252"/>
        <w:tab w:val="right" w:pos="8504"/>
      </w:tabs>
      <w:spacing w:line="240" w:lineRule="auto"/>
      <w:ind w:left="0" w:hanging="2"/>
      <w:jc w:val="center"/>
      <w:rPr>
        <w:rFonts w:eastAsia="Liberation Serif" w:cs="Liberation Serif"/>
        <w:color w:val="000000"/>
      </w:rPr>
    </w:pPr>
    <w:r>
      <w:rPr>
        <w:rFonts w:ascii="Calibri" w:hAnsi="Calibri" w:eastAsia="Calibri" w:cs="Calibri"/>
        <w:color w:val="000000"/>
      </w:rPr>
      <w:t>Instituto de Ciências Humanas e Sociais</w:t>
    </w:r>
  </w:p>
  <w:p>
    <w:pPr>
      <w:pBdr>
        <w:top w:val="none" w:color="auto" w:sz="0" w:space="0"/>
        <w:left w:val="none" w:color="auto" w:sz="0" w:space="0"/>
        <w:bottom w:val="none" w:color="auto" w:sz="0" w:space="0"/>
        <w:right w:val="none" w:color="auto" w:sz="0" w:space="0"/>
        <w:between w:val="none" w:color="auto" w:sz="0" w:space="0"/>
      </w:pBdr>
      <w:tabs>
        <w:tab w:val="center" w:pos="4252"/>
        <w:tab w:val="right" w:pos="8504"/>
      </w:tabs>
      <w:spacing w:line="240" w:lineRule="auto"/>
      <w:ind w:left="0" w:hanging="2"/>
      <w:jc w:val="center"/>
      <w:rPr>
        <w:rFonts w:eastAsia="Liberation Serif" w:cs="Liberation Serif"/>
        <w:color w:val="000000"/>
      </w:rPr>
    </w:pPr>
    <w:r>
      <w:rPr>
        <w:rFonts w:ascii="Calibri" w:hAnsi="Calibri" w:eastAsia="Calibri" w:cs="Calibri"/>
        <w:color w:val="000000"/>
      </w:rPr>
      <w:t>Colegiado de História</w:t>
    </w:r>
  </w:p>
  <w:p>
    <w:pPr>
      <w:pBdr>
        <w:top w:val="none" w:color="auto" w:sz="0" w:space="0"/>
        <w:left w:val="none" w:color="auto" w:sz="0" w:space="0"/>
        <w:bottom w:val="none" w:color="auto" w:sz="0" w:space="0"/>
        <w:right w:val="none" w:color="auto" w:sz="0" w:space="0"/>
        <w:between w:val="none" w:color="auto" w:sz="0" w:space="0"/>
      </w:pBdr>
      <w:tabs>
        <w:tab w:val="center" w:pos="4252"/>
        <w:tab w:val="right" w:pos="8504"/>
      </w:tabs>
      <w:spacing w:line="240" w:lineRule="auto"/>
      <w:ind w:left="0" w:hanging="2"/>
      <w:rPr>
        <w:rFonts w:ascii="Calibri" w:hAnsi="Calibri" w:eastAsia="Calibri" w:cs="Calibri"/>
        <w:color w:val="000000"/>
      </w:rPr>
    </w:pPr>
  </w:p>
  <w:p>
    <w:pPr>
      <w:ind w:left="0" w:hanging="2"/>
      <w:rPr>
        <w:rFonts w:ascii="Calibri" w:hAnsi="Calibri" w:eastAsia="Calibri" w:cs="Calibri"/>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hanging="2"/>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hanging="2"/>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5113"/>
        <w:tab w:val="left" w:pos="8325"/>
      </w:tabs>
      <w:ind w:left="0" w:hanging="2"/>
    </w:pPr>
    <w:r>
      <w:tab/>
    </w:r>
    <w:r>
      <w:rPr>
        <w:rFonts w:ascii="Times New Roman" w:hAnsi="Times New Roman" w:eastAsia="Times New Roman" w:cs="Times New Roman"/>
        <w:sz w:val="20"/>
        <w:szCs w:val="20"/>
      </w:rPr>
      <w:t>MINISTÉRIO DA EDUCAÇÃO</w:t>
    </w:r>
    <w:r>
      <w:rPr>
        <w:rFonts w:ascii="Times New Roman" w:hAnsi="Times New Roman" w:eastAsia="Times New Roman" w:cs="Times New Roman"/>
        <w:sz w:val="20"/>
        <w:szCs w:val="20"/>
      </w:rPr>
      <w:tab/>
    </w:r>
    <w:r>
      <w:rPr>
        <w:lang w:eastAsia="pt-BR" w:bidi="ar-SA"/>
      </w:rPr>
      <w:drawing>
        <wp:anchor distT="0" distB="0" distL="0" distR="0" simplePos="0" relativeHeight="251672576" behindDoc="0" locked="0" layoutInCell="1" allowOverlap="1">
          <wp:simplePos x="0" y="0"/>
          <wp:positionH relativeFrom="column">
            <wp:posOffset>5288915</wp:posOffset>
          </wp:positionH>
          <wp:positionV relativeFrom="paragraph">
            <wp:posOffset>9525</wp:posOffset>
          </wp:positionV>
          <wp:extent cx="760730" cy="887730"/>
          <wp:effectExtent l="0" t="0" r="0" b="0"/>
          <wp:wrapNone/>
          <wp:docPr id="1064" name="image12.png"/>
          <wp:cNvGraphicFramePr/>
          <a:graphic xmlns:a="http://schemas.openxmlformats.org/drawingml/2006/main">
            <a:graphicData uri="http://schemas.openxmlformats.org/drawingml/2006/picture">
              <pic:pic xmlns:pic="http://schemas.openxmlformats.org/drawingml/2006/picture">
                <pic:nvPicPr>
                  <pic:cNvPr id="1064" name="image12.png"/>
                  <pic:cNvPicPr preferRelativeResize="0"/>
                </pic:nvPicPr>
                <pic:blipFill>
                  <a:blip r:embed="rId1"/>
                  <a:srcRect l="-184" t="-160" r="-184" b="-160"/>
                  <a:stretch>
                    <a:fillRect/>
                  </a:stretch>
                </pic:blipFill>
                <pic:spPr>
                  <a:xfrm>
                    <a:off x="0" y="0"/>
                    <a:ext cx="760730" cy="887730"/>
                  </a:xfrm>
                  <a:prstGeom prst="rect">
                    <a:avLst/>
                  </a:prstGeom>
                </pic:spPr>
              </pic:pic>
            </a:graphicData>
          </a:graphic>
        </wp:anchor>
      </w:drawing>
    </w:r>
    <w:r>
      <w:rPr>
        <w:lang w:eastAsia="pt-BR" w:bidi="ar-SA"/>
      </w:rPr>
      <w:drawing>
        <wp:anchor distT="0" distB="0" distL="0" distR="0" simplePos="0" relativeHeight="251675648" behindDoc="0" locked="0" layoutInCell="1" allowOverlap="1">
          <wp:simplePos x="0" y="0"/>
          <wp:positionH relativeFrom="column">
            <wp:posOffset>-481330</wp:posOffset>
          </wp:positionH>
          <wp:positionV relativeFrom="paragraph">
            <wp:posOffset>-367665</wp:posOffset>
          </wp:positionV>
          <wp:extent cx="1490980" cy="931545"/>
          <wp:effectExtent l="0" t="0" r="0" b="0"/>
          <wp:wrapNone/>
          <wp:docPr id="1059" name="image11.png"/>
          <wp:cNvGraphicFramePr/>
          <a:graphic xmlns:a="http://schemas.openxmlformats.org/drawingml/2006/main">
            <a:graphicData uri="http://schemas.openxmlformats.org/drawingml/2006/picture">
              <pic:pic xmlns:pic="http://schemas.openxmlformats.org/drawingml/2006/picture">
                <pic:nvPicPr>
                  <pic:cNvPr id="1059" name="image11.png"/>
                  <pic:cNvPicPr preferRelativeResize="0"/>
                </pic:nvPicPr>
                <pic:blipFill>
                  <a:blip r:embed="rId2"/>
                  <a:srcRect l="-41" t="-65" r="-40" b="-65"/>
                  <a:stretch>
                    <a:fillRect/>
                  </a:stretch>
                </pic:blipFill>
                <pic:spPr>
                  <a:xfrm>
                    <a:off x="0" y="0"/>
                    <a:ext cx="1490980" cy="931545"/>
                  </a:xfrm>
                  <a:prstGeom prst="rect">
                    <a:avLst/>
                  </a:prstGeom>
                </pic:spPr>
              </pic:pic>
            </a:graphicData>
          </a:graphic>
        </wp:anchor>
      </w:drawing>
    </w:r>
  </w:p>
  <w:p>
    <w:pPr>
      <w:ind w:left="0" w:hanging="2"/>
      <w:jc w:val="center"/>
    </w:pPr>
    <w:r>
      <w:rPr>
        <w:rFonts w:ascii="Times New Roman" w:hAnsi="Times New Roman" w:eastAsia="Times New Roman" w:cs="Times New Roman"/>
        <w:sz w:val="20"/>
        <w:szCs w:val="20"/>
      </w:rPr>
      <w:t>Universidade Federal de Ouro Preto – UFOP</w:t>
    </w:r>
  </w:p>
  <w:p>
    <w:pPr>
      <w:ind w:left="0" w:hanging="2"/>
      <w:jc w:val="center"/>
    </w:pPr>
    <w:r>
      <w:rPr>
        <w:rFonts w:ascii="Times New Roman" w:hAnsi="Times New Roman" w:eastAsia="Times New Roman" w:cs="Times New Roman"/>
        <w:b/>
        <w:sz w:val="20"/>
        <w:szCs w:val="20"/>
      </w:rPr>
      <w:t>Instituto de Ciências Humanas e Sociais – ICHS</w:t>
    </w:r>
  </w:p>
  <w:p>
    <w:pPr>
      <w:ind w:left="0" w:hanging="2"/>
      <w:jc w:val="center"/>
    </w:pPr>
    <w:r>
      <w:rPr>
        <w:rFonts w:ascii="Times New Roman" w:hAnsi="Times New Roman" w:eastAsia="Times New Roman" w:cs="Times New Roman"/>
        <w:b/>
        <w:sz w:val="20"/>
        <w:szCs w:val="20"/>
      </w:rPr>
      <w:t>COLEGIADO DE HISTÓRIA</w:t>
    </w:r>
  </w:p>
  <w:p>
    <w:pPr>
      <w:pBdr>
        <w:top w:val="none" w:color="auto" w:sz="0" w:space="0"/>
        <w:left w:val="none" w:color="auto" w:sz="0" w:space="0"/>
        <w:bottom w:val="none" w:color="auto" w:sz="0" w:space="0"/>
        <w:right w:val="none" w:color="auto" w:sz="0" w:space="0"/>
        <w:between w:val="none" w:color="auto" w:sz="0" w:space="0"/>
      </w:pBdr>
      <w:tabs>
        <w:tab w:val="center" w:pos="4252"/>
        <w:tab w:val="right" w:pos="8504"/>
      </w:tabs>
      <w:spacing w:line="240" w:lineRule="auto"/>
      <w:ind w:left="0" w:hanging="2"/>
      <w:rPr>
        <w:rFonts w:ascii="Times New Roman" w:hAnsi="Times New Roman" w:eastAsia="Times New Roman" w:cs="Times New Roman"/>
        <w:color w:val="000000"/>
        <w:sz w:val="20"/>
        <w:szCs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hanging="2"/>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hanging="2"/>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hanging="2"/>
      <w:jc w:val="center"/>
    </w:pPr>
    <w:r>
      <w:rPr>
        <w:rFonts w:ascii="Times New Roman" w:hAnsi="Times New Roman" w:eastAsia="Times New Roman" w:cs="Times New Roman"/>
        <w:sz w:val="20"/>
        <w:szCs w:val="20"/>
      </w:rPr>
      <w:t>MINISTÉRIO DA EDUCAÇÃO</w:t>
    </w:r>
    <w:r>
      <w:rPr>
        <w:lang w:eastAsia="pt-BR" w:bidi="ar-SA"/>
      </w:rPr>
      <w:drawing>
        <wp:anchor distT="0" distB="0" distL="0" distR="0" simplePos="0" relativeHeight="251676672" behindDoc="0" locked="0" layoutInCell="1" allowOverlap="1">
          <wp:simplePos x="0" y="0"/>
          <wp:positionH relativeFrom="column">
            <wp:posOffset>-481330</wp:posOffset>
          </wp:positionH>
          <wp:positionV relativeFrom="paragraph">
            <wp:posOffset>-367665</wp:posOffset>
          </wp:positionV>
          <wp:extent cx="1490980" cy="931545"/>
          <wp:effectExtent l="0" t="0" r="0" b="0"/>
          <wp:wrapNone/>
          <wp:docPr id="1068" name="image11.png"/>
          <wp:cNvGraphicFramePr/>
          <a:graphic xmlns:a="http://schemas.openxmlformats.org/drawingml/2006/main">
            <a:graphicData uri="http://schemas.openxmlformats.org/drawingml/2006/picture">
              <pic:pic xmlns:pic="http://schemas.openxmlformats.org/drawingml/2006/picture">
                <pic:nvPicPr>
                  <pic:cNvPr id="1068" name="image11.png"/>
                  <pic:cNvPicPr preferRelativeResize="0"/>
                </pic:nvPicPr>
                <pic:blipFill>
                  <a:blip r:embed="rId1"/>
                  <a:srcRect l="-41" t="-65" r="-40" b="-65"/>
                  <a:stretch>
                    <a:fillRect/>
                  </a:stretch>
                </pic:blipFill>
                <pic:spPr>
                  <a:xfrm>
                    <a:off x="0" y="0"/>
                    <a:ext cx="1490980" cy="931545"/>
                  </a:xfrm>
                  <a:prstGeom prst="rect">
                    <a:avLst/>
                  </a:prstGeom>
                </pic:spPr>
              </pic:pic>
            </a:graphicData>
          </a:graphic>
        </wp:anchor>
      </w:drawing>
    </w:r>
    <w:r>
      <w:rPr>
        <w:lang w:eastAsia="pt-BR" w:bidi="ar-SA"/>
      </w:rPr>
      <w:drawing>
        <wp:anchor distT="0" distB="0" distL="0" distR="0" simplePos="0" relativeHeight="251677696" behindDoc="0" locked="0" layoutInCell="1" allowOverlap="1">
          <wp:simplePos x="0" y="0"/>
          <wp:positionH relativeFrom="column">
            <wp:posOffset>5136515</wp:posOffset>
          </wp:positionH>
          <wp:positionV relativeFrom="paragraph">
            <wp:posOffset>8890</wp:posOffset>
          </wp:positionV>
          <wp:extent cx="760730" cy="887730"/>
          <wp:effectExtent l="0" t="0" r="0" b="0"/>
          <wp:wrapNone/>
          <wp:docPr id="1067" name="image12.png"/>
          <wp:cNvGraphicFramePr/>
          <a:graphic xmlns:a="http://schemas.openxmlformats.org/drawingml/2006/main">
            <a:graphicData uri="http://schemas.openxmlformats.org/drawingml/2006/picture">
              <pic:pic xmlns:pic="http://schemas.openxmlformats.org/drawingml/2006/picture">
                <pic:nvPicPr>
                  <pic:cNvPr id="1067" name="image12.png"/>
                  <pic:cNvPicPr preferRelativeResize="0"/>
                </pic:nvPicPr>
                <pic:blipFill>
                  <a:blip r:embed="rId2"/>
                  <a:srcRect l="-184" t="-160" r="-184" b="-160"/>
                  <a:stretch>
                    <a:fillRect/>
                  </a:stretch>
                </pic:blipFill>
                <pic:spPr>
                  <a:xfrm>
                    <a:off x="0" y="0"/>
                    <a:ext cx="760730" cy="887730"/>
                  </a:xfrm>
                  <a:prstGeom prst="rect">
                    <a:avLst/>
                  </a:prstGeom>
                </pic:spPr>
              </pic:pic>
            </a:graphicData>
          </a:graphic>
        </wp:anchor>
      </w:drawing>
    </w:r>
  </w:p>
  <w:p>
    <w:pPr>
      <w:ind w:left="0" w:hanging="2"/>
      <w:jc w:val="center"/>
    </w:pPr>
    <w:r>
      <w:rPr>
        <w:rFonts w:ascii="Times New Roman" w:hAnsi="Times New Roman" w:eastAsia="Times New Roman" w:cs="Times New Roman"/>
        <w:sz w:val="20"/>
        <w:szCs w:val="20"/>
      </w:rPr>
      <w:t>Universidade Federal de Ouro Preto – UFOP</w:t>
    </w:r>
  </w:p>
  <w:p>
    <w:pPr>
      <w:ind w:left="0" w:hanging="2"/>
      <w:jc w:val="center"/>
      <w:rPr>
        <w:rFonts w:ascii="Times New Roman" w:hAnsi="Times New Roman" w:eastAsia="Times New Roman" w:cs="Times New Roman"/>
        <w:sz w:val="20"/>
        <w:szCs w:val="20"/>
      </w:rPr>
    </w:pPr>
    <w:r>
      <w:rPr>
        <w:rFonts w:ascii="Times New Roman" w:hAnsi="Times New Roman" w:eastAsia="Times New Roman" w:cs="Times New Roman"/>
        <w:b/>
        <w:sz w:val="20"/>
        <w:szCs w:val="20"/>
      </w:rPr>
      <w:t>Instituto de Ciências Humanas e Sociais – ICH</w:t>
    </w:r>
  </w:p>
  <w:p>
    <w:pPr>
      <w:ind w:left="0" w:hanging="2"/>
      <w:jc w:val="center"/>
    </w:pPr>
    <w:r>
      <w:rPr>
        <w:rFonts w:ascii="Times New Roman" w:hAnsi="Times New Roman" w:eastAsia="Times New Roman" w:cs="Times New Roman"/>
        <w:b/>
        <w:sz w:val="20"/>
        <w:szCs w:val="20"/>
      </w:rPr>
      <w:t>COLEGIADO DE HISTÓRIA</w:t>
    </w:r>
    <w:r>
      <w:rPr>
        <w:rFonts w:ascii="Times New Roman" w:hAnsi="Times New Roman" w:eastAsia="Times New Roman" w:cs="Times New Roman"/>
        <w:b/>
        <w:sz w:val="20"/>
        <w:szCs w:val="20"/>
      </w:rPr>
      <w:tab/>
    </w:r>
  </w:p>
  <w:p>
    <w:pPr>
      <w:pBdr>
        <w:top w:val="none" w:color="auto" w:sz="0" w:space="0"/>
        <w:left w:val="none" w:color="auto" w:sz="0" w:space="0"/>
        <w:bottom w:val="none" w:color="auto" w:sz="0" w:space="0"/>
        <w:right w:val="none" w:color="auto" w:sz="0" w:space="0"/>
        <w:between w:val="none" w:color="auto" w:sz="0" w:space="0"/>
      </w:pBdr>
      <w:tabs>
        <w:tab w:val="center" w:pos="4252"/>
        <w:tab w:val="right" w:pos="8504"/>
      </w:tabs>
      <w:spacing w:line="240" w:lineRule="auto"/>
      <w:ind w:left="0" w:hanging="2"/>
      <w:rPr>
        <w:rFonts w:ascii="Times New Roman" w:hAnsi="Times New Roman" w:eastAsia="Times New Roman" w:cs="Times New Roman"/>
        <w:color w:val="000000"/>
        <w:sz w:val="20"/>
        <w:szCs w:val="2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hanging="2"/>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hanging="2"/>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hanging="2"/>
      <w:jc w:val="center"/>
    </w:pPr>
    <w:r>
      <w:rPr>
        <w:rFonts w:ascii="Times New Roman" w:hAnsi="Times New Roman" w:eastAsia="Times New Roman" w:cs="Times New Roman"/>
        <w:sz w:val="20"/>
        <w:szCs w:val="20"/>
      </w:rPr>
      <w:t>MINISTÉRIO DA EDUCAÇÃO</w:t>
    </w:r>
    <w:r>
      <w:rPr>
        <w:lang w:eastAsia="pt-BR" w:bidi="ar-SA"/>
      </w:rPr>
      <w:drawing>
        <wp:anchor distT="0" distB="0" distL="0" distR="0" simplePos="0" relativeHeight="251678720" behindDoc="0" locked="0" layoutInCell="1" allowOverlap="1">
          <wp:simplePos x="0" y="0"/>
          <wp:positionH relativeFrom="column">
            <wp:posOffset>6985</wp:posOffset>
          </wp:positionH>
          <wp:positionV relativeFrom="paragraph">
            <wp:posOffset>-367665</wp:posOffset>
          </wp:positionV>
          <wp:extent cx="1490980" cy="931545"/>
          <wp:effectExtent l="0" t="0" r="0" b="0"/>
          <wp:wrapNone/>
          <wp:docPr id="1056" name="image11.png"/>
          <wp:cNvGraphicFramePr/>
          <a:graphic xmlns:a="http://schemas.openxmlformats.org/drawingml/2006/main">
            <a:graphicData uri="http://schemas.openxmlformats.org/drawingml/2006/picture">
              <pic:pic xmlns:pic="http://schemas.openxmlformats.org/drawingml/2006/picture">
                <pic:nvPicPr>
                  <pic:cNvPr id="1056" name="image11.png"/>
                  <pic:cNvPicPr preferRelativeResize="0"/>
                </pic:nvPicPr>
                <pic:blipFill>
                  <a:blip r:embed="rId1"/>
                  <a:srcRect l="-41" t="-65" r="-40" b="-65"/>
                  <a:stretch>
                    <a:fillRect/>
                  </a:stretch>
                </pic:blipFill>
                <pic:spPr>
                  <a:xfrm>
                    <a:off x="0" y="0"/>
                    <a:ext cx="1490980" cy="931545"/>
                  </a:xfrm>
                  <a:prstGeom prst="rect">
                    <a:avLst/>
                  </a:prstGeom>
                </pic:spPr>
              </pic:pic>
            </a:graphicData>
          </a:graphic>
        </wp:anchor>
      </w:drawing>
    </w:r>
    <w:r>
      <w:rPr>
        <w:lang w:eastAsia="pt-BR" w:bidi="ar-SA"/>
      </w:rPr>
      <w:drawing>
        <wp:anchor distT="0" distB="0" distL="0" distR="0" simplePos="0" relativeHeight="251679744" behindDoc="0" locked="0" layoutInCell="1" allowOverlap="1">
          <wp:simplePos x="0" y="0"/>
          <wp:positionH relativeFrom="column">
            <wp:posOffset>8126730</wp:posOffset>
          </wp:positionH>
          <wp:positionV relativeFrom="paragraph">
            <wp:posOffset>-180975</wp:posOffset>
          </wp:positionV>
          <wp:extent cx="760730" cy="887730"/>
          <wp:effectExtent l="0" t="0" r="0" b="0"/>
          <wp:wrapNone/>
          <wp:docPr id="1055" name="image12.png"/>
          <wp:cNvGraphicFramePr/>
          <a:graphic xmlns:a="http://schemas.openxmlformats.org/drawingml/2006/main">
            <a:graphicData uri="http://schemas.openxmlformats.org/drawingml/2006/picture">
              <pic:pic xmlns:pic="http://schemas.openxmlformats.org/drawingml/2006/picture">
                <pic:nvPicPr>
                  <pic:cNvPr id="1055" name="image12.png"/>
                  <pic:cNvPicPr preferRelativeResize="0"/>
                </pic:nvPicPr>
                <pic:blipFill>
                  <a:blip r:embed="rId2"/>
                  <a:srcRect l="-184" t="-160" r="-184" b="-160"/>
                  <a:stretch>
                    <a:fillRect/>
                  </a:stretch>
                </pic:blipFill>
                <pic:spPr>
                  <a:xfrm>
                    <a:off x="0" y="0"/>
                    <a:ext cx="760730" cy="887730"/>
                  </a:xfrm>
                  <a:prstGeom prst="rect">
                    <a:avLst/>
                  </a:prstGeom>
                </pic:spPr>
              </pic:pic>
            </a:graphicData>
          </a:graphic>
        </wp:anchor>
      </w:drawing>
    </w:r>
  </w:p>
  <w:p>
    <w:pPr>
      <w:ind w:left="0" w:hanging="2"/>
      <w:jc w:val="center"/>
    </w:pPr>
    <w:r>
      <w:rPr>
        <w:rFonts w:ascii="Times New Roman" w:hAnsi="Times New Roman" w:eastAsia="Times New Roman" w:cs="Times New Roman"/>
        <w:sz w:val="20"/>
        <w:szCs w:val="20"/>
      </w:rPr>
      <w:t>Universidade Federal de Ouro Preto – UFOP</w:t>
    </w:r>
  </w:p>
  <w:p>
    <w:pPr>
      <w:ind w:left="0" w:hanging="2"/>
      <w:jc w:val="center"/>
    </w:pPr>
    <w:r>
      <w:rPr>
        <w:rFonts w:ascii="Times New Roman" w:hAnsi="Times New Roman" w:eastAsia="Times New Roman" w:cs="Times New Roman"/>
        <w:b/>
        <w:sz w:val="20"/>
        <w:szCs w:val="20"/>
      </w:rPr>
      <w:t>Instituto de Ciências Humanas e Sociais – ICHS</w:t>
    </w:r>
  </w:p>
  <w:p>
    <w:pPr>
      <w:ind w:left="0" w:hanging="2"/>
      <w:jc w:val="center"/>
    </w:pPr>
    <w:r>
      <w:rPr>
        <w:rFonts w:ascii="Times New Roman" w:hAnsi="Times New Roman" w:eastAsia="Times New Roman" w:cs="Times New Roman"/>
        <w:b/>
        <w:sz w:val="20"/>
        <w:szCs w:val="20"/>
      </w:rPr>
      <w:t>COLEGIADO DE HISTÓRIA</w:t>
    </w:r>
  </w:p>
  <w:p>
    <w:pPr>
      <w:pBdr>
        <w:top w:val="none" w:color="000000" w:sz="0" w:space="0"/>
        <w:left w:val="none" w:color="000000" w:sz="0" w:space="0"/>
        <w:bottom w:val="single" w:color="000000" w:sz="12" w:space="1"/>
        <w:right w:val="none" w:color="000000" w:sz="0" w:space="0"/>
      </w:pBdr>
      <w:ind w:left="-2" w:firstLine="0"/>
      <w:jc w:val="center"/>
      <w:rPr>
        <w:rFonts w:ascii="Arial" w:hAnsi="Arial" w:eastAsia="Arial" w:cs="Arial"/>
        <w:sz w:val="4"/>
        <w:szCs w:val="4"/>
      </w:rPr>
    </w:pPr>
  </w:p>
  <w:p>
    <w:pPr>
      <w:pBdr>
        <w:top w:val="none" w:color="auto" w:sz="0" w:space="0"/>
        <w:left w:val="none" w:color="auto" w:sz="0" w:space="0"/>
        <w:bottom w:val="none" w:color="auto" w:sz="0" w:space="0"/>
        <w:right w:val="none" w:color="auto" w:sz="0" w:space="0"/>
        <w:between w:val="none" w:color="auto" w:sz="0" w:space="0"/>
      </w:pBdr>
      <w:tabs>
        <w:tab w:val="center" w:pos="4252"/>
        <w:tab w:val="center" w:pos="4419"/>
        <w:tab w:val="right" w:pos="8504"/>
        <w:tab w:val="right" w:pos="8838"/>
      </w:tabs>
      <w:spacing w:line="240" w:lineRule="auto"/>
      <w:ind w:left="-2" w:firstLine="0"/>
      <w:rPr>
        <w:rFonts w:ascii="Arial" w:hAnsi="Arial" w:eastAsia="Arial" w:cs="Arial"/>
        <w:color w:val="000000"/>
        <w:sz w:val="4"/>
        <w:szCs w:val="4"/>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504"/>
      </w:tabs>
      <w:ind w:left="0" w:hanging="2"/>
      <w:jc w:val="center"/>
      <w:rPr>
        <w:rFonts w:ascii="Calibri" w:hAnsi="Calibri" w:eastAsia="Calibri" w:cs="Calibri"/>
      </w:rPr>
    </w:pPr>
    <w:r>
      <w:rPr>
        <w:lang w:eastAsia="pt-BR" w:bidi="ar-SA"/>
      </w:rPr>
      <w:drawing>
        <wp:anchor distT="0" distB="0" distL="114935" distR="114935" simplePos="0" relativeHeight="251661312" behindDoc="0" locked="0" layoutInCell="1" allowOverlap="1">
          <wp:simplePos x="0" y="0"/>
          <wp:positionH relativeFrom="column">
            <wp:posOffset>5003165</wp:posOffset>
          </wp:positionH>
          <wp:positionV relativeFrom="paragraph">
            <wp:posOffset>-56515</wp:posOffset>
          </wp:positionV>
          <wp:extent cx="302260" cy="720725"/>
          <wp:effectExtent l="0" t="0" r="0" b="0"/>
          <wp:wrapNone/>
          <wp:docPr id="1062" name="image9.png"/>
          <wp:cNvGraphicFramePr/>
          <a:graphic xmlns:a="http://schemas.openxmlformats.org/drawingml/2006/main">
            <a:graphicData uri="http://schemas.openxmlformats.org/drawingml/2006/picture">
              <pic:pic xmlns:pic="http://schemas.openxmlformats.org/drawingml/2006/picture">
                <pic:nvPicPr>
                  <pic:cNvPr id="1062" name="image9.png"/>
                  <pic:cNvPicPr preferRelativeResize="0"/>
                </pic:nvPicPr>
                <pic:blipFill>
                  <a:blip r:embed="rId1"/>
                  <a:srcRect l="-50" t="-21" r="-49" b="-21"/>
                  <a:stretch>
                    <a:fillRect/>
                  </a:stretch>
                </pic:blipFill>
                <pic:spPr>
                  <a:xfrm>
                    <a:off x="0" y="0"/>
                    <a:ext cx="302260" cy="720725"/>
                  </a:xfrm>
                  <a:prstGeom prst="rect">
                    <a:avLst/>
                  </a:prstGeom>
                </pic:spPr>
              </pic:pic>
            </a:graphicData>
          </a:graphic>
        </wp:anchor>
      </w:drawing>
    </w:r>
    <w:r>
      <w:rPr>
        <w:lang w:eastAsia="pt-BR" w:bidi="ar-SA"/>
      </w:rPr>
      <w:drawing>
        <wp:anchor distT="0" distB="0" distL="114935" distR="114935" simplePos="0" relativeHeight="251662336" behindDoc="0" locked="0" layoutInCell="1" allowOverlap="1">
          <wp:simplePos x="0" y="0"/>
          <wp:positionH relativeFrom="column">
            <wp:posOffset>-3810</wp:posOffset>
          </wp:positionH>
          <wp:positionV relativeFrom="paragraph">
            <wp:posOffset>-8255</wp:posOffset>
          </wp:positionV>
          <wp:extent cx="606425" cy="644525"/>
          <wp:effectExtent l="0" t="0" r="0" b="0"/>
          <wp:wrapNone/>
          <wp:docPr id="1061" name="image10.png"/>
          <wp:cNvGraphicFramePr/>
          <a:graphic xmlns:a="http://schemas.openxmlformats.org/drawingml/2006/main">
            <a:graphicData uri="http://schemas.openxmlformats.org/drawingml/2006/picture">
              <pic:pic xmlns:pic="http://schemas.openxmlformats.org/drawingml/2006/picture">
                <pic:nvPicPr>
                  <pic:cNvPr id="1061" name="image10.png"/>
                  <pic:cNvPicPr preferRelativeResize="0"/>
                </pic:nvPicPr>
                <pic:blipFill>
                  <a:blip r:embed="rId2"/>
                  <a:srcRect l="-115" t="-108" r="-114" b="-109"/>
                  <a:stretch>
                    <a:fillRect/>
                  </a:stretch>
                </pic:blipFill>
                <pic:spPr>
                  <a:xfrm>
                    <a:off x="0" y="0"/>
                    <a:ext cx="606425" cy="644525"/>
                  </a:xfrm>
                  <a:prstGeom prst="rect">
                    <a:avLst/>
                  </a:prstGeom>
                </pic:spPr>
              </pic:pic>
            </a:graphicData>
          </a:graphic>
        </wp:anchor>
      </w:drawing>
    </w:r>
  </w:p>
  <w:p>
    <w:pPr>
      <w:pBdr>
        <w:top w:val="none" w:color="auto" w:sz="0" w:space="0"/>
        <w:left w:val="none" w:color="auto" w:sz="0" w:space="0"/>
        <w:bottom w:val="none" w:color="auto" w:sz="0" w:space="0"/>
        <w:right w:val="none" w:color="auto" w:sz="0" w:space="0"/>
        <w:between w:val="none" w:color="auto" w:sz="0" w:space="0"/>
      </w:pBdr>
      <w:tabs>
        <w:tab w:val="center" w:pos="4252"/>
        <w:tab w:val="right" w:pos="8504"/>
      </w:tabs>
      <w:spacing w:line="240" w:lineRule="auto"/>
      <w:ind w:left="0" w:hanging="2"/>
      <w:jc w:val="center"/>
      <w:rPr>
        <w:rFonts w:eastAsia="Liberation Serif" w:cs="Liberation Serif"/>
        <w:color w:val="000000"/>
      </w:rPr>
    </w:pPr>
    <w:r>
      <w:rPr>
        <w:rFonts w:ascii="Calibri" w:hAnsi="Calibri" w:eastAsia="Calibri" w:cs="Calibri"/>
        <w:color w:val="000000"/>
      </w:rPr>
      <w:t>Universidade Federal de Ouro Preto</w:t>
    </w:r>
  </w:p>
  <w:p>
    <w:pPr>
      <w:pBdr>
        <w:top w:val="none" w:color="auto" w:sz="0" w:space="0"/>
        <w:left w:val="none" w:color="auto" w:sz="0" w:space="0"/>
        <w:bottom w:val="none" w:color="auto" w:sz="0" w:space="0"/>
        <w:right w:val="none" w:color="auto" w:sz="0" w:space="0"/>
        <w:between w:val="none" w:color="auto" w:sz="0" w:space="0"/>
      </w:pBdr>
      <w:tabs>
        <w:tab w:val="center" w:pos="4252"/>
        <w:tab w:val="right" w:pos="8504"/>
      </w:tabs>
      <w:spacing w:line="240" w:lineRule="auto"/>
      <w:ind w:left="0" w:hanging="2"/>
      <w:jc w:val="center"/>
      <w:rPr>
        <w:rFonts w:eastAsia="Liberation Serif" w:cs="Liberation Serif"/>
        <w:color w:val="000000"/>
      </w:rPr>
    </w:pPr>
    <w:r>
      <w:rPr>
        <w:rFonts w:ascii="Calibri" w:hAnsi="Calibri" w:eastAsia="Calibri" w:cs="Calibri"/>
        <w:color w:val="000000"/>
      </w:rPr>
      <w:t>Instituto de Ciências Humanas e Sociais</w:t>
    </w:r>
  </w:p>
  <w:p>
    <w:pPr>
      <w:pBdr>
        <w:top w:val="none" w:color="auto" w:sz="0" w:space="0"/>
        <w:left w:val="none" w:color="auto" w:sz="0" w:space="0"/>
        <w:bottom w:val="none" w:color="auto" w:sz="0" w:space="0"/>
        <w:right w:val="none" w:color="auto" w:sz="0" w:space="0"/>
        <w:between w:val="none" w:color="auto" w:sz="0" w:space="0"/>
      </w:pBdr>
      <w:tabs>
        <w:tab w:val="center" w:pos="4252"/>
        <w:tab w:val="right" w:pos="8504"/>
      </w:tabs>
      <w:spacing w:line="240" w:lineRule="auto"/>
      <w:ind w:left="0" w:hanging="2"/>
      <w:jc w:val="center"/>
      <w:rPr>
        <w:rFonts w:eastAsia="Liberation Serif" w:cs="Liberation Serif"/>
        <w:color w:val="000000"/>
      </w:rPr>
    </w:pPr>
    <w:r>
      <w:rPr>
        <w:rFonts w:ascii="Calibri" w:hAnsi="Calibri" w:eastAsia="Calibri" w:cs="Calibri"/>
        <w:color w:val="000000"/>
      </w:rPr>
      <w:t>Colegiado de História</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hanging="2"/>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hanging="2"/>
      <w:jc w:val="center"/>
    </w:pPr>
    <w:r>
      <w:rPr>
        <w:rFonts w:ascii="Times New Roman" w:hAnsi="Times New Roman" w:eastAsia="Times New Roman" w:cs="Times New Roman"/>
        <w:sz w:val="20"/>
        <w:szCs w:val="20"/>
      </w:rPr>
      <w:t>MINISTÉRIO DA EDUCAÇÃO</w:t>
    </w:r>
    <w:r>
      <w:rPr>
        <w:lang w:eastAsia="pt-BR" w:bidi="ar-SA"/>
      </w:rPr>
      <w:drawing>
        <wp:anchor distT="0" distB="0" distL="0" distR="0" simplePos="0" relativeHeight="251673600" behindDoc="0" locked="0" layoutInCell="1" allowOverlap="1">
          <wp:simplePos x="0" y="0"/>
          <wp:positionH relativeFrom="column">
            <wp:posOffset>-431800</wp:posOffset>
          </wp:positionH>
          <wp:positionV relativeFrom="paragraph">
            <wp:posOffset>-367665</wp:posOffset>
          </wp:positionV>
          <wp:extent cx="1490980" cy="931545"/>
          <wp:effectExtent l="0" t="0" r="0" b="0"/>
          <wp:wrapNone/>
          <wp:docPr id="1072" name="image11.png"/>
          <wp:cNvGraphicFramePr/>
          <a:graphic xmlns:a="http://schemas.openxmlformats.org/drawingml/2006/main">
            <a:graphicData uri="http://schemas.openxmlformats.org/drawingml/2006/picture">
              <pic:pic xmlns:pic="http://schemas.openxmlformats.org/drawingml/2006/picture">
                <pic:nvPicPr>
                  <pic:cNvPr id="1072" name="image11.png"/>
                  <pic:cNvPicPr preferRelativeResize="0"/>
                </pic:nvPicPr>
                <pic:blipFill>
                  <a:blip r:embed="rId1"/>
                  <a:srcRect l="-41" t="-65" r="-40" b="-65"/>
                  <a:stretch>
                    <a:fillRect/>
                  </a:stretch>
                </pic:blipFill>
                <pic:spPr>
                  <a:xfrm>
                    <a:off x="0" y="0"/>
                    <a:ext cx="1490980" cy="931545"/>
                  </a:xfrm>
                  <a:prstGeom prst="rect">
                    <a:avLst/>
                  </a:prstGeom>
                </pic:spPr>
              </pic:pic>
            </a:graphicData>
          </a:graphic>
        </wp:anchor>
      </w:drawing>
    </w:r>
    <w:r>
      <w:rPr>
        <w:lang w:eastAsia="pt-BR" w:bidi="ar-SA"/>
      </w:rPr>
      <w:drawing>
        <wp:anchor distT="0" distB="0" distL="0" distR="0" simplePos="0" relativeHeight="251674624" behindDoc="0" locked="0" layoutInCell="1" allowOverlap="1">
          <wp:simplePos x="0" y="0"/>
          <wp:positionH relativeFrom="column">
            <wp:posOffset>5000625</wp:posOffset>
          </wp:positionH>
          <wp:positionV relativeFrom="paragraph">
            <wp:posOffset>8890</wp:posOffset>
          </wp:positionV>
          <wp:extent cx="760730" cy="887730"/>
          <wp:effectExtent l="0" t="0" r="0" b="0"/>
          <wp:wrapNone/>
          <wp:docPr id="1071" name="image12.png"/>
          <wp:cNvGraphicFramePr/>
          <a:graphic xmlns:a="http://schemas.openxmlformats.org/drawingml/2006/main">
            <a:graphicData uri="http://schemas.openxmlformats.org/drawingml/2006/picture">
              <pic:pic xmlns:pic="http://schemas.openxmlformats.org/drawingml/2006/picture">
                <pic:nvPicPr>
                  <pic:cNvPr id="1071" name="image12.png"/>
                  <pic:cNvPicPr preferRelativeResize="0"/>
                </pic:nvPicPr>
                <pic:blipFill>
                  <a:blip r:embed="rId2"/>
                  <a:srcRect l="-184" t="-160" r="-184" b="-160"/>
                  <a:stretch>
                    <a:fillRect/>
                  </a:stretch>
                </pic:blipFill>
                <pic:spPr>
                  <a:xfrm>
                    <a:off x="0" y="0"/>
                    <a:ext cx="760730" cy="887730"/>
                  </a:xfrm>
                  <a:prstGeom prst="rect">
                    <a:avLst/>
                  </a:prstGeom>
                </pic:spPr>
              </pic:pic>
            </a:graphicData>
          </a:graphic>
        </wp:anchor>
      </w:drawing>
    </w:r>
  </w:p>
  <w:p>
    <w:pPr>
      <w:ind w:left="0" w:hanging="2"/>
      <w:jc w:val="center"/>
    </w:pPr>
    <w:r>
      <w:rPr>
        <w:rFonts w:ascii="Times New Roman" w:hAnsi="Times New Roman" w:eastAsia="Times New Roman" w:cs="Times New Roman"/>
        <w:sz w:val="20"/>
        <w:szCs w:val="20"/>
      </w:rPr>
      <w:t>Universidade Federal de Ouro Preto – UFOP</w:t>
    </w:r>
  </w:p>
  <w:p>
    <w:pPr>
      <w:ind w:left="0" w:hanging="2"/>
      <w:jc w:val="center"/>
    </w:pPr>
    <w:r>
      <w:rPr>
        <w:rFonts w:ascii="Times New Roman" w:hAnsi="Times New Roman" w:eastAsia="Times New Roman" w:cs="Times New Roman"/>
        <w:b/>
        <w:sz w:val="20"/>
        <w:szCs w:val="20"/>
      </w:rPr>
      <w:t>Instituto de Ciências Humanas e Sociais – ICHS</w:t>
    </w:r>
  </w:p>
  <w:p>
    <w:pPr>
      <w:ind w:left="0" w:hanging="2"/>
      <w:jc w:val="center"/>
    </w:pPr>
    <w:r>
      <w:rPr>
        <w:rFonts w:ascii="Times New Roman" w:hAnsi="Times New Roman" w:eastAsia="Times New Roman" w:cs="Times New Roman"/>
        <w:b/>
        <w:sz w:val="20"/>
        <w:szCs w:val="20"/>
      </w:rPr>
      <w:t>COLEGIADO DE HISTÓRIA</w:t>
    </w:r>
  </w:p>
  <w:p>
    <w:pPr>
      <w:pBdr>
        <w:top w:val="none" w:color="auto" w:sz="0" w:space="0"/>
        <w:left w:val="none" w:color="auto" w:sz="0" w:space="0"/>
        <w:bottom w:val="none" w:color="auto" w:sz="0" w:space="0"/>
        <w:right w:val="none" w:color="auto" w:sz="0" w:space="0"/>
        <w:between w:val="none" w:color="auto" w:sz="0" w:space="0"/>
      </w:pBdr>
      <w:tabs>
        <w:tab w:val="center" w:pos="4252"/>
        <w:tab w:val="right" w:pos="8504"/>
      </w:tabs>
      <w:spacing w:line="240" w:lineRule="auto"/>
      <w:ind w:left="0" w:hanging="2"/>
      <w:rPr>
        <w:rFonts w:ascii="Times New Roman" w:hAnsi="Times New Roman" w:eastAsia="Times New Roman" w:cs="Times New Roman"/>
        <w:color w:val="000000"/>
        <w:sz w:val="20"/>
        <w:szCs w:val="20"/>
      </w:rPr>
    </w:pPr>
  </w:p>
  <w:p>
    <w:pPr>
      <w:ind w:left="0" w:hanging="2"/>
      <w:rPr>
        <w:rFonts w:ascii="Times New Roman" w:hAnsi="Times New Roman" w:eastAsia="Times New Roman" w:cs="Times New Roman"/>
        <w:sz w:val="20"/>
        <w:szCs w:val="20"/>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hanging="2"/>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hanging="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hanging="2"/>
      <w:jc w:val="center"/>
    </w:pPr>
    <w:r>
      <w:rPr>
        <w:rFonts w:ascii="Times New Roman" w:hAnsi="Times New Roman" w:eastAsia="Times New Roman" w:cs="Times New Roman"/>
        <w:sz w:val="20"/>
        <w:szCs w:val="20"/>
      </w:rPr>
      <w:t>MINISTÉRIO DA EDUCAÇÃO</w:t>
    </w:r>
    <w:r>
      <w:rPr>
        <w:lang w:eastAsia="pt-BR" w:bidi="ar-SA"/>
      </w:rPr>
      <w:drawing>
        <wp:anchor distT="0" distB="0" distL="0" distR="0" simplePos="0" relativeHeight="251663360" behindDoc="0" locked="0" layoutInCell="1" allowOverlap="1">
          <wp:simplePos x="0" y="0"/>
          <wp:positionH relativeFrom="column">
            <wp:posOffset>5126990</wp:posOffset>
          </wp:positionH>
          <wp:positionV relativeFrom="paragraph">
            <wp:posOffset>-88900</wp:posOffset>
          </wp:positionV>
          <wp:extent cx="760730" cy="887730"/>
          <wp:effectExtent l="0" t="0" r="0" b="0"/>
          <wp:wrapNone/>
          <wp:docPr id="1058" name="image12.png"/>
          <wp:cNvGraphicFramePr/>
          <a:graphic xmlns:a="http://schemas.openxmlformats.org/drawingml/2006/main">
            <a:graphicData uri="http://schemas.openxmlformats.org/drawingml/2006/picture">
              <pic:pic xmlns:pic="http://schemas.openxmlformats.org/drawingml/2006/picture">
                <pic:nvPicPr>
                  <pic:cNvPr id="1058" name="image12.png"/>
                  <pic:cNvPicPr preferRelativeResize="0"/>
                </pic:nvPicPr>
                <pic:blipFill>
                  <a:blip r:embed="rId1"/>
                  <a:srcRect l="-184" t="-160" r="-184" b="-160"/>
                  <a:stretch>
                    <a:fillRect/>
                  </a:stretch>
                </pic:blipFill>
                <pic:spPr>
                  <a:xfrm>
                    <a:off x="0" y="0"/>
                    <a:ext cx="760730" cy="887730"/>
                  </a:xfrm>
                  <a:prstGeom prst="rect">
                    <a:avLst/>
                  </a:prstGeom>
                </pic:spPr>
              </pic:pic>
            </a:graphicData>
          </a:graphic>
        </wp:anchor>
      </w:drawing>
    </w:r>
    <w:r>
      <w:rPr>
        <w:lang w:eastAsia="pt-BR" w:bidi="ar-SA"/>
      </w:rPr>
      <w:drawing>
        <wp:anchor distT="0" distB="0" distL="0" distR="0" simplePos="0" relativeHeight="251664384" behindDoc="0" locked="0" layoutInCell="1" allowOverlap="1">
          <wp:simplePos x="0" y="0"/>
          <wp:positionH relativeFrom="column">
            <wp:posOffset>-481330</wp:posOffset>
          </wp:positionH>
          <wp:positionV relativeFrom="paragraph">
            <wp:posOffset>-367665</wp:posOffset>
          </wp:positionV>
          <wp:extent cx="1490980" cy="931545"/>
          <wp:effectExtent l="0" t="0" r="0" b="0"/>
          <wp:wrapNone/>
          <wp:docPr id="1057" name="image11.png"/>
          <wp:cNvGraphicFramePr/>
          <a:graphic xmlns:a="http://schemas.openxmlformats.org/drawingml/2006/main">
            <a:graphicData uri="http://schemas.openxmlformats.org/drawingml/2006/picture">
              <pic:pic xmlns:pic="http://schemas.openxmlformats.org/drawingml/2006/picture">
                <pic:nvPicPr>
                  <pic:cNvPr id="1057" name="image11.png"/>
                  <pic:cNvPicPr preferRelativeResize="0"/>
                </pic:nvPicPr>
                <pic:blipFill>
                  <a:blip r:embed="rId2"/>
                  <a:srcRect l="-41" t="-65" r="-40" b="-65"/>
                  <a:stretch>
                    <a:fillRect/>
                  </a:stretch>
                </pic:blipFill>
                <pic:spPr>
                  <a:xfrm>
                    <a:off x="0" y="0"/>
                    <a:ext cx="1490980" cy="931545"/>
                  </a:xfrm>
                  <a:prstGeom prst="rect">
                    <a:avLst/>
                  </a:prstGeom>
                </pic:spPr>
              </pic:pic>
            </a:graphicData>
          </a:graphic>
        </wp:anchor>
      </w:drawing>
    </w:r>
  </w:p>
  <w:p>
    <w:pPr>
      <w:ind w:left="0" w:hanging="2"/>
      <w:jc w:val="center"/>
    </w:pPr>
    <w:r>
      <w:rPr>
        <w:rFonts w:ascii="Times New Roman" w:hAnsi="Times New Roman" w:eastAsia="Times New Roman" w:cs="Times New Roman"/>
        <w:sz w:val="20"/>
        <w:szCs w:val="20"/>
      </w:rPr>
      <w:t>Universidade Federal de Ouro Preto – UFOP</w:t>
    </w:r>
  </w:p>
  <w:p>
    <w:pPr>
      <w:tabs>
        <w:tab w:val="center" w:pos="5101"/>
        <w:tab w:val="left" w:pos="8580"/>
      </w:tabs>
      <w:ind w:left="0" w:hanging="2"/>
    </w:pPr>
    <w:r>
      <w:rPr>
        <w:rFonts w:ascii="Times New Roman" w:hAnsi="Times New Roman" w:eastAsia="Times New Roman" w:cs="Times New Roman"/>
        <w:b/>
        <w:sz w:val="20"/>
        <w:szCs w:val="20"/>
      </w:rPr>
      <w:tab/>
    </w:r>
    <w:r>
      <w:rPr>
        <w:rFonts w:ascii="Times New Roman" w:hAnsi="Times New Roman" w:eastAsia="Times New Roman" w:cs="Times New Roman"/>
        <w:b/>
        <w:sz w:val="20"/>
        <w:szCs w:val="20"/>
      </w:rPr>
      <w:t>Instituto de Ciências Humanas e Sociais – ICHS</w:t>
    </w:r>
    <w:r>
      <w:rPr>
        <w:rFonts w:ascii="Times New Roman" w:hAnsi="Times New Roman" w:eastAsia="Times New Roman" w:cs="Times New Roman"/>
        <w:b/>
        <w:sz w:val="20"/>
        <w:szCs w:val="20"/>
      </w:rPr>
      <w:tab/>
    </w:r>
  </w:p>
  <w:p>
    <w:pPr>
      <w:ind w:left="0" w:hanging="2"/>
      <w:jc w:val="center"/>
    </w:pPr>
    <w:r>
      <w:rPr>
        <w:rFonts w:ascii="Times New Roman" w:hAnsi="Times New Roman" w:eastAsia="Times New Roman" w:cs="Times New Roman"/>
        <w:b/>
        <w:sz w:val="20"/>
        <w:szCs w:val="20"/>
      </w:rPr>
      <w:t>COLEGIADO DE HISTÓRIA</w:t>
    </w:r>
  </w:p>
  <w:p>
    <w:pPr>
      <w:pBdr>
        <w:top w:val="none" w:color="auto" w:sz="0" w:space="0"/>
        <w:left w:val="none" w:color="auto" w:sz="0" w:space="0"/>
        <w:bottom w:val="none" w:color="auto" w:sz="0" w:space="0"/>
        <w:right w:val="none" w:color="auto" w:sz="0" w:space="0"/>
        <w:between w:val="none" w:color="auto" w:sz="0" w:space="0"/>
      </w:pBdr>
      <w:tabs>
        <w:tab w:val="center" w:pos="4252"/>
        <w:tab w:val="right" w:pos="8504"/>
      </w:tabs>
      <w:spacing w:line="240" w:lineRule="auto"/>
      <w:ind w:left="0" w:hanging="2"/>
      <w:rPr>
        <w:rFonts w:ascii="Times New Roman" w:hAnsi="Times New Roman" w:eastAsia="Times New Roman" w:cs="Times New Roman"/>
        <w:color w:val="000000"/>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hanging="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hanging="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hanging="2"/>
      <w:jc w:val="center"/>
    </w:pPr>
    <w:r>
      <w:rPr>
        <w:rFonts w:ascii="Times New Roman" w:hAnsi="Times New Roman" w:eastAsia="Times New Roman" w:cs="Times New Roman"/>
        <w:sz w:val="20"/>
        <w:szCs w:val="20"/>
      </w:rPr>
      <w:t>MINISTÉRIO DA EDUCAÇÃO</w:t>
    </w:r>
    <w:r>
      <w:rPr>
        <w:lang w:eastAsia="pt-BR" w:bidi="ar-SA"/>
      </w:rPr>
      <w:drawing>
        <wp:anchor distT="0" distB="0" distL="0" distR="0" simplePos="0" relativeHeight="251666432" behindDoc="0" locked="0" layoutInCell="1" allowOverlap="1">
          <wp:simplePos x="0" y="0"/>
          <wp:positionH relativeFrom="column">
            <wp:posOffset>-481330</wp:posOffset>
          </wp:positionH>
          <wp:positionV relativeFrom="paragraph">
            <wp:posOffset>-367665</wp:posOffset>
          </wp:positionV>
          <wp:extent cx="1490980" cy="931545"/>
          <wp:effectExtent l="0" t="0" r="0" b="0"/>
          <wp:wrapNone/>
          <wp:docPr id="1066" name="image11.png"/>
          <wp:cNvGraphicFramePr/>
          <a:graphic xmlns:a="http://schemas.openxmlformats.org/drawingml/2006/main">
            <a:graphicData uri="http://schemas.openxmlformats.org/drawingml/2006/picture">
              <pic:pic xmlns:pic="http://schemas.openxmlformats.org/drawingml/2006/picture">
                <pic:nvPicPr>
                  <pic:cNvPr id="1066" name="image11.png"/>
                  <pic:cNvPicPr preferRelativeResize="0"/>
                </pic:nvPicPr>
                <pic:blipFill>
                  <a:blip r:embed="rId1"/>
                  <a:srcRect l="-41" t="-65" r="-40" b="-65"/>
                  <a:stretch>
                    <a:fillRect/>
                  </a:stretch>
                </pic:blipFill>
                <pic:spPr>
                  <a:xfrm>
                    <a:off x="0" y="0"/>
                    <a:ext cx="1490980" cy="931545"/>
                  </a:xfrm>
                  <a:prstGeom prst="rect">
                    <a:avLst/>
                  </a:prstGeom>
                </pic:spPr>
              </pic:pic>
            </a:graphicData>
          </a:graphic>
        </wp:anchor>
      </w:drawing>
    </w:r>
    <w:r>
      <w:rPr>
        <w:lang w:eastAsia="pt-BR" w:bidi="ar-SA"/>
      </w:rPr>
      <w:drawing>
        <wp:anchor distT="0" distB="0" distL="0" distR="0" simplePos="0" relativeHeight="251669504" behindDoc="0" locked="0" layoutInCell="1" allowOverlap="1">
          <wp:simplePos x="0" y="0"/>
          <wp:positionH relativeFrom="column">
            <wp:posOffset>5155565</wp:posOffset>
          </wp:positionH>
          <wp:positionV relativeFrom="paragraph">
            <wp:posOffset>-88900</wp:posOffset>
          </wp:positionV>
          <wp:extent cx="760730" cy="887730"/>
          <wp:effectExtent l="0" t="0" r="0" b="0"/>
          <wp:wrapNone/>
          <wp:docPr id="1065" name="image12.png"/>
          <wp:cNvGraphicFramePr/>
          <a:graphic xmlns:a="http://schemas.openxmlformats.org/drawingml/2006/main">
            <a:graphicData uri="http://schemas.openxmlformats.org/drawingml/2006/picture">
              <pic:pic xmlns:pic="http://schemas.openxmlformats.org/drawingml/2006/picture">
                <pic:nvPicPr>
                  <pic:cNvPr id="1065" name="image12.png"/>
                  <pic:cNvPicPr preferRelativeResize="0"/>
                </pic:nvPicPr>
                <pic:blipFill>
                  <a:blip r:embed="rId2"/>
                  <a:srcRect l="-184" t="-160" r="-184" b="-160"/>
                  <a:stretch>
                    <a:fillRect/>
                  </a:stretch>
                </pic:blipFill>
                <pic:spPr>
                  <a:xfrm>
                    <a:off x="0" y="0"/>
                    <a:ext cx="760730" cy="887730"/>
                  </a:xfrm>
                  <a:prstGeom prst="rect">
                    <a:avLst/>
                  </a:prstGeom>
                </pic:spPr>
              </pic:pic>
            </a:graphicData>
          </a:graphic>
        </wp:anchor>
      </w:drawing>
    </w:r>
  </w:p>
  <w:p>
    <w:pPr>
      <w:ind w:left="0" w:hanging="2"/>
      <w:jc w:val="center"/>
    </w:pPr>
    <w:r>
      <w:rPr>
        <w:rFonts w:ascii="Times New Roman" w:hAnsi="Times New Roman" w:eastAsia="Times New Roman" w:cs="Times New Roman"/>
        <w:sz w:val="20"/>
        <w:szCs w:val="20"/>
      </w:rPr>
      <w:t>Universidade Federal de Ouro Preto – UFOP</w:t>
    </w:r>
  </w:p>
  <w:p>
    <w:pPr>
      <w:tabs>
        <w:tab w:val="center" w:pos="5113"/>
        <w:tab w:val="left" w:pos="8220"/>
      </w:tabs>
      <w:ind w:left="0" w:hanging="2"/>
    </w:pPr>
    <w:r>
      <w:rPr>
        <w:rFonts w:ascii="Times New Roman" w:hAnsi="Times New Roman" w:eastAsia="Times New Roman" w:cs="Times New Roman"/>
        <w:b/>
        <w:sz w:val="20"/>
        <w:szCs w:val="20"/>
      </w:rPr>
      <w:tab/>
    </w:r>
    <w:r>
      <w:rPr>
        <w:rFonts w:ascii="Times New Roman" w:hAnsi="Times New Roman" w:eastAsia="Times New Roman" w:cs="Times New Roman"/>
        <w:b/>
        <w:sz w:val="20"/>
        <w:szCs w:val="20"/>
      </w:rPr>
      <w:t>Instituto de Ciências Humanas e Sociais – ICHS</w:t>
    </w:r>
    <w:r>
      <w:rPr>
        <w:rFonts w:ascii="Times New Roman" w:hAnsi="Times New Roman" w:eastAsia="Times New Roman" w:cs="Times New Roman"/>
        <w:b/>
        <w:sz w:val="20"/>
        <w:szCs w:val="20"/>
      </w:rPr>
      <w:tab/>
    </w:r>
  </w:p>
  <w:p>
    <w:pPr>
      <w:ind w:left="0" w:hanging="2"/>
      <w:jc w:val="center"/>
    </w:pPr>
    <w:r>
      <w:rPr>
        <w:rFonts w:ascii="Times New Roman" w:hAnsi="Times New Roman" w:eastAsia="Times New Roman" w:cs="Times New Roman"/>
        <w:b/>
        <w:sz w:val="20"/>
        <w:szCs w:val="20"/>
      </w:rPr>
      <w:t>COLEGIADO DE HISTÓRIA</w:t>
    </w:r>
  </w:p>
  <w:p>
    <w:pPr>
      <w:pBdr>
        <w:top w:val="none" w:color="auto" w:sz="0" w:space="0"/>
        <w:left w:val="none" w:color="auto" w:sz="0" w:space="0"/>
        <w:bottom w:val="none" w:color="auto" w:sz="0" w:space="0"/>
        <w:right w:val="none" w:color="auto" w:sz="0" w:space="0"/>
        <w:between w:val="none" w:color="auto" w:sz="0" w:space="0"/>
      </w:pBdr>
      <w:tabs>
        <w:tab w:val="center" w:pos="4252"/>
        <w:tab w:val="right" w:pos="8504"/>
      </w:tabs>
      <w:spacing w:line="240" w:lineRule="auto"/>
      <w:ind w:left="0" w:hanging="2"/>
      <w:rPr>
        <w:rFonts w:ascii="Times New Roman" w:hAnsi="Times New Roman" w:eastAsia="Times New Roman" w:cs="Times New Roman"/>
        <w:color w:val="000000"/>
        <w:sz w:val="20"/>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hanging="2"/>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hanging="2"/>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hanging="2"/>
      <w:jc w:val="center"/>
    </w:pPr>
    <w:r>
      <w:rPr>
        <w:rFonts w:ascii="Times New Roman" w:hAnsi="Times New Roman" w:eastAsia="Times New Roman" w:cs="Times New Roman"/>
        <w:sz w:val="20"/>
        <w:szCs w:val="20"/>
      </w:rPr>
      <w:t>MINISTÉRIO DA EDUCAÇÃO</w:t>
    </w:r>
    <w:r>
      <w:rPr>
        <w:lang w:eastAsia="pt-BR" w:bidi="ar-SA"/>
      </w:rPr>
      <w:drawing>
        <wp:anchor distT="0" distB="0" distL="0" distR="0" simplePos="0" relativeHeight="251670528" behindDoc="0" locked="0" layoutInCell="1" allowOverlap="1">
          <wp:simplePos x="0" y="0"/>
          <wp:positionH relativeFrom="column">
            <wp:posOffset>-481330</wp:posOffset>
          </wp:positionH>
          <wp:positionV relativeFrom="paragraph">
            <wp:posOffset>-367665</wp:posOffset>
          </wp:positionV>
          <wp:extent cx="1490980" cy="931545"/>
          <wp:effectExtent l="0" t="0" r="0" b="0"/>
          <wp:wrapNone/>
          <wp:docPr id="1060" name="image11.png"/>
          <wp:cNvGraphicFramePr/>
          <a:graphic xmlns:a="http://schemas.openxmlformats.org/drawingml/2006/main">
            <a:graphicData uri="http://schemas.openxmlformats.org/drawingml/2006/picture">
              <pic:pic xmlns:pic="http://schemas.openxmlformats.org/drawingml/2006/picture">
                <pic:nvPicPr>
                  <pic:cNvPr id="1060" name="image11.png"/>
                  <pic:cNvPicPr preferRelativeResize="0"/>
                </pic:nvPicPr>
                <pic:blipFill>
                  <a:blip r:embed="rId1"/>
                  <a:srcRect l="-41" t="-65" r="-40" b="-65"/>
                  <a:stretch>
                    <a:fillRect/>
                  </a:stretch>
                </pic:blipFill>
                <pic:spPr>
                  <a:xfrm>
                    <a:off x="0" y="0"/>
                    <a:ext cx="1490980" cy="931545"/>
                  </a:xfrm>
                  <a:prstGeom prst="rect">
                    <a:avLst/>
                  </a:prstGeom>
                </pic:spPr>
              </pic:pic>
            </a:graphicData>
          </a:graphic>
        </wp:anchor>
      </w:drawing>
    </w:r>
    <w:r>
      <w:rPr>
        <w:lang w:eastAsia="pt-BR" w:bidi="ar-SA"/>
      </w:rPr>
      <w:drawing>
        <wp:anchor distT="0" distB="0" distL="0" distR="0" simplePos="0" relativeHeight="251671552" behindDoc="0" locked="0" layoutInCell="1" allowOverlap="1">
          <wp:simplePos x="0" y="0"/>
          <wp:positionH relativeFrom="column">
            <wp:posOffset>5088890</wp:posOffset>
          </wp:positionH>
          <wp:positionV relativeFrom="paragraph">
            <wp:posOffset>-117475</wp:posOffset>
          </wp:positionV>
          <wp:extent cx="760730" cy="887730"/>
          <wp:effectExtent l="0" t="0" r="0" b="0"/>
          <wp:wrapNone/>
          <wp:docPr id="1069" name="image12.png"/>
          <wp:cNvGraphicFramePr/>
          <a:graphic xmlns:a="http://schemas.openxmlformats.org/drawingml/2006/main">
            <a:graphicData uri="http://schemas.openxmlformats.org/drawingml/2006/picture">
              <pic:pic xmlns:pic="http://schemas.openxmlformats.org/drawingml/2006/picture">
                <pic:nvPicPr>
                  <pic:cNvPr id="1069" name="image12.png"/>
                  <pic:cNvPicPr preferRelativeResize="0"/>
                </pic:nvPicPr>
                <pic:blipFill>
                  <a:blip r:embed="rId2"/>
                  <a:srcRect l="-184" t="-160" r="-184" b="-160"/>
                  <a:stretch>
                    <a:fillRect/>
                  </a:stretch>
                </pic:blipFill>
                <pic:spPr>
                  <a:xfrm>
                    <a:off x="0" y="0"/>
                    <a:ext cx="760730" cy="887730"/>
                  </a:xfrm>
                  <a:prstGeom prst="rect">
                    <a:avLst/>
                  </a:prstGeom>
                </pic:spPr>
              </pic:pic>
            </a:graphicData>
          </a:graphic>
        </wp:anchor>
      </w:drawing>
    </w:r>
  </w:p>
  <w:p>
    <w:pPr>
      <w:ind w:left="0" w:hanging="2"/>
      <w:jc w:val="center"/>
    </w:pPr>
    <w:r>
      <w:rPr>
        <w:rFonts w:ascii="Times New Roman" w:hAnsi="Times New Roman" w:eastAsia="Times New Roman" w:cs="Times New Roman"/>
        <w:sz w:val="20"/>
        <w:szCs w:val="20"/>
      </w:rPr>
      <w:t>Universidade Federal de Ouro Preto – UFOP</w:t>
    </w:r>
  </w:p>
  <w:p>
    <w:pPr>
      <w:ind w:left="0" w:hanging="2"/>
      <w:jc w:val="center"/>
    </w:pPr>
    <w:r>
      <w:rPr>
        <w:rFonts w:ascii="Times New Roman" w:hAnsi="Times New Roman" w:eastAsia="Times New Roman" w:cs="Times New Roman"/>
        <w:b/>
        <w:sz w:val="20"/>
        <w:szCs w:val="20"/>
      </w:rPr>
      <w:t>Instituto de Ciências Humanas e Sociais – ICHS</w:t>
    </w:r>
  </w:p>
  <w:p>
    <w:pPr>
      <w:ind w:left="0" w:hanging="2"/>
      <w:jc w:val="center"/>
    </w:pPr>
    <w:r>
      <w:rPr>
        <w:rFonts w:ascii="Times New Roman" w:hAnsi="Times New Roman" w:eastAsia="Times New Roman" w:cs="Times New Roman"/>
        <w:b/>
        <w:sz w:val="20"/>
        <w:szCs w:val="20"/>
      </w:rPr>
      <w:t>COLEGIADO DE HISTÓRIA</w:t>
    </w:r>
  </w:p>
  <w:p>
    <w:pPr>
      <w:pBdr>
        <w:top w:val="none" w:color="auto" w:sz="0" w:space="0"/>
        <w:left w:val="none" w:color="auto" w:sz="0" w:space="0"/>
        <w:bottom w:val="none" w:color="auto" w:sz="0" w:space="0"/>
        <w:right w:val="none" w:color="auto" w:sz="0" w:space="0"/>
        <w:between w:val="none" w:color="auto" w:sz="0" w:space="0"/>
      </w:pBdr>
      <w:tabs>
        <w:tab w:val="center" w:pos="4252"/>
        <w:tab w:val="right" w:pos="8504"/>
      </w:tabs>
      <w:spacing w:line="240" w:lineRule="auto"/>
      <w:ind w:left="0" w:hanging="2"/>
      <w:rPr>
        <w:rFonts w:ascii="Times New Roman" w:hAnsi="Times New Roman" w:eastAsia="Times New Roman" w:cs="Times New Roman"/>
        <w:color w:val="00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56A8B"/>
    <w:multiLevelType w:val="multilevel"/>
    <w:tmpl w:val="00056A8B"/>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1">
    <w:nsid w:val="01A843FD"/>
    <w:multiLevelType w:val="multilevel"/>
    <w:tmpl w:val="01A843FD"/>
    <w:lvl w:ilvl="0" w:tentative="0">
      <w:start w:val="1"/>
      <w:numFmt w:val="decimal"/>
      <w:lvlText w:val="%1"/>
      <w:lvlJc w:val="left"/>
      <w:pPr>
        <w:ind w:left="356" w:hanging="245"/>
      </w:pPr>
      <w:rPr>
        <w:sz w:val="24"/>
        <w:szCs w:val="24"/>
        <w:vertAlign w:val="baseline"/>
      </w:rPr>
    </w:lvl>
    <w:lvl w:ilvl="1" w:tentative="0">
      <w:start w:val="1"/>
      <w:numFmt w:val="bullet"/>
      <w:lvlText w:val="●"/>
      <w:lvlJc w:val="left"/>
      <w:pPr>
        <w:ind w:left="1177" w:hanging="245"/>
      </w:pPr>
      <w:rPr>
        <w:rFonts w:ascii="Noto Sans Symbols" w:hAnsi="Noto Sans Symbols" w:eastAsia="Noto Sans Symbols" w:cs="Noto Sans Symbols"/>
        <w:vertAlign w:val="baseline"/>
      </w:rPr>
    </w:lvl>
    <w:lvl w:ilvl="2" w:tentative="0">
      <w:start w:val="1"/>
      <w:numFmt w:val="bullet"/>
      <w:lvlText w:val="●"/>
      <w:lvlJc w:val="left"/>
      <w:pPr>
        <w:ind w:left="1994" w:hanging="245"/>
      </w:pPr>
      <w:rPr>
        <w:rFonts w:ascii="Noto Sans Symbols" w:hAnsi="Noto Sans Symbols" w:eastAsia="Noto Sans Symbols" w:cs="Noto Sans Symbols"/>
        <w:vertAlign w:val="baseline"/>
      </w:rPr>
    </w:lvl>
    <w:lvl w:ilvl="3" w:tentative="0">
      <w:start w:val="1"/>
      <w:numFmt w:val="bullet"/>
      <w:lvlText w:val="●"/>
      <w:lvlJc w:val="left"/>
      <w:pPr>
        <w:ind w:left="2811" w:hanging="245"/>
      </w:pPr>
      <w:rPr>
        <w:rFonts w:ascii="Noto Sans Symbols" w:hAnsi="Noto Sans Symbols" w:eastAsia="Noto Sans Symbols" w:cs="Noto Sans Symbols"/>
        <w:vertAlign w:val="baseline"/>
      </w:rPr>
    </w:lvl>
    <w:lvl w:ilvl="4" w:tentative="0">
      <w:start w:val="1"/>
      <w:numFmt w:val="bullet"/>
      <w:lvlText w:val="●"/>
      <w:lvlJc w:val="left"/>
      <w:pPr>
        <w:ind w:left="3628" w:hanging="245"/>
      </w:pPr>
      <w:rPr>
        <w:rFonts w:ascii="Noto Sans Symbols" w:hAnsi="Noto Sans Symbols" w:eastAsia="Noto Sans Symbols" w:cs="Noto Sans Symbols"/>
        <w:vertAlign w:val="baseline"/>
      </w:rPr>
    </w:lvl>
    <w:lvl w:ilvl="5" w:tentative="0">
      <w:start w:val="1"/>
      <w:numFmt w:val="bullet"/>
      <w:lvlText w:val="●"/>
      <w:lvlJc w:val="left"/>
      <w:pPr>
        <w:ind w:left="4445" w:hanging="245"/>
      </w:pPr>
      <w:rPr>
        <w:rFonts w:ascii="Noto Sans Symbols" w:hAnsi="Noto Sans Symbols" w:eastAsia="Noto Sans Symbols" w:cs="Noto Sans Symbols"/>
        <w:vertAlign w:val="baseline"/>
      </w:rPr>
    </w:lvl>
    <w:lvl w:ilvl="6" w:tentative="0">
      <w:start w:val="1"/>
      <w:numFmt w:val="bullet"/>
      <w:lvlText w:val="●"/>
      <w:lvlJc w:val="left"/>
      <w:pPr>
        <w:ind w:left="5262" w:hanging="245"/>
      </w:pPr>
      <w:rPr>
        <w:rFonts w:ascii="Noto Sans Symbols" w:hAnsi="Noto Sans Symbols" w:eastAsia="Noto Sans Symbols" w:cs="Noto Sans Symbols"/>
        <w:vertAlign w:val="baseline"/>
      </w:rPr>
    </w:lvl>
    <w:lvl w:ilvl="7" w:tentative="0">
      <w:start w:val="1"/>
      <w:numFmt w:val="bullet"/>
      <w:lvlText w:val="●"/>
      <w:lvlJc w:val="left"/>
      <w:pPr>
        <w:ind w:left="6079" w:hanging="245"/>
      </w:pPr>
      <w:rPr>
        <w:rFonts w:ascii="Noto Sans Symbols" w:hAnsi="Noto Sans Symbols" w:eastAsia="Noto Sans Symbols" w:cs="Noto Sans Symbols"/>
        <w:vertAlign w:val="baseline"/>
      </w:rPr>
    </w:lvl>
    <w:lvl w:ilvl="8" w:tentative="0">
      <w:start w:val="1"/>
      <w:numFmt w:val="bullet"/>
      <w:lvlText w:val="●"/>
      <w:lvlJc w:val="left"/>
      <w:pPr>
        <w:ind w:left="6896" w:hanging="245"/>
      </w:pPr>
      <w:rPr>
        <w:rFonts w:ascii="Noto Sans Symbols" w:hAnsi="Noto Sans Symbols" w:eastAsia="Noto Sans Symbols" w:cs="Noto Sans Symbols"/>
        <w:vertAlign w:val="baseline"/>
      </w:rPr>
    </w:lvl>
  </w:abstractNum>
  <w:abstractNum w:abstractNumId="2">
    <w:nsid w:val="02330011"/>
    <w:multiLevelType w:val="multilevel"/>
    <w:tmpl w:val="02330011"/>
    <w:lvl w:ilvl="0" w:tentative="0">
      <w:start w:val="1"/>
      <w:numFmt w:val="decimal"/>
      <w:lvlText w:val="%1"/>
      <w:lvlJc w:val="left"/>
      <w:pPr>
        <w:ind w:left="831" w:hanging="360"/>
      </w:pPr>
      <w:rPr>
        <w:sz w:val="24"/>
        <w:szCs w:val="24"/>
        <w:vertAlign w:val="baseline"/>
      </w:rPr>
    </w:lvl>
    <w:lvl w:ilvl="1" w:tentative="0">
      <w:start w:val="1"/>
      <w:numFmt w:val="bullet"/>
      <w:lvlText w:val="●"/>
      <w:lvlJc w:val="left"/>
      <w:pPr>
        <w:ind w:left="1609" w:hanging="360"/>
      </w:pPr>
      <w:rPr>
        <w:rFonts w:ascii="Noto Sans Symbols" w:hAnsi="Noto Sans Symbols" w:eastAsia="Noto Sans Symbols" w:cs="Noto Sans Symbols"/>
        <w:vertAlign w:val="baseline"/>
      </w:rPr>
    </w:lvl>
    <w:lvl w:ilvl="2" w:tentative="0">
      <w:start w:val="1"/>
      <w:numFmt w:val="bullet"/>
      <w:lvlText w:val="●"/>
      <w:lvlJc w:val="left"/>
      <w:pPr>
        <w:ind w:left="2378" w:hanging="360"/>
      </w:pPr>
      <w:rPr>
        <w:rFonts w:ascii="Noto Sans Symbols" w:hAnsi="Noto Sans Symbols" w:eastAsia="Noto Sans Symbols" w:cs="Noto Sans Symbols"/>
        <w:vertAlign w:val="baseline"/>
      </w:rPr>
    </w:lvl>
    <w:lvl w:ilvl="3" w:tentative="0">
      <w:start w:val="1"/>
      <w:numFmt w:val="bullet"/>
      <w:lvlText w:val="●"/>
      <w:lvlJc w:val="left"/>
      <w:pPr>
        <w:ind w:left="3147" w:hanging="360"/>
      </w:pPr>
      <w:rPr>
        <w:rFonts w:ascii="Noto Sans Symbols" w:hAnsi="Noto Sans Symbols" w:eastAsia="Noto Sans Symbols" w:cs="Noto Sans Symbols"/>
        <w:vertAlign w:val="baseline"/>
      </w:rPr>
    </w:lvl>
    <w:lvl w:ilvl="4" w:tentative="0">
      <w:start w:val="1"/>
      <w:numFmt w:val="bullet"/>
      <w:lvlText w:val="●"/>
      <w:lvlJc w:val="left"/>
      <w:pPr>
        <w:ind w:left="3916" w:hanging="360"/>
      </w:pPr>
      <w:rPr>
        <w:rFonts w:ascii="Noto Sans Symbols" w:hAnsi="Noto Sans Symbols" w:eastAsia="Noto Sans Symbols" w:cs="Noto Sans Symbols"/>
        <w:vertAlign w:val="baseline"/>
      </w:rPr>
    </w:lvl>
    <w:lvl w:ilvl="5" w:tentative="0">
      <w:start w:val="1"/>
      <w:numFmt w:val="bullet"/>
      <w:lvlText w:val="●"/>
      <w:lvlJc w:val="left"/>
      <w:pPr>
        <w:ind w:left="4685" w:hanging="360"/>
      </w:pPr>
      <w:rPr>
        <w:rFonts w:ascii="Noto Sans Symbols" w:hAnsi="Noto Sans Symbols" w:eastAsia="Noto Sans Symbols" w:cs="Noto Sans Symbols"/>
        <w:vertAlign w:val="baseline"/>
      </w:rPr>
    </w:lvl>
    <w:lvl w:ilvl="6" w:tentative="0">
      <w:start w:val="1"/>
      <w:numFmt w:val="bullet"/>
      <w:lvlText w:val="●"/>
      <w:lvlJc w:val="left"/>
      <w:pPr>
        <w:ind w:left="5454" w:hanging="360"/>
      </w:pPr>
      <w:rPr>
        <w:rFonts w:ascii="Noto Sans Symbols" w:hAnsi="Noto Sans Symbols" w:eastAsia="Noto Sans Symbols" w:cs="Noto Sans Symbols"/>
        <w:vertAlign w:val="baseline"/>
      </w:rPr>
    </w:lvl>
    <w:lvl w:ilvl="7" w:tentative="0">
      <w:start w:val="1"/>
      <w:numFmt w:val="bullet"/>
      <w:lvlText w:val="●"/>
      <w:lvlJc w:val="left"/>
      <w:pPr>
        <w:ind w:left="6223" w:hanging="360"/>
      </w:pPr>
      <w:rPr>
        <w:rFonts w:ascii="Noto Sans Symbols" w:hAnsi="Noto Sans Symbols" w:eastAsia="Noto Sans Symbols" w:cs="Noto Sans Symbols"/>
        <w:vertAlign w:val="baseline"/>
      </w:rPr>
    </w:lvl>
    <w:lvl w:ilvl="8" w:tentative="0">
      <w:start w:val="1"/>
      <w:numFmt w:val="bullet"/>
      <w:lvlText w:val="●"/>
      <w:lvlJc w:val="left"/>
      <w:pPr>
        <w:ind w:left="6992" w:hanging="360"/>
      </w:pPr>
      <w:rPr>
        <w:rFonts w:ascii="Noto Sans Symbols" w:hAnsi="Noto Sans Symbols" w:eastAsia="Noto Sans Symbols" w:cs="Noto Sans Symbols"/>
        <w:vertAlign w:val="baseline"/>
      </w:rPr>
    </w:lvl>
  </w:abstractNum>
  <w:abstractNum w:abstractNumId="3">
    <w:nsid w:val="032C6767"/>
    <w:multiLevelType w:val="multilevel"/>
    <w:tmpl w:val="032C6767"/>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4">
    <w:nsid w:val="03DF3769"/>
    <w:multiLevelType w:val="multilevel"/>
    <w:tmpl w:val="03DF3769"/>
    <w:lvl w:ilvl="0" w:tentative="0">
      <w:start w:val="1"/>
      <w:numFmt w:val="bullet"/>
      <w:lvlText w:val="-"/>
      <w:lvlJc w:val="left"/>
      <w:pPr>
        <w:ind w:left="255" w:hanging="144"/>
      </w:pPr>
      <w:rPr>
        <w:rFonts w:ascii="Times New Roman" w:hAnsi="Times New Roman" w:eastAsia="Times New Roman" w:cs="Times New Roman"/>
        <w:vertAlign w:val="baseline"/>
      </w:rPr>
    </w:lvl>
    <w:lvl w:ilvl="1" w:tentative="0">
      <w:start w:val="1"/>
      <w:numFmt w:val="bullet"/>
      <w:lvlText w:val="●"/>
      <w:lvlJc w:val="left"/>
      <w:pPr>
        <w:ind w:left="1542" w:hanging="360"/>
      </w:pPr>
      <w:rPr>
        <w:rFonts w:ascii="Noto Sans Symbols" w:hAnsi="Noto Sans Symbols" w:eastAsia="Noto Sans Symbols" w:cs="Noto Sans Symbols"/>
        <w:vertAlign w:val="baseline"/>
      </w:rPr>
    </w:lvl>
    <w:lvl w:ilvl="2" w:tentative="0">
      <w:start w:val="1"/>
      <w:numFmt w:val="bullet"/>
      <w:lvlText w:val="●"/>
      <w:lvlJc w:val="left"/>
      <w:pPr>
        <w:ind w:left="2309" w:hanging="360"/>
      </w:pPr>
      <w:rPr>
        <w:rFonts w:ascii="Noto Sans Symbols" w:hAnsi="Noto Sans Symbols" w:eastAsia="Noto Sans Symbols" w:cs="Noto Sans Symbols"/>
        <w:vertAlign w:val="baseline"/>
      </w:rPr>
    </w:lvl>
    <w:lvl w:ilvl="3" w:tentative="0">
      <w:start w:val="1"/>
      <w:numFmt w:val="bullet"/>
      <w:lvlText w:val="●"/>
      <w:lvlJc w:val="left"/>
      <w:pPr>
        <w:ind w:left="3078" w:hanging="360"/>
      </w:pPr>
      <w:rPr>
        <w:rFonts w:ascii="Noto Sans Symbols" w:hAnsi="Noto Sans Symbols" w:eastAsia="Noto Sans Symbols" w:cs="Noto Sans Symbols"/>
        <w:vertAlign w:val="baseline"/>
      </w:rPr>
    </w:lvl>
    <w:lvl w:ilvl="4" w:tentative="0">
      <w:start w:val="1"/>
      <w:numFmt w:val="bullet"/>
      <w:lvlText w:val="●"/>
      <w:lvlJc w:val="left"/>
      <w:pPr>
        <w:ind w:left="3848" w:hanging="360"/>
      </w:pPr>
      <w:rPr>
        <w:rFonts w:ascii="Noto Sans Symbols" w:hAnsi="Noto Sans Symbols" w:eastAsia="Noto Sans Symbols" w:cs="Noto Sans Symbols"/>
        <w:vertAlign w:val="baseline"/>
      </w:rPr>
    </w:lvl>
    <w:lvl w:ilvl="5" w:tentative="0">
      <w:start w:val="1"/>
      <w:numFmt w:val="bullet"/>
      <w:lvlText w:val="●"/>
      <w:lvlJc w:val="left"/>
      <w:pPr>
        <w:ind w:left="4617" w:hanging="360"/>
      </w:pPr>
      <w:rPr>
        <w:rFonts w:ascii="Noto Sans Symbols" w:hAnsi="Noto Sans Symbols" w:eastAsia="Noto Sans Symbols" w:cs="Noto Sans Symbols"/>
        <w:vertAlign w:val="baseline"/>
      </w:rPr>
    </w:lvl>
    <w:lvl w:ilvl="6" w:tentative="0">
      <w:start w:val="1"/>
      <w:numFmt w:val="bullet"/>
      <w:lvlText w:val="●"/>
      <w:lvlJc w:val="left"/>
      <w:pPr>
        <w:ind w:left="5386" w:hanging="360"/>
      </w:pPr>
      <w:rPr>
        <w:rFonts w:ascii="Noto Sans Symbols" w:hAnsi="Noto Sans Symbols" w:eastAsia="Noto Sans Symbols" w:cs="Noto Sans Symbols"/>
        <w:vertAlign w:val="baseline"/>
      </w:rPr>
    </w:lvl>
    <w:lvl w:ilvl="7" w:tentative="0">
      <w:start w:val="1"/>
      <w:numFmt w:val="bullet"/>
      <w:lvlText w:val="●"/>
      <w:lvlJc w:val="left"/>
      <w:pPr>
        <w:ind w:left="6156" w:hanging="360"/>
      </w:pPr>
      <w:rPr>
        <w:rFonts w:ascii="Noto Sans Symbols" w:hAnsi="Noto Sans Symbols" w:eastAsia="Noto Sans Symbols" w:cs="Noto Sans Symbols"/>
        <w:vertAlign w:val="baseline"/>
      </w:rPr>
    </w:lvl>
    <w:lvl w:ilvl="8" w:tentative="0">
      <w:start w:val="1"/>
      <w:numFmt w:val="bullet"/>
      <w:lvlText w:val="●"/>
      <w:lvlJc w:val="left"/>
      <w:pPr>
        <w:ind w:left="6925" w:hanging="360"/>
      </w:pPr>
      <w:rPr>
        <w:rFonts w:ascii="Noto Sans Symbols" w:hAnsi="Noto Sans Symbols" w:eastAsia="Noto Sans Symbols" w:cs="Noto Sans Symbols"/>
        <w:vertAlign w:val="baseline"/>
      </w:rPr>
    </w:lvl>
  </w:abstractNum>
  <w:abstractNum w:abstractNumId="5">
    <w:nsid w:val="0450333C"/>
    <w:multiLevelType w:val="multilevel"/>
    <w:tmpl w:val="0450333C"/>
    <w:lvl w:ilvl="0" w:tentative="0">
      <w:start w:val="1"/>
      <w:numFmt w:val="upperRoman"/>
      <w:lvlText w:val="%1"/>
      <w:lvlJc w:val="left"/>
      <w:pPr>
        <w:ind w:left="1192" w:hanging="720"/>
      </w:pPr>
      <w:rPr>
        <w:sz w:val="24"/>
        <w:szCs w:val="24"/>
        <w:vertAlign w:val="baseline"/>
      </w:rPr>
    </w:lvl>
    <w:lvl w:ilvl="1" w:tentative="0">
      <w:start w:val="1"/>
      <w:numFmt w:val="bullet"/>
      <w:lvlText w:val="●"/>
      <w:lvlJc w:val="left"/>
      <w:pPr>
        <w:ind w:left="1926" w:hanging="721"/>
      </w:pPr>
      <w:rPr>
        <w:rFonts w:ascii="Noto Sans Symbols" w:hAnsi="Noto Sans Symbols" w:eastAsia="Noto Sans Symbols" w:cs="Noto Sans Symbols"/>
        <w:vertAlign w:val="baseline"/>
      </w:rPr>
    </w:lvl>
    <w:lvl w:ilvl="2" w:tentative="0">
      <w:start w:val="1"/>
      <w:numFmt w:val="bullet"/>
      <w:lvlText w:val="●"/>
      <w:lvlJc w:val="left"/>
      <w:pPr>
        <w:ind w:left="2652" w:hanging="721"/>
      </w:pPr>
      <w:rPr>
        <w:rFonts w:ascii="Noto Sans Symbols" w:hAnsi="Noto Sans Symbols" w:eastAsia="Noto Sans Symbols" w:cs="Noto Sans Symbols"/>
        <w:vertAlign w:val="baseline"/>
      </w:rPr>
    </w:lvl>
    <w:lvl w:ilvl="3" w:tentative="0">
      <w:start w:val="1"/>
      <w:numFmt w:val="bullet"/>
      <w:lvlText w:val="●"/>
      <w:lvlJc w:val="left"/>
      <w:pPr>
        <w:ind w:left="3379" w:hanging="721"/>
      </w:pPr>
      <w:rPr>
        <w:rFonts w:ascii="Noto Sans Symbols" w:hAnsi="Noto Sans Symbols" w:eastAsia="Noto Sans Symbols" w:cs="Noto Sans Symbols"/>
        <w:vertAlign w:val="baseline"/>
      </w:rPr>
    </w:lvl>
    <w:lvl w:ilvl="4" w:tentative="0">
      <w:start w:val="1"/>
      <w:numFmt w:val="bullet"/>
      <w:lvlText w:val="●"/>
      <w:lvlJc w:val="left"/>
      <w:pPr>
        <w:ind w:left="4105" w:hanging="721"/>
      </w:pPr>
      <w:rPr>
        <w:rFonts w:ascii="Noto Sans Symbols" w:hAnsi="Noto Sans Symbols" w:eastAsia="Noto Sans Symbols" w:cs="Noto Sans Symbols"/>
        <w:vertAlign w:val="baseline"/>
      </w:rPr>
    </w:lvl>
    <w:lvl w:ilvl="5" w:tentative="0">
      <w:start w:val="1"/>
      <w:numFmt w:val="bullet"/>
      <w:lvlText w:val="●"/>
      <w:lvlJc w:val="left"/>
      <w:pPr>
        <w:ind w:left="4832" w:hanging="721"/>
      </w:pPr>
      <w:rPr>
        <w:rFonts w:ascii="Noto Sans Symbols" w:hAnsi="Noto Sans Symbols" w:eastAsia="Noto Sans Symbols" w:cs="Noto Sans Symbols"/>
        <w:vertAlign w:val="baseline"/>
      </w:rPr>
    </w:lvl>
    <w:lvl w:ilvl="6" w:tentative="0">
      <w:start w:val="1"/>
      <w:numFmt w:val="bullet"/>
      <w:lvlText w:val="●"/>
      <w:lvlJc w:val="left"/>
      <w:pPr>
        <w:ind w:left="5558" w:hanging="721"/>
      </w:pPr>
      <w:rPr>
        <w:rFonts w:ascii="Noto Sans Symbols" w:hAnsi="Noto Sans Symbols" w:eastAsia="Noto Sans Symbols" w:cs="Noto Sans Symbols"/>
        <w:vertAlign w:val="baseline"/>
      </w:rPr>
    </w:lvl>
    <w:lvl w:ilvl="7" w:tentative="0">
      <w:start w:val="1"/>
      <w:numFmt w:val="bullet"/>
      <w:lvlText w:val="●"/>
      <w:lvlJc w:val="left"/>
      <w:pPr>
        <w:ind w:left="6284" w:hanging="721"/>
      </w:pPr>
      <w:rPr>
        <w:rFonts w:ascii="Noto Sans Symbols" w:hAnsi="Noto Sans Symbols" w:eastAsia="Noto Sans Symbols" w:cs="Noto Sans Symbols"/>
        <w:vertAlign w:val="baseline"/>
      </w:rPr>
    </w:lvl>
    <w:lvl w:ilvl="8" w:tentative="0">
      <w:start w:val="1"/>
      <w:numFmt w:val="bullet"/>
      <w:lvlText w:val="●"/>
      <w:lvlJc w:val="left"/>
      <w:pPr>
        <w:ind w:left="7011" w:hanging="721"/>
      </w:pPr>
      <w:rPr>
        <w:rFonts w:ascii="Noto Sans Symbols" w:hAnsi="Noto Sans Symbols" w:eastAsia="Noto Sans Symbols" w:cs="Noto Sans Symbols"/>
        <w:vertAlign w:val="baseline"/>
      </w:rPr>
    </w:lvl>
  </w:abstractNum>
  <w:abstractNum w:abstractNumId="6">
    <w:nsid w:val="050E1A8D"/>
    <w:multiLevelType w:val="multilevel"/>
    <w:tmpl w:val="050E1A8D"/>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7">
    <w:nsid w:val="068B319A"/>
    <w:multiLevelType w:val="multilevel"/>
    <w:tmpl w:val="068B319A"/>
    <w:lvl w:ilvl="0" w:tentative="0">
      <w:start w:val="1"/>
      <w:numFmt w:val="bullet"/>
      <w:lvlText w:val="●"/>
      <w:lvlJc w:val="left"/>
      <w:pPr>
        <w:ind w:left="111" w:hanging="361"/>
      </w:pPr>
      <w:rPr>
        <w:rFonts w:ascii="Noto Sans Symbols" w:hAnsi="Noto Sans Symbols" w:eastAsia="Noto Sans Symbols" w:cs="Noto Sans Symbols"/>
        <w:vertAlign w:val="baseline"/>
      </w:rPr>
    </w:lvl>
    <w:lvl w:ilvl="1" w:tentative="0">
      <w:start w:val="1"/>
      <w:numFmt w:val="bullet"/>
      <w:lvlText w:val="●"/>
      <w:lvlJc w:val="left"/>
      <w:pPr>
        <w:ind w:left="954" w:hanging="361"/>
      </w:pPr>
      <w:rPr>
        <w:rFonts w:ascii="Noto Sans Symbols" w:hAnsi="Noto Sans Symbols" w:eastAsia="Noto Sans Symbols" w:cs="Noto Sans Symbols"/>
        <w:vertAlign w:val="baseline"/>
      </w:rPr>
    </w:lvl>
    <w:lvl w:ilvl="2" w:tentative="0">
      <w:start w:val="1"/>
      <w:numFmt w:val="bullet"/>
      <w:lvlText w:val="●"/>
      <w:lvlJc w:val="left"/>
      <w:pPr>
        <w:ind w:left="1788" w:hanging="360"/>
      </w:pPr>
      <w:rPr>
        <w:rFonts w:ascii="Noto Sans Symbols" w:hAnsi="Noto Sans Symbols" w:eastAsia="Noto Sans Symbols" w:cs="Noto Sans Symbols"/>
        <w:vertAlign w:val="baseline"/>
      </w:rPr>
    </w:lvl>
    <w:lvl w:ilvl="3" w:tentative="0">
      <w:start w:val="1"/>
      <w:numFmt w:val="bullet"/>
      <w:lvlText w:val="●"/>
      <w:lvlJc w:val="left"/>
      <w:pPr>
        <w:ind w:left="2623" w:hanging="361"/>
      </w:pPr>
      <w:rPr>
        <w:rFonts w:ascii="Noto Sans Symbols" w:hAnsi="Noto Sans Symbols" w:eastAsia="Noto Sans Symbols" w:cs="Noto Sans Symbols"/>
        <w:vertAlign w:val="baseline"/>
      </w:rPr>
    </w:lvl>
    <w:lvl w:ilvl="4" w:tentative="0">
      <w:start w:val="1"/>
      <w:numFmt w:val="bullet"/>
      <w:lvlText w:val="●"/>
      <w:lvlJc w:val="left"/>
      <w:pPr>
        <w:ind w:left="3457" w:hanging="361"/>
      </w:pPr>
      <w:rPr>
        <w:rFonts w:ascii="Noto Sans Symbols" w:hAnsi="Noto Sans Symbols" w:eastAsia="Noto Sans Symbols" w:cs="Noto Sans Symbols"/>
        <w:vertAlign w:val="baseline"/>
      </w:rPr>
    </w:lvl>
    <w:lvl w:ilvl="5" w:tentative="0">
      <w:start w:val="1"/>
      <w:numFmt w:val="bullet"/>
      <w:lvlText w:val="●"/>
      <w:lvlJc w:val="left"/>
      <w:pPr>
        <w:ind w:left="4292" w:hanging="361"/>
      </w:pPr>
      <w:rPr>
        <w:rFonts w:ascii="Noto Sans Symbols" w:hAnsi="Noto Sans Symbols" w:eastAsia="Noto Sans Symbols" w:cs="Noto Sans Symbols"/>
        <w:vertAlign w:val="baseline"/>
      </w:rPr>
    </w:lvl>
    <w:lvl w:ilvl="6" w:tentative="0">
      <w:start w:val="1"/>
      <w:numFmt w:val="bullet"/>
      <w:lvlText w:val="●"/>
      <w:lvlJc w:val="left"/>
      <w:pPr>
        <w:ind w:left="5126" w:hanging="361"/>
      </w:pPr>
      <w:rPr>
        <w:rFonts w:ascii="Noto Sans Symbols" w:hAnsi="Noto Sans Symbols" w:eastAsia="Noto Sans Symbols" w:cs="Noto Sans Symbols"/>
        <w:vertAlign w:val="baseline"/>
      </w:rPr>
    </w:lvl>
    <w:lvl w:ilvl="7" w:tentative="0">
      <w:start w:val="1"/>
      <w:numFmt w:val="bullet"/>
      <w:lvlText w:val="●"/>
      <w:lvlJc w:val="left"/>
      <w:pPr>
        <w:ind w:left="5960" w:hanging="361"/>
      </w:pPr>
      <w:rPr>
        <w:rFonts w:ascii="Noto Sans Symbols" w:hAnsi="Noto Sans Symbols" w:eastAsia="Noto Sans Symbols" w:cs="Noto Sans Symbols"/>
        <w:vertAlign w:val="baseline"/>
      </w:rPr>
    </w:lvl>
    <w:lvl w:ilvl="8" w:tentative="0">
      <w:start w:val="1"/>
      <w:numFmt w:val="bullet"/>
      <w:lvlText w:val="●"/>
      <w:lvlJc w:val="left"/>
      <w:pPr>
        <w:ind w:left="6795" w:hanging="361"/>
      </w:pPr>
      <w:rPr>
        <w:rFonts w:ascii="Noto Sans Symbols" w:hAnsi="Noto Sans Symbols" w:eastAsia="Noto Sans Symbols" w:cs="Noto Sans Symbols"/>
        <w:vertAlign w:val="baseline"/>
      </w:rPr>
    </w:lvl>
  </w:abstractNum>
  <w:abstractNum w:abstractNumId="8">
    <w:nsid w:val="08456014"/>
    <w:multiLevelType w:val="multilevel"/>
    <w:tmpl w:val="08456014"/>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9">
    <w:nsid w:val="08775F1E"/>
    <w:multiLevelType w:val="multilevel"/>
    <w:tmpl w:val="08775F1E"/>
    <w:lvl w:ilvl="0" w:tentative="0">
      <w:start w:val="1"/>
      <w:numFmt w:val="bullet"/>
      <w:lvlText w:val="●"/>
      <w:lvlJc w:val="left"/>
      <w:pPr>
        <w:ind w:left="111" w:hanging="360"/>
      </w:pPr>
      <w:rPr>
        <w:rFonts w:ascii="Noto Sans Symbols" w:hAnsi="Noto Sans Symbols" w:eastAsia="Noto Sans Symbols" w:cs="Noto Sans Symbols"/>
        <w:vertAlign w:val="baseline"/>
      </w:rPr>
    </w:lvl>
    <w:lvl w:ilvl="1" w:tentative="0">
      <w:start w:val="1"/>
      <w:numFmt w:val="bullet"/>
      <w:lvlText w:val="●"/>
      <w:lvlJc w:val="left"/>
      <w:pPr>
        <w:ind w:left="968" w:hanging="360"/>
      </w:pPr>
      <w:rPr>
        <w:rFonts w:ascii="Noto Sans Symbols" w:hAnsi="Noto Sans Symbols" w:eastAsia="Noto Sans Symbols" w:cs="Noto Sans Symbols"/>
        <w:vertAlign w:val="baseline"/>
      </w:rPr>
    </w:lvl>
    <w:lvl w:ilvl="2" w:tentative="0">
      <w:start w:val="1"/>
      <w:numFmt w:val="bullet"/>
      <w:lvlText w:val="●"/>
      <w:lvlJc w:val="left"/>
      <w:pPr>
        <w:ind w:left="1817" w:hanging="360"/>
      </w:pPr>
      <w:rPr>
        <w:rFonts w:ascii="Noto Sans Symbols" w:hAnsi="Noto Sans Symbols" w:eastAsia="Noto Sans Symbols" w:cs="Noto Sans Symbols"/>
        <w:vertAlign w:val="baseline"/>
      </w:rPr>
    </w:lvl>
    <w:lvl w:ilvl="3" w:tentative="0">
      <w:start w:val="1"/>
      <w:numFmt w:val="bullet"/>
      <w:lvlText w:val="●"/>
      <w:lvlJc w:val="left"/>
      <w:pPr>
        <w:ind w:left="2666" w:hanging="360"/>
      </w:pPr>
      <w:rPr>
        <w:rFonts w:ascii="Noto Sans Symbols" w:hAnsi="Noto Sans Symbols" w:eastAsia="Noto Sans Symbols" w:cs="Noto Sans Symbols"/>
        <w:vertAlign w:val="baseline"/>
      </w:rPr>
    </w:lvl>
    <w:lvl w:ilvl="4" w:tentative="0">
      <w:start w:val="1"/>
      <w:numFmt w:val="bullet"/>
      <w:lvlText w:val="●"/>
      <w:lvlJc w:val="left"/>
      <w:pPr>
        <w:ind w:left="3515" w:hanging="360"/>
      </w:pPr>
      <w:rPr>
        <w:rFonts w:ascii="Noto Sans Symbols" w:hAnsi="Noto Sans Symbols" w:eastAsia="Noto Sans Symbols" w:cs="Noto Sans Symbols"/>
        <w:vertAlign w:val="baseline"/>
      </w:rPr>
    </w:lvl>
    <w:lvl w:ilvl="5" w:tentative="0">
      <w:start w:val="1"/>
      <w:numFmt w:val="bullet"/>
      <w:lvlText w:val="●"/>
      <w:lvlJc w:val="left"/>
      <w:pPr>
        <w:ind w:left="4364" w:hanging="360"/>
      </w:pPr>
      <w:rPr>
        <w:rFonts w:ascii="Noto Sans Symbols" w:hAnsi="Noto Sans Symbols" w:eastAsia="Noto Sans Symbols" w:cs="Noto Sans Symbols"/>
        <w:vertAlign w:val="baseline"/>
      </w:rPr>
    </w:lvl>
    <w:lvl w:ilvl="6" w:tentative="0">
      <w:start w:val="1"/>
      <w:numFmt w:val="bullet"/>
      <w:lvlText w:val="●"/>
      <w:lvlJc w:val="left"/>
      <w:pPr>
        <w:ind w:left="5213" w:hanging="360"/>
      </w:pPr>
      <w:rPr>
        <w:rFonts w:ascii="Noto Sans Symbols" w:hAnsi="Noto Sans Symbols" w:eastAsia="Noto Sans Symbols" w:cs="Noto Sans Symbols"/>
        <w:vertAlign w:val="baseline"/>
      </w:rPr>
    </w:lvl>
    <w:lvl w:ilvl="7" w:tentative="0">
      <w:start w:val="1"/>
      <w:numFmt w:val="bullet"/>
      <w:lvlText w:val="●"/>
      <w:lvlJc w:val="left"/>
      <w:pPr>
        <w:ind w:left="6062" w:hanging="360"/>
      </w:pPr>
      <w:rPr>
        <w:rFonts w:ascii="Noto Sans Symbols" w:hAnsi="Noto Sans Symbols" w:eastAsia="Noto Sans Symbols" w:cs="Noto Sans Symbols"/>
        <w:vertAlign w:val="baseline"/>
      </w:rPr>
    </w:lvl>
    <w:lvl w:ilvl="8" w:tentative="0">
      <w:start w:val="1"/>
      <w:numFmt w:val="bullet"/>
      <w:lvlText w:val="●"/>
      <w:lvlJc w:val="left"/>
      <w:pPr>
        <w:ind w:left="6911" w:hanging="360"/>
      </w:pPr>
      <w:rPr>
        <w:rFonts w:ascii="Noto Sans Symbols" w:hAnsi="Noto Sans Symbols" w:eastAsia="Noto Sans Symbols" w:cs="Noto Sans Symbols"/>
        <w:vertAlign w:val="baseline"/>
      </w:rPr>
    </w:lvl>
  </w:abstractNum>
  <w:abstractNum w:abstractNumId="10">
    <w:nsid w:val="0990135E"/>
    <w:multiLevelType w:val="multilevel"/>
    <w:tmpl w:val="0990135E"/>
    <w:lvl w:ilvl="0" w:tentative="0">
      <w:start w:val="1"/>
      <w:numFmt w:val="decimal"/>
      <w:lvlText w:val="%1"/>
      <w:lvlJc w:val="left"/>
      <w:pPr>
        <w:ind w:left="1192" w:hanging="422"/>
      </w:pPr>
      <w:rPr>
        <w:vertAlign w:val="baseline"/>
      </w:rPr>
    </w:lvl>
    <w:lvl w:ilvl="1" w:tentative="0">
      <w:start w:val="3"/>
      <w:numFmt w:val="decimal"/>
      <w:lvlText w:val="%1.%2"/>
      <w:lvlJc w:val="left"/>
      <w:pPr>
        <w:ind w:left="1192" w:hanging="422"/>
      </w:pPr>
      <w:rPr>
        <w:sz w:val="24"/>
        <w:szCs w:val="24"/>
        <w:vertAlign w:val="baseline"/>
      </w:rPr>
    </w:lvl>
    <w:lvl w:ilvl="2" w:tentative="0">
      <w:start w:val="1"/>
      <w:numFmt w:val="bullet"/>
      <w:lvlText w:val="●"/>
      <w:lvlJc w:val="left"/>
      <w:pPr>
        <w:ind w:left="2695" w:hanging="422"/>
      </w:pPr>
      <w:rPr>
        <w:rFonts w:ascii="Noto Sans Symbols" w:hAnsi="Noto Sans Symbols" w:eastAsia="Noto Sans Symbols" w:cs="Noto Sans Symbols"/>
        <w:vertAlign w:val="baseline"/>
      </w:rPr>
    </w:lvl>
    <w:lvl w:ilvl="3" w:tentative="0">
      <w:start w:val="1"/>
      <w:numFmt w:val="bullet"/>
      <w:lvlText w:val="●"/>
      <w:lvlJc w:val="left"/>
      <w:pPr>
        <w:ind w:left="3442" w:hanging="422"/>
      </w:pPr>
      <w:rPr>
        <w:rFonts w:ascii="Noto Sans Symbols" w:hAnsi="Noto Sans Symbols" w:eastAsia="Noto Sans Symbols" w:cs="Noto Sans Symbols"/>
        <w:vertAlign w:val="baseline"/>
      </w:rPr>
    </w:lvl>
    <w:lvl w:ilvl="4" w:tentative="0">
      <w:start w:val="1"/>
      <w:numFmt w:val="bullet"/>
      <w:lvlText w:val="●"/>
      <w:lvlJc w:val="left"/>
      <w:pPr>
        <w:ind w:left="4190" w:hanging="422"/>
      </w:pPr>
      <w:rPr>
        <w:rFonts w:ascii="Noto Sans Symbols" w:hAnsi="Noto Sans Symbols" w:eastAsia="Noto Sans Symbols" w:cs="Noto Sans Symbols"/>
        <w:vertAlign w:val="baseline"/>
      </w:rPr>
    </w:lvl>
    <w:lvl w:ilvl="5" w:tentative="0">
      <w:start w:val="1"/>
      <w:numFmt w:val="bullet"/>
      <w:lvlText w:val="●"/>
      <w:lvlJc w:val="left"/>
      <w:pPr>
        <w:ind w:left="4937" w:hanging="422"/>
      </w:pPr>
      <w:rPr>
        <w:rFonts w:ascii="Noto Sans Symbols" w:hAnsi="Noto Sans Symbols" w:eastAsia="Noto Sans Symbols" w:cs="Noto Sans Symbols"/>
        <w:vertAlign w:val="baseline"/>
      </w:rPr>
    </w:lvl>
    <w:lvl w:ilvl="6" w:tentative="0">
      <w:start w:val="1"/>
      <w:numFmt w:val="bullet"/>
      <w:lvlText w:val="●"/>
      <w:lvlJc w:val="left"/>
      <w:pPr>
        <w:ind w:left="5685" w:hanging="422"/>
      </w:pPr>
      <w:rPr>
        <w:rFonts w:ascii="Noto Sans Symbols" w:hAnsi="Noto Sans Symbols" w:eastAsia="Noto Sans Symbols" w:cs="Noto Sans Symbols"/>
        <w:vertAlign w:val="baseline"/>
      </w:rPr>
    </w:lvl>
    <w:lvl w:ilvl="7" w:tentative="0">
      <w:start w:val="1"/>
      <w:numFmt w:val="bullet"/>
      <w:lvlText w:val="●"/>
      <w:lvlJc w:val="left"/>
      <w:pPr>
        <w:ind w:left="6432" w:hanging="422"/>
      </w:pPr>
      <w:rPr>
        <w:rFonts w:ascii="Noto Sans Symbols" w:hAnsi="Noto Sans Symbols" w:eastAsia="Noto Sans Symbols" w:cs="Noto Sans Symbols"/>
        <w:vertAlign w:val="baseline"/>
      </w:rPr>
    </w:lvl>
    <w:lvl w:ilvl="8" w:tentative="0">
      <w:start w:val="1"/>
      <w:numFmt w:val="bullet"/>
      <w:lvlText w:val="●"/>
      <w:lvlJc w:val="left"/>
      <w:pPr>
        <w:ind w:left="7180" w:hanging="422"/>
      </w:pPr>
      <w:rPr>
        <w:rFonts w:ascii="Noto Sans Symbols" w:hAnsi="Noto Sans Symbols" w:eastAsia="Noto Sans Symbols" w:cs="Noto Sans Symbols"/>
        <w:vertAlign w:val="baseline"/>
      </w:rPr>
    </w:lvl>
  </w:abstractNum>
  <w:abstractNum w:abstractNumId="11">
    <w:nsid w:val="0A004DDE"/>
    <w:multiLevelType w:val="multilevel"/>
    <w:tmpl w:val="0A004DDE"/>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12">
    <w:nsid w:val="0A0B6FB9"/>
    <w:multiLevelType w:val="multilevel"/>
    <w:tmpl w:val="0A0B6FB9"/>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13">
    <w:nsid w:val="0AA33518"/>
    <w:multiLevelType w:val="multilevel"/>
    <w:tmpl w:val="0AA33518"/>
    <w:lvl w:ilvl="0" w:tentative="0">
      <w:start w:val="1"/>
      <w:numFmt w:val="bullet"/>
      <w:lvlText w:val="-"/>
      <w:lvlJc w:val="left"/>
      <w:pPr>
        <w:ind w:left="375" w:hanging="140"/>
      </w:pPr>
      <w:rPr>
        <w:rFonts w:ascii="Times New Roman" w:hAnsi="Times New Roman" w:eastAsia="Times New Roman" w:cs="Times New Roman"/>
        <w:vertAlign w:val="baseline"/>
      </w:rPr>
    </w:lvl>
    <w:lvl w:ilvl="1" w:tentative="0">
      <w:start w:val="1"/>
      <w:numFmt w:val="bullet"/>
      <w:lvlText w:val="●"/>
      <w:lvlJc w:val="left"/>
      <w:pPr>
        <w:ind w:left="1202" w:hanging="140"/>
      </w:pPr>
      <w:rPr>
        <w:rFonts w:ascii="Noto Sans Symbols" w:hAnsi="Noto Sans Symbols" w:eastAsia="Noto Sans Symbols" w:cs="Noto Sans Symbols"/>
        <w:vertAlign w:val="baseline"/>
      </w:rPr>
    </w:lvl>
    <w:lvl w:ilvl="2" w:tentative="0">
      <w:start w:val="1"/>
      <w:numFmt w:val="bullet"/>
      <w:lvlText w:val="●"/>
      <w:lvlJc w:val="left"/>
      <w:pPr>
        <w:ind w:left="2025" w:hanging="140"/>
      </w:pPr>
      <w:rPr>
        <w:rFonts w:ascii="Noto Sans Symbols" w:hAnsi="Noto Sans Symbols" w:eastAsia="Noto Sans Symbols" w:cs="Noto Sans Symbols"/>
        <w:vertAlign w:val="baseline"/>
      </w:rPr>
    </w:lvl>
    <w:lvl w:ilvl="3" w:tentative="0">
      <w:start w:val="1"/>
      <w:numFmt w:val="bullet"/>
      <w:lvlText w:val="●"/>
      <w:lvlJc w:val="left"/>
      <w:pPr>
        <w:ind w:left="2848" w:hanging="140"/>
      </w:pPr>
      <w:rPr>
        <w:rFonts w:ascii="Noto Sans Symbols" w:hAnsi="Noto Sans Symbols" w:eastAsia="Noto Sans Symbols" w:cs="Noto Sans Symbols"/>
        <w:vertAlign w:val="baseline"/>
      </w:rPr>
    </w:lvl>
    <w:lvl w:ilvl="4" w:tentative="0">
      <w:start w:val="1"/>
      <w:numFmt w:val="bullet"/>
      <w:lvlText w:val="●"/>
      <w:lvlJc w:val="left"/>
      <w:pPr>
        <w:ind w:left="3671" w:hanging="140"/>
      </w:pPr>
      <w:rPr>
        <w:rFonts w:ascii="Noto Sans Symbols" w:hAnsi="Noto Sans Symbols" w:eastAsia="Noto Sans Symbols" w:cs="Noto Sans Symbols"/>
        <w:vertAlign w:val="baseline"/>
      </w:rPr>
    </w:lvl>
    <w:lvl w:ilvl="5" w:tentative="0">
      <w:start w:val="1"/>
      <w:numFmt w:val="bullet"/>
      <w:lvlText w:val="●"/>
      <w:lvlJc w:val="left"/>
      <w:pPr>
        <w:ind w:left="4494" w:hanging="140"/>
      </w:pPr>
      <w:rPr>
        <w:rFonts w:ascii="Noto Sans Symbols" w:hAnsi="Noto Sans Symbols" w:eastAsia="Noto Sans Symbols" w:cs="Noto Sans Symbols"/>
        <w:vertAlign w:val="baseline"/>
      </w:rPr>
    </w:lvl>
    <w:lvl w:ilvl="6" w:tentative="0">
      <w:start w:val="1"/>
      <w:numFmt w:val="bullet"/>
      <w:lvlText w:val="●"/>
      <w:lvlJc w:val="left"/>
      <w:pPr>
        <w:ind w:left="5316" w:hanging="140"/>
      </w:pPr>
      <w:rPr>
        <w:rFonts w:ascii="Noto Sans Symbols" w:hAnsi="Noto Sans Symbols" w:eastAsia="Noto Sans Symbols" w:cs="Noto Sans Symbols"/>
        <w:vertAlign w:val="baseline"/>
      </w:rPr>
    </w:lvl>
    <w:lvl w:ilvl="7" w:tentative="0">
      <w:start w:val="1"/>
      <w:numFmt w:val="bullet"/>
      <w:lvlText w:val="●"/>
      <w:lvlJc w:val="left"/>
      <w:pPr>
        <w:ind w:left="6139" w:hanging="140"/>
      </w:pPr>
      <w:rPr>
        <w:rFonts w:ascii="Noto Sans Symbols" w:hAnsi="Noto Sans Symbols" w:eastAsia="Noto Sans Symbols" w:cs="Noto Sans Symbols"/>
        <w:vertAlign w:val="baseline"/>
      </w:rPr>
    </w:lvl>
    <w:lvl w:ilvl="8" w:tentative="0">
      <w:start w:val="1"/>
      <w:numFmt w:val="bullet"/>
      <w:lvlText w:val="●"/>
      <w:lvlJc w:val="left"/>
      <w:pPr>
        <w:ind w:left="6962" w:hanging="140"/>
      </w:pPr>
      <w:rPr>
        <w:rFonts w:ascii="Noto Sans Symbols" w:hAnsi="Noto Sans Symbols" w:eastAsia="Noto Sans Symbols" w:cs="Noto Sans Symbols"/>
        <w:vertAlign w:val="baseline"/>
      </w:rPr>
    </w:lvl>
  </w:abstractNum>
  <w:abstractNum w:abstractNumId="14">
    <w:nsid w:val="0B003658"/>
    <w:multiLevelType w:val="multilevel"/>
    <w:tmpl w:val="0B003658"/>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15">
    <w:nsid w:val="0B2826EE"/>
    <w:multiLevelType w:val="multilevel"/>
    <w:tmpl w:val="0B2826EE"/>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16">
    <w:nsid w:val="0D0534A5"/>
    <w:multiLevelType w:val="multilevel"/>
    <w:tmpl w:val="0D0534A5"/>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17">
    <w:nsid w:val="0D6D3FA3"/>
    <w:multiLevelType w:val="multilevel"/>
    <w:tmpl w:val="0D6D3FA3"/>
    <w:lvl w:ilvl="0" w:tentative="0">
      <w:start w:val="1"/>
      <w:numFmt w:val="decimal"/>
      <w:lvlText w:val="%1"/>
      <w:lvlJc w:val="left"/>
      <w:pPr>
        <w:ind w:left="1192" w:hanging="361"/>
      </w:pPr>
      <w:rPr>
        <w:sz w:val="24"/>
        <w:szCs w:val="24"/>
        <w:vertAlign w:val="baseline"/>
      </w:rPr>
    </w:lvl>
    <w:lvl w:ilvl="1" w:tentative="0">
      <w:start w:val="1"/>
      <w:numFmt w:val="decimal"/>
      <w:lvlText w:val="%1.%2"/>
      <w:lvlJc w:val="left"/>
      <w:pPr>
        <w:ind w:left="1614" w:hanging="422"/>
      </w:pPr>
      <w:rPr>
        <w:sz w:val="24"/>
        <w:szCs w:val="24"/>
        <w:vertAlign w:val="baseline"/>
      </w:rPr>
    </w:lvl>
    <w:lvl w:ilvl="2" w:tentative="0">
      <w:start w:val="1"/>
      <w:numFmt w:val="bullet"/>
      <w:lvlText w:val="●"/>
      <w:lvlJc w:val="left"/>
      <w:pPr>
        <w:ind w:left="2403" w:hanging="421"/>
      </w:pPr>
      <w:rPr>
        <w:rFonts w:ascii="Noto Sans Symbols" w:hAnsi="Noto Sans Symbols" w:eastAsia="Noto Sans Symbols" w:cs="Noto Sans Symbols"/>
        <w:vertAlign w:val="baseline"/>
      </w:rPr>
    </w:lvl>
    <w:lvl w:ilvl="3" w:tentative="0">
      <w:start w:val="1"/>
      <w:numFmt w:val="bullet"/>
      <w:lvlText w:val="●"/>
      <w:lvlJc w:val="left"/>
      <w:pPr>
        <w:ind w:left="3187" w:hanging="422"/>
      </w:pPr>
      <w:rPr>
        <w:rFonts w:ascii="Noto Sans Symbols" w:hAnsi="Noto Sans Symbols" w:eastAsia="Noto Sans Symbols" w:cs="Noto Sans Symbols"/>
        <w:vertAlign w:val="baseline"/>
      </w:rPr>
    </w:lvl>
    <w:lvl w:ilvl="4" w:tentative="0">
      <w:start w:val="1"/>
      <w:numFmt w:val="bullet"/>
      <w:lvlText w:val="●"/>
      <w:lvlJc w:val="left"/>
      <w:pPr>
        <w:ind w:left="3971" w:hanging="421"/>
      </w:pPr>
      <w:rPr>
        <w:rFonts w:ascii="Noto Sans Symbols" w:hAnsi="Noto Sans Symbols" w:eastAsia="Noto Sans Symbols" w:cs="Noto Sans Symbols"/>
        <w:vertAlign w:val="baseline"/>
      </w:rPr>
    </w:lvl>
    <w:lvl w:ilvl="5" w:tentative="0">
      <w:start w:val="1"/>
      <w:numFmt w:val="bullet"/>
      <w:lvlText w:val="●"/>
      <w:lvlJc w:val="left"/>
      <w:pPr>
        <w:ind w:left="4755" w:hanging="422"/>
      </w:pPr>
      <w:rPr>
        <w:rFonts w:ascii="Noto Sans Symbols" w:hAnsi="Noto Sans Symbols" w:eastAsia="Noto Sans Symbols" w:cs="Noto Sans Symbols"/>
        <w:vertAlign w:val="baseline"/>
      </w:rPr>
    </w:lvl>
    <w:lvl w:ilvl="6" w:tentative="0">
      <w:start w:val="1"/>
      <w:numFmt w:val="bullet"/>
      <w:lvlText w:val="●"/>
      <w:lvlJc w:val="left"/>
      <w:pPr>
        <w:ind w:left="5538" w:hanging="422"/>
      </w:pPr>
      <w:rPr>
        <w:rFonts w:ascii="Noto Sans Symbols" w:hAnsi="Noto Sans Symbols" w:eastAsia="Noto Sans Symbols" w:cs="Noto Sans Symbols"/>
        <w:vertAlign w:val="baseline"/>
      </w:rPr>
    </w:lvl>
    <w:lvl w:ilvl="7" w:tentative="0">
      <w:start w:val="1"/>
      <w:numFmt w:val="bullet"/>
      <w:lvlText w:val="●"/>
      <w:lvlJc w:val="left"/>
      <w:pPr>
        <w:ind w:left="6322" w:hanging="422"/>
      </w:pPr>
      <w:rPr>
        <w:rFonts w:ascii="Noto Sans Symbols" w:hAnsi="Noto Sans Symbols" w:eastAsia="Noto Sans Symbols" w:cs="Noto Sans Symbols"/>
        <w:vertAlign w:val="baseline"/>
      </w:rPr>
    </w:lvl>
    <w:lvl w:ilvl="8" w:tentative="0">
      <w:start w:val="1"/>
      <w:numFmt w:val="bullet"/>
      <w:lvlText w:val="●"/>
      <w:lvlJc w:val="left"/>
      <w:pPr>
        <w:ind w:left="7106" w:hanging="422"/>
      </w:pPr>
      <w:rPr>
        <w:rFonts w:ascii="Noto Sans Symbols" w:hAnsi="Noto Sans Symbols" w:eastAsia="Noto Sans Symbols" w:cs="Noto Sans Symbols"/>
        <w:vertAlign w:val="baseline"/>
      </w:rPr>
    </w:lvl>
  </w:abstractNum>
  <w:abstractNum w:abstractNumId="18">
    <w:nsid w:val="0E091599"/>
    <w:multiLevelType w:val="multilevel"/>
    <w:tmpl w:val="0E091599"/>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9">
    <w:nsid w:val="0ED8270F"/>
    <w:multiLevelType w:val="multilevel"/>
    <w:tmpl w:val="0ED8270F"/>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20">
    <w:nsid w:val="0F1D04A2"/>
    <w:multiLevelType w:val="multilevel"/>
    <w:tmpl w:val="0F1D04A2"/>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21">
    <w:nsid w:val="0FB83583"/>
    <w:multiLevelType w:val="multilevel"/>
    <w:tmpl w:val="0FB83583"/>
    <w:lvl w:ilvl="0" w:tentative="0">
      <w:start w:val="1"/>
      <w:numFmt w:val="decimal"/>
      <w:lvlText w:val="%1"/>
      <w:lvlJc w:val="left"/>
      <w:pPr>
        <w:ind w:left="356" w:hanging="245"/>
      </w:pPr>
      <w:rPr>
        <w:sz w:val="24"/>
        <w:szCs w:val="24"/>
        <w:vertAlign w:val="baseline"/>
      </w:rPr>
    </w:lvl>
    <w:lvl w:ilvl="1" w:tentative="0">
      <w:start w:val="1"/>
      <w:numFmt w:val="bullet"/>
      <w:lvlText w:val="●"/>
      <w:lvlJc w:val="left"/>
      <w:pPr>
        <w:ind w:left="1170" w:hanging="245"/>
      </w:pPr>
      <w:rPr>
        <w:rFonts w:ascii="Noto Sans Symbols" w:hAnsi="Noto Sans Symbols" w:eastAsia="Noto Sans Symbols" w:cs="Noto Sans Symbols"/>
        <w:vertAlign w:val="baseline"/>
      </w:rPr>
    </w:lvl>
    <w:lvl w:ilvl="2" w:tentative="0">
      <w:start w:val="1"/>
      <w:numFmt w:val="bullet"/>
      <w:lvlText w:val="●"/>
      <w:lvlJc w:val="left"/>
      <w:pPr>
        <w:ind w:left="1980" w:hanging="245"/>
      </w:pPr>
      <w:rPr>
        <w:rFonts w:ascii="Noto Sans Symbols" w:hAnsi="Noto Sans Symbols" w:eastAsia="Noto Sans Symbols" w:cs="Noto Sans Symbols"/>
        <w:vertAlign w:val="baseline"/>
      </w:rPr>
    </w:lvl>
    <w:lvl w:ilvl="3" w:tentative="0">
      <w:start w:val="1"/>
      <w:numFmt w:val="bullet"/>
      <w:lvlText w:val="●"/>
      <w:lvlJc w:val="left"/>
      <w:pPr>
        <w:ind w:left="2791" w:hanging="245"/>
      </w:pPr>
      <w:rPr>
        <w:rFonts w:ascii="Noto Sans Symbols" w:hAnsi="Noto Sans Symbols" w:eastAsia="Noto Sans Symbols" w:cs="Noto Sans Symbols"/>
        <w:vertAlign w:val="baseline"/>
      </w:rPr>
    </w:lvl>
    <w:lvl w:ilvl="4" w:tentative="0">
      <w:start w:val="1"/>
      <w:numFmt w:val="bullet"/>
      <w:lvlText w:val="●"/>
      <w:lvlJc w:val="left"/>
      <w:pPr>
        <w:ind w:left="3601" w:hanging="245"/>
      </w:pPr>
      <w:rPr>
        <w:rFonts w:ascii="Noto Sans Symbols" w:hAnsi="Noto Sans Symbols" w:eastAsia="Noto Sans Symbols" w:cs="Noto Sans Symbols"/>
        <w:vertAlign w:val="baseline"/>
      </w:rPr>
    </w:lvl>
    <w:lvl w:ilvl="5" w:tentative="0">
      <w:start w:val="1"/>
      <w:numFmt w:val="bullet"/>
      <w:lvlText w:val="●"/>
      <w:lvlJc w:val="left"/>
      <w:pPr>
        <w:ind w:left="4412" w:hanging="245"/>
      </w:pPr>
      <w:rPr>
        <w:rFonts w:ascii="Noto Sans Symbols" w:hAnsi="Noto Sans Symbols" w:eastAsia="Noto Sans Symbols" w:cs="Noto Sans Symbols"/>
        <w:vertAlign w:val="baseline"/>
      </w:rPr>
    </w:lvl>
    <w:lvl w:ilvl="6" w:tentative="0">
      <w:start w:val="1"/>
      <w:numFmt w:val="bullet"/>
      <w:lvlText w:val="●"/>
      <w:lvlJc w:val="left"/>
      <w:pPr>
        <w:ind w:left="5222" w:hanging="245"/>
      </w:pPr>
      <w:rPr>
        <w:rFonts w:ascii="Noto Sans Symbols" w:hAnsi="Noto Sans Symbols" w:eastAsia="Noto Sans Symbols" w:cs="Noto Sans Symbols"/>
        <w:vertAlign w:val="baseline"/>
      </w:rPr>
    </w:lvl>
    <w:lvl w:ilvl="7" w:tentative="0">
      <w:start w:val="1"/>
      <w:numFmt w:val="bullet"/>
      <w:lvlText w:val="●"/>
      <w:lvlJc w:val="left"/>
      <w:pPr>
        <w:ind w:left="6032" w:hanging="245"/>
      </w:pPr>
      <w:rPr>
        <w:rFonts w:ascii="Noto Sans Symbols" w:hAnsi="Noto Sans Symbols" w:eastAsia="Noto Sans Symbols" w:cs="Noto Sans Symbols"/>
        <w:vertAlign w:val="baseline"/>
      </w:rPr>
    </w:lvl>
    <w:lvl w:ilvl="8" w:tentative="0">
      <w:start w:val="1"/>
      <w:numFmt w:val="bullet"/>
      <w:lvlText w:val="●"/>
      <w:lvlJc w:val="left"/>
      <w:pPr>
        <w:ind w:left="6843" w:hanging="245"/>
      </w:pPr>
      <w:rPr>
        <w:rFonts w:ascii="Noto Sans Symbols" w:hAnsi="Noto Sans Symbols" w:eastAsia="Noto Sans Symbols" w:cs="Noto Sans Symbols"/>
        <w:vertAlign w:val="baseline"/>
      </w:rPr>
    </w:lvl>
  </w:abstractNum>
  <w:abstractNum w:abstractNumId="22">
    <w:nsid w:val="105830D1"/>
    <w:multiLevelType w:val="multilevel"/>
    <w:tmpl w:val="105830D1"/>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23">
    <w:nsid w:val="13DF7A8C"/>
    <w:multiLevelType w:val="multilevel"/>
    <w:tmpl w:val="13DF7A8C"/>
    <w:lvl w:ilvl="0" w:tentative="0">
      <w:start w:val="1"/>
      <w:numFmt w:val="upperLetter"/>
      <w:lvlText w:val="%1"/>
      <w:lvlJc w:val="left"/>
      <w:pPr>
        <w:ind w:left="423" w:hanging="312"/>
      </w:pPr>
      <w:rPr>
        <w:sz w:val="24"/>
        <w:szCs w:val="24"/>
        <w:vertAlign w:val="baseline"/>
      </w:rPr>
    </w:lvl>
    <w:lvl w:ilvl="1" w:tentative="0">
      <w:start w:val="1"/>
      <w:numFmt w:val="bullet"/>
      <w:lvlText w:val="●"/>
      <w:lvlJc w:val="left"/>
      <w:pPr>
        <w:ind w:left="1231" w:hanging="312"/>
      </w:pPr>
      <w:rPr>
        <w:rFonts w:ascii="Noto Sans Symbols" w:hAnsi="Noto Sans Symbols" w:eastAsia="Noto Sans Symbols" w:cs="Noto Sans Symbols"/>
        <w:vertAlign w:val="baseline"/>
      </w:rPr>
    </w:lvl>
    <w:lvl w:ilvl="2" w:tentative="0">
      <w:start w:val="1"/>
      <w:numFmt w:val="bullet"/>
      <w:lvlText w:val="●"/>
      <w:lvlJc w:val="left"/>
      <w:pPr>
        <w:ind w:left="2042" w:hanging="312"/>
      </w:pPr>
      <w:rPr>
        <w:rFonts w:ascii="Noto Sans Symbols" w:hAnsi="Noto Sans Symbols" w:eastAsia="Noto Sans Symbols" w:cs="Noto Sans Symbols"/>
        <w:vertAlign w:val="baseline"/>
      </w:rPr>
    </w:lvl>
    <w:lvl w:ilvl="3" w:tentative="0">
      <w:start w:val="1"/>
      <w:numFmt w:val="bullet"/>
      <w:lvlText w:val="●"/>
      <w:lvlJc w:val="left"/>
      <w:pPr>
        <w:ind w:left="2853" w:hanging="312"/>
      </w:pPr>
      <w:rPr>
        <w:rFonts w:ascii="Noto Sans Symbols" w:hAnsi="Noto Sans Symbols" w:eastAsia="Noto Sans Symbols" w:cs="Noto Sans Symbols"/>
        <w:vertAlign w:val="baseline"/>
      </w:rPr>
    </w:lvl>
    <w:lvl w:ilvl="4" w:tentative="0">
      <w:start w:val="1"/>
      <w:numFmt w:val="bullet"/>
      <w:lvlText w:val="●"/>
      <w:lvlJc w:val="left"/>
      <w:pPr>
        <w:ind w:left="3664" w:hanging="312"/>
      </w:pPr>
      <w:rPr>
        <w:rFonts w:ascii="Noto Sans Symbols" w:hAnsi="Noto Sans Symbols" w:eastAsia="Noto Sans Symbols" w:cs="Noto Sans Symbols"/>
        <w:vertAlign w:val="baseline"/>
      </w:rPr>
    </w:lvl>
    <w:lvl w:ilvl="5" w:tentative="0">
      <w:start w:val="1"/>
      <w:numFmt w:val="bullet"/>
      <w:lvlText w:val="●"/>
      <w:lvlJc w:val="left"/>
      <w:pPr>
        <w:ind w:left="4475" w:hanging="312"/>
      </w:pPr>
      <w:rPr>
        <w:rFonts w:ascii="Noto Sans Symbols" w:hAnsi="Noto Sans Symbols" w:eastAsia="Noto Sans Symbols" w:cs="Noto Sans Symbols"/>
        <w:vertAlign w:val="baseline"/>
      </w:rPr>
    </w:lvl>
    <w:lvl w:ilvl="6" w:tentative="0">
      <w:start w:val="1"/>
      <w:numFmt w:val="bullet"/>
      <w:lvlText w:val="●"/>
      <w:lvlJc w:val="left"/>
      <w:pPr>
        <w:ind w:left="5286" w:hanging="312"/>
      </w:pPr>
      <w:rPr>
        <w:rFonts w:ascii="Noto Sans Symbols" w:hAnsi="Noto Sans Symbols" w:eastAsia="Noto Sans Symbols" w:cs="Noto Sans Symbols"/>
        <w:vertAlign w:val="baseline"/>
      </w:rPr>
    </w:lvl>
    <w:lvl w:ilvl="7" w:tentative="0">
      <w:start w:val="1"/>
      <w:numFmt w:val="bullet"/>
      <w:lvlText w:val="●"/>
      <w:lvlJc w:val="left"/>
      <w:pPr>
        <w:ind w:left="6097" w:hanging="312"/>
      </w:pPr>
      <w:rPr>
        <w:rFonts w:ascii="Noto Sans Symbols" w:hAnsi="Noto Sans Symbols" w:eastAsia="Noto Sans Symbols" w:cs="Noto Sans Symbols"/>
        <w:vertAlign w:val="baseline"/>
      </w:rPr>
    </w:lvl>
    <w:lvl w:ilvl="8" w:tentative="0">
      <w:start w:val="1"/>
      <w:numFmt w:val="bullet"/>
      <w:lvlText w:val="●"/>
      <w:lvlJc w:val="left"/>
      <w:pPr>
        <w:ind w:left="6908" w:hanging="312"/>
      </w:pPr>
      <w:rPr>
        <w:rFonts w:ascii="Noto Sans Symbols" w:hAnsi="Noto Sans Symbols" w:eastAsia="Noto Sans Symbols" w:cs="Noto Sans Symbols"/>
        <w:vertAlign w:val="baseline"/>
      </w:rPr>
    </w:lvl>
  </w:abstractNum>
  <w:abstractNum w:abstractNumId="24">
    <w:nsid w:val="142B7264"/>
    <w:multiLevelType w:val="multilevel"/>
    <w:tmpl w:val="142B7264"/>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25">
    <w:nsid w:val="15587A7C"/>
    <w:multiLevelType w:val="multilevel"/>
    <w:tmpl w:val="15587A7C"/>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26">
    <w:nsid w:val="1CEC4CDC"/>
    <w:multiLevelType w:val="multilevel"/>
    <w:tmpl w:val="1CEC4CDC"/>
    <w:lvl w:ilvl="0" w:tentative="0">
      <w:start w:val="3"/>
      <w:numFmt w:val="decimal"/>
      <w:lvlText w:val="%1"/>
      <w:lvlJc w:val="left"/>
      <w:pPr>
        <w:ind w:left="375" w:hanging="264"/>
      </w:pPr>
      <w:rPr>
        <w:sz w:val="24"/>
        <w:szCs w:val="24"/>
        <w:vertAlign w:val="baseline"/>
      </w:rPr>
    </w:lvl>
    <w:lvl w:ilvl="1" w:tentative="0">
      <w:start w:val="1"/>
      <w:numFmt w:val="bullet"/>
      <w:lvlText w:val="●"/>
      <w:lvlJc w:val="left"/>
      <w:pPr>
        <w:ind w:left="1181" w:hanging="264"/>
      </w:pPr>
      <w:rPr>
        <w:rFonts w:ascii="Noto Sans Symbols" w:hAnsi="Noto Sans Symbols" w:eastAsia="Noto Sans Symbols" w:cs="Noto Sans Symbols"/>
        <w:vertAlign w:val="baseline"/>
      </w:rPr>
    </w:lvl>
    <w:lvl w:ilvl="2" w:tentative="0">
      <w:start w:val="1"/>
      <w:numFmt w:val="bullet"/>
      <w:lvlText w:val="●"/>
      <w:lvlJc w:val="left"/>
      <w:pPr>
        <w:ind w:left="1982" w:hanging="264"/>
      </w:pPr>
      <w:rPr>
        <w:rFonts w:ascii="Noto Sans Symbols" w:hAnsi="Noto Sans Symbols" w:eastAsia="Noto Sans Symbols" w:cs="Noto Sans Symbols"/>
        <w:vertAlign w:val="baseline"/>
      </w:rPr>
    </w:lvl>
    <w:lvl w:ilvl="3" w:tentative="0">
      <w:start w:val="1"/>
      <w:numFmt w:val="bullet"/>
      <w:lvlText w:val="●"/>
      <w:lvlJc w:val="left"/>
      <w:pPr>
        <w:ind w:left="2783" w:hanging="264"/>
      </w:pPr>
      <w:rPr>
        <w:rFonts w:ascii="Noto Sans Symbols" w:hAnsi="Noto Sans Symbols" w:eastAsia="Noto Sans Symbols" w:cs="Noto Sans Symbols"/>
        <w:vertAlign w:val="baseline"/>
      </w:rPr>
    </w:lvl>
    <w:lvl w:ilvl="4" w:tentative="0">
      <w:start w:val="1"/>
      <w:numFmt w:val="bullet"/>
      <w:lvlText w:val="●"/>
      <w:lvlJc w:val="left"/>
      <w:pPr>
        <w:ind w:left="3584" w:hanging="264"/>
      </w:pPr>
      <w:rPr>
        <w:rFonts w:ascii="Noto Sans Symbols" w:hAnsi="Noto Sans Symbols" w:eastAsia="Noto Sans Symbols" w:cs="Noto Sans Symbols"/>
        <w:vertAlign w:val="baseline"/>
      </w:rPr>
    </w:lvl>
    <w:lvl w:ilvl="5" w:tentative="0">
      <w:start w:val="1"/>
      <w:numFmt w:val="bullet"/>
      <w:lvlText w:val="●"/>
      <w:lvlJc w:val="left"/>
      <w:pPr>
        <w:ind w:left="4386" w:hanging="264"/>
      </w:pPr>
      <w:rPr>
        <w:rFonts w:ascii="Noto Sans Symbols" w:hAnsi="Noto Sans Symbols" w:eastAsia="Noto Sans Symbols" w:cs="Noto Sans Symbols"/>
        <w:vertAlign w:val="baseline"/>
      </w:rPr>
    </w:lvl>
    <w:lvl w:ilvl="6" w:tentative="0">
      <w:start w:val="1"/>
      <w:numFmt w:val="bullet"/>
      <w:lvlText w:val="●"/>
      <w:lvlJc w:val="left"/>
      <w:pPr>
        <w:ind w:left="5187" w:hanging="263"/>
      </w:pPr>
      <w:rPr>
        <w:rFonts w:ascii="Noto Sans Symbols" w:hAnsi="Noto Sans Symbols" w:eastAsia="Noto Sans Symbols" w:cs="Noto Sans Symbols"/>
        <w:vertAlign w:val="baseline"/>
      </w:rPr>
    </w:lvl>
    <w:lvl w:ilvl="7" w:tentative="0">
      <w:start w:val="1"/>
      <w:numFmt w:val="bullet"/>
      <w:lvlText w:val="●"/>
      <w:lvlJc w:val="left"/>
      <w:pPr>
        <w:ind w:left="5988" w:hanging="264"/>
      </w:pPr>
      <w:rPr>
        <w:rFonts w:ascii="Noto Sans Symbols" w:hAnsi="Noto Sans Symbols" w:eastAsia="Noto Sans Symbols" w:cs="Noto Sans Symbols"/>
        <w:vertAlign w:val="baseline"/>
      </w:rPr>
    </w:lvl>
    <w:lvl w:ilvl="8" w:tentative="0">
      <w:start w:val="1"/>
      <w:numFmt w:val="bullet"/>
      <w:lvlText w:val="●"/>
      <w:lvlJc w:val="left"/>
      <w:pPr>
        <w:ind w:left="6789" w:hanging="264"/>
      </w:pPr>
      <w:rPr>
        <w:rFonts w:ascii="Noto Sans Symbols" w:hAnsi="Noto Sans Symbols" w:eastAsia="Noto Sans Symbols" w:cs="Noto Sans Symbols"/>
        <w:vertAlign w:val="baseline"/>
      </w:rPr>
    </w:lvl>
  </w:abstractNum>
  <w:abstractNum w:abstractNumId="27">
    <w:nsid w:val="1D1E3841"/>
    <w:multiLevelType w:val="multilevel"/>
    <w:tmpl w:val="1D1E3841"/>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28">
    <w:nsid w:val="1E9613FB"/>
    <w:multiLevelType w:val="multilevel"/>
    <w:tmpl w:val="1E9613FB"/>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29">
    <w:nsid w:val="204E14E2"/>
    <w:multiLevelType w:val="multilevel"/>
    <w:tmpl w:val="204E14E2"/>
    <w:lvl w:ilvl="0" w:tentative="0">
      <w:start w:val="1"/>
      <w:numFmt w:val="bullet"/>
      <w:lvlText w:val="-"/>
      <w:lvlJc w:val="left"/>
      <w:pPr>
        <w:ind w:left="255" w:hanging="144"/>
      </w:pPr>
      <w:rPr>
        <w:rFonts w:ascii="Times New Roman" w:hAnsi="Times New Roman" w:eastAsia="Times New Roman" w:cs="Times New Roman"/>
        <w:vertAlign w:val="baseline"/>
      </w:rPr>
    </w:lvl>
    <w:lvl w:ilvl="1" w:tentative="0">
      <w:start w:val="1"/>
      <w:numFmt w:val="bullet"/>
      <w:lvlText w:val="●"/>
      <w:lvlJc w:val="left"/>
      <w:pPr>
        <w:ind w:left="1542" w:hanging="360"/>
      </w:pPr>
      <w:rPr>
        <w:rFonts w:ascii="Noto Sans Symbols" w:hAnsi="Noto Sans Symbols" w:eastAsia="Noto Sans Symbols" w:cs="Noto Sans Symbols"/>
        <w:vertAlign w:val="baseline"/>
      </w:rPr>
    </w:lvl>
    <w:lvl w:ilvl="2" w:tentative="0">
      <w:start w:val="1"/>
      <w:numFmt w:val="bullet"/>
      <w:lvlText w:val="●"/>
      <w:lvlJc w:val="left"/>
      <w:pPr>
        <w:ind w:left="2309" w:hanging="360"/>
      </w:pPr>
      <w:rPr>
        <w:rFonts w:ascii="Noto Sans Symbols" w:hAnsi="Noto Sans Symbols" w:eastAsia="Noto Sans Symbols" w:cs="Noto Sans Symbols"/>
        <w:vertAlign w:val="baseline"/>
      </w:rPr>
    </w:lvl>
    <w:lvl w:ilvl="3" w:tentative="0">
      <w:start w:val="1"/>
      <w:numFmt w:val="bullet"/>
      <w:lvlText w:val="●"/>
      <w:lvlJc w:val="left"/>
      <w:pPr>
        <w:ind w:left="3078" w:hanging="360"/>
      </w:pPr>
      <w:rPr>
        <w:rFonts w:ascii="Noto Sans Symbols" w:hAnsi="Noto Sans Symbols" w:eastAsia="Noto Sans Symbols" w:cs="Noto Sans Symbols"/>
        <w:vertAlign w:val="baseline"/>
      </w:rPr>
    </w:lvl>
    <w:lvl w:ilvl="4" w:tentative="0">
      <w:start w:val="1"/>
      <w:numFmt w:val="bullet"/>
      <w:lvlText w:val="●"/>
      <w:lvlJc w:val="left"/>
      <w:pPr>
        <w:ind w:left="3848" w:hanging="360"/>
      </w:pPr>
      <w:rPr>
        <w:rFonts w:ascii="Noto Sans Symbols" w:hAnsi="Noto Sans Symbols" w:eastAsia="Noto Sans Symbols" w:cs="Noto Sans Symbols"/>
        <w:vertAlign w:val="baseline"/>
      </w:rPr>
    </w:lvl>
    <w:lvl w:ilvl="5" w:tentative="0">
      <w:start w:val="1"/>
      <w:numFmt w:val="bullet"/>
      <w:lvlText w:val="●"/>
      <w:lvlJc w:val="left"/>
      <w:pPr>
        <w:ind w:left="4617" w:hanging="360"/>
      </w:pPr>
      <w:rPr>
        <w:rFonts w:ascii="Noto Sans Symbols" w:hAnsi="Noto Sans Symbols" w:eastAsia="Noto Sans Symbols" w:cs="Noto Sans Symbols"/>
        <w:vertAlign w:val="baseline"/>
      </w:rPr>
    </w:lvl>
    <w:lvl w:ilvl="6" w:tentative="0">
      <w:start w:val="1"/>
      <w:numFmt w:val="bullet"/>
      <w:lvlText w:val="●"/>
      <w:lvlJc w:val="left"/>
      <w:pPr>
        <w:ind w:left="5386" w:hanging="360"/>
      </w:pPr>
      <w:rPr>
        <w:rFonts w:ascii="Noto Sans Symbols" w:hAnsi="Noto Sans Symbols" w:eastAsia="Noto Sans Symbols" w:cs="Noto Sans Symbols"/>
        <w:vertAlign w:val="baseline"/>
      </w:rPr>
    </w:lvl>
    <w:lvl w:ilvl="7" w:tentative="0">
      <w:start w:val="1"/>
      <w:numFmt w:val="bullet"/>
      <w:lvlText w:val="●"/>
      <w:lvlJc w:val="left"/>
      <w:pPr>
        <w:ind w:left="6156" w:hanging="360"/>
      </w:pPr>
      <w:rPr>
        <w:rFonts w:ascii="Noto Sans Symbols" w:hAnsi="Noto Sans Symbols" w:eastAsia="Noto Sans Symbols" w:cs="Noto Sans Symbols"/>
        <w:vertAlign w:val="baseline"/>
      </w:rPr>
    </w:lvl>
    <w:lvl w:ilvl="8" w:tentative="0">
      <w:start w:val="1"/>
      <w:numFmt w:val="bullet"/>
      <w:lvlText w:val="●"/>
      <w:lvlJc w:val="left"/>
      <w:pPr>
        <w:ind w:left="6925" w:hanging="360"/>
      </w:pPr>
      <w:rPr>
        <w:rFonts w:ascii="Noto Sans Symbols" w:hAnsi="Noto Sans Symbols" w:eastAsia="Noto Sans Symbols" w:cs="Noto Sans Symbols"/>
        <w:vertAlign w:val="baseline"/>
      </w:rPr>
    </w:lvl>
  </w:abstractNum>
  <w:abstractNum w:abstractNumId="30">
    <w:nsid w:val="216C70B3"/>
    <w:multiLevelType w:val="multilevel"/>
    <w:tmpl w:val="216C70B3"/>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31">
    <w:nsid w:val="217D7032"/>
    <w:multiLevelType w:val="multilevel"/>
    <w:tmpl w:val="217D7032"/>
    <w:lvl w:ilvl="0" w:tentative="0">
      <w:start w:val="1"/>
      <w:numFmt w:val="decimal"/>
      <w:lvlText w:val="%1"/>
      <w:lvlJc w:val="left"/>
      <w:pPr>
        <w:ind w:left="720" w:hanging="360"/>
      </w:pPr>
      <w:rPr>
        <w:color w:val="000000"/>
        <w:vertAlign w:val="baseline"/>
      </w:rPr>
    </w:lvl>
    <w:lvl w:ilvl="1" w:tentative="0">
      <w:start w:val="1"/>
      <w:numFmt w:val="lowerLetter"/>
      <w:lvlText w:val="%1.%2"/>
      <w:lvlJc w:val="left"/>
      <w:pPr>
        <w:ind w:left="1440" w:hanging="360"/>
      </w:pPr>
      <w:rPr>
        <w:vertAlign w:val="baseline"/>
      </w:rPr>
    </w:lvl>
    <w:lvl w:ilvl="2" w:tentative="0">
      <w:start w:val="1"/>
      <w:numFmt w:val="lowerRoman"/>
      <w:lvlText w:val="%1.%2.%3"/>
      <w:lvlJc w:val="right"/>
      <w:pPr>
        <w:ind w:left="2160" w:hanging="180"/>
      </w:pPr>
      <w:rPr>
        <w:vertAlign w:val="baseline"/>
      </w:rPr>
    </w:lvl>
    <w:lvl w:ilvl="3" w:tentative="0">
      <w:start w:val="1"/>
      <w:numFmt w:val="decimal"/>
      <w:lvlText w:val="%2.%3.%4"/>
      <w:lvlJc w:val="left"/>
      <w:pPr>
        <w:ind w:left="2880" w:hanging="360"/>
      </w:pPr>
      <w:rPr>
        <w:vertAlign w:val="baseline"/>
      </w:rPr>
    </w:lvl>
    <w:lvl w:ilvl="4" w:tentative="0">
      <w:start w:val="1"/>
      <w:numFmt w:val="lowerLetter"/>
      <w:lvlText w:val="%3.%4.%5"/>
      <w:lvlJc w:val="left"/>
      <w:pPr>
        <w:ind w:left="3600" w:hanging="360"/>
      </w:pPr>
      <w:rPr>
        <w:vertAlign w:val="baseline"/>
      </w:rPr>
    </w:lvl>
    <w:lvl w:ilvl="5" w:tentative="0">
      <w:start w:val="1"/>
      <w:numFmt w:val="lowerRoman"/>
      <w:lvlText w:val="%4.%5.%6"/>
      <w:lvlJc w:val="right"/>
      <w:pPr>
        <w:ind w:left="4320" w:hanging="180"/>
      </w:pPr>
      <w:rPr>
        <w:vertAlign w:val="baseline"/>
      </w:rPr>
    </w:lvl>
    <w:lvl w:ilvl="6" w:tentative="0">
      <w:start w:val="1"/>
      <w:numFmt w:val="decimal"/>
      <w:lvlText w:val="%5.%6.%7"/>
      <w:lvlJc w:val="left"/>
      <w:pPr>
        <w:ind w:left="5040" w:hanging="360"/>
      </w:pPr>
      <w:rPr>
        <w:vertAlign w:val="baseline"/>
      </w:rPr>
    </w:lvl>
    <w:lvl w:ilvl="7" w:tentative="0">
      <w:start w:val="1"/>
      <w:numFmt w:val="lowerLetter"/>
      <w:lvlText w:val="%6.%7.%8"/>
      <w:lvlJc w:val="left"/>
      <w:pPr>
        <w:ind w:left="5760" w:hanging="360"/>
      </w:pPr>
      <w:rPr>
        <w:vertAlign w:val="baseline"/>
      </w:rPr>
    </w:lvl>
    <w:lvl w:ilvl="8" w:tentative="0">
      <w:start w:val="1"/>
      <w:numFmt w:val="lowerRoman"/>
      <w:lvlText w:val="%7.%8.%9"/>
      <w:lvlJc w:val="right"/>
      <w:pPr>
        <w:ind w:left="6480" w:hanging="180"/>
      </w:pPr>
      <w:rPr>
        <w:vertAlign w:val="baseline"/>
      </w:rPr>
    </w:lvl>
  </w:abstractNum>
  <w:abstractNum w:abstractNumId="32">
    <w:nsid w:val="2376228B"/>
    <w:multiLevelType w:val="multilevel"/>
    <w:tmpl w:val="2376228B"/>
    <w:lvl w:ilvl="0" w:tentative="0">
      <w:start w:val="1"/>
      <w:numFmt w:val="lowerLetter"/>
      <w:lvlText w:val="%1"/>
      <w:lvlJc w:val="left"/>
      <w:pPr>
        <w:ind w:left="361" w:hanging="250"/>
      </w:pPr>
      <w:rPr>
        <w:sz w:val="24"/>
        <w:szCs w:val="24"/>
        <w:vertAlign w:val="baseline"/>
      </w:rPr>
    </w:lvl>
    <w:lvl w:ilvl="1" w:tentative="0">
      <w:start w:val="1"/>
      <w:numFmt w:val="bullet"/>
      <w:lvlText w:val="●"/>
      <w:lvlJc w:val="left"/>
      <w:pPr>
        <w:ind w:left="1184" w:hanging="250"/>
      </w:pPr>
      <w:rPr>
        <w:rFonts w:ascii="Noto Sans Symbols" w:hAnsi="Noto Sans Symbols" w:eastAsia="Noto Sans Symbols" w:cs="Noto Sans Symbols"/>
        <w:vertAlign w:val="baseline"/>
      </w:rPr>
    </w:lvl>
    <w:lvl w:ilvl="2" w:tentative="0">
      <w:start w:val="1"/>
      <w:numFmt w:val="bullet"/>
      <w:lvlText w:val="●"/>
      <w:lvlJc w:val="left"/>
      <w:pPr>
        <w:ind w:left="2009" w:hanging="250"/>
      </w:pPr>
      <w:rPr>
        <w:rFonts w:ascii="Noto Sans Symbols" w:hAnsi="Noto Sans Symbols" w:eastAsia="Noto Sans Symbols" w:cs="Noto Sans Symbols"/>
        <w:vertAlign w:val="baseline"/>
      </w:rPr>
    </w:lvl>
    <w:lvl w:ilvl="3" w:tentative="0">
      <w:start w:val="1"/>
      <w:numFmt w:val="bullet"/>
      <w:lvlText w:val="●"/>
      <w:lvlJc w:val="left"/>
      <w:pPr>
        <w:ind w:left="2834" w:hanging="250"/>
      </w:pPr>
      <w:rPr>
        <w:rFonts w:ascii="Noto Sans Symbols" w:hAnsi="Noto Sans Symbols" w:eastAsia="Noto Sans Symbols" w:cs="Noto Sans Symbols"/>
        <w:vertAlign w:val="baseline"/>
      </w:rPr>
    </w:lvl>
    <w:lvl w:ilvl="4" w:tentative="0">
      <w:start w:val="1"/>
      <w:numFmt w:val="bullet"/>
      <w:lvlText w:val="●"/>
      <w:lvlJc w:val="left"/>
      <w:pPr>
        <w:ind w:left="3659" w:hanging="250"/>
      </w:pPr>
      <w:rPr>
        <w:rFonts w:ascii="Noto Sans Symbols" w:hAnsi="Noto Sans Symbols" w:eastAsia="Noto Sans Symbols" w:cs="Noto Sans Symbols"/>
        <w:vertAlign w:val="baseline"/>
      </w:rPr>
    </w:lvl>
    <w:lvl w:ilvl="5" w:tentative="0">
      <w:start w:val="1"/>
      <w:numFmt w:val="bullet"/>
      <w:lvlText w:val="●"/>
      <w:lvlJc w:val="left"/>
      <w:pPr>
        <w:ind w:left="4484" w:hanging="250"/>
      </w:pPr>
      <w:rPr>
        <w:rFonts w:ascii="Noto Sans Symbols" w:hAnsi="Noto Sans Symbols" w:eastAsia="Noto Sans Symbols" w:cs="Noto Sans Symbols"/>
        <w:vertAlign w:val="baseline"/>
      </w:rPr>
    </w:lvl>
    <w:lvl w:ilvl="6" w:tentative="0">
      <w:start w:val="1"/>
      <w:numFmt w:val="bullet"/>
      <w:lvlText w:val="●"/>
      <w:lvlJc w:val="left"/>
      <w:pPr>
        <w:ind w:left="5309" w:hanging="250"/>
      </w:pPr>
      <w:rPr>
        <w:rFonts w:ascii="Noto Sans Symbols" w:hAnsi="Noto Sans Symbols" w:eastAsia="Noto Sans Symbols" w:cs="Noto Sans Symbols"/>
        <w:vertAlign w:val="baseline"/>
      </w:rPr>
    </w:lvl>
    <w:lvl w:ilvl="7" w:tentative="0">
      <w:start w:val="1"/>
      <w:numFmt w:val="bullet"/>
      <w:lvlText w:val="●"/>
      <w:lvlJc w:val="left"/>
      <w:pPr>
        <w:ind w:left="6134" w:hanging="250"/>
      </w:pPr>
      <w:rPr>
        <w:rFonts w:ascii="Noto Sans Symbols" w:hAnsi="Noto Sans Symbols" w:eastAsia="Noto Sans Symbols" w:cs="Noto Sans Symbols"/>
        <w:vertAlign w:val="baseline"/>
      </w:rPr>
    </w:lvl>
    <w:lvl w:ilvl="8" w:tentative="0">
      <w:start w:val="1"/>
      <w:numFmt w:val="bullet"/>
      <w:lvlText w:val="●"/>
      <w:lvlJc w:val="left"/>
      <w:pPr>
        <w:ind w:left="6959" w:hanging="250"/>
      </w:pPr>
      <w:rPr>
        <w:rFonts w:ascii="Noto Sans Symbols" w:hAnsi="Noto Sans Symbols" w:eastAsia="Noto Sans Symbols" w:cs="Noto Sans Symbols"/>
        <w:vertAlign w:val="baseline"/>
      </w:rPr>
    </w:lvl>
  </w:abstractNum>
  <w:abstractNum w:abstractNumId="33">
    <w:nsid w:val="241278B0"/>
    <w:multiLevelType w:val="multilevel"/>
    <w:tmpl w:val="241278B0"/>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34">
    <w:nsid w:val="247F53F2"/>
    <w:multiLevelType w:val="multilevel"/>
    <w:tmpl w:val="247F53F2"/>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35">
    <w:nsid w:val="25E758B0"/>
    <w:multiLevelType w:val="multilevel"/>
    <w:tmpl w:val="25E758B0"/>
    <w:lvl w:ilvl="0" w:tentative="0">
      <w:start w:val="4"/>
      <w:numFmt w:val="decimal"/>
      <w:lvlText w:val="%1"/>
      <w:lvlJc w:val="left"/>
      <w:pPr>
        <w:ind w:left="356" w:hanging="245"/>
      </w:pPr>
      <w:rPr>
        <w:sz w:val="24"/>
        <w:szCs w:val="24"/>
        <w:vertAlign w:val="baseline"/>
      </w:rPr>
    </w:lvl>
    <w:lvl w:ilvl="1" w:tentative="0">
      <w:start w:val="1"/>
      <w:numFmt w:val="bullet"/>
      <w:lvlText w:val="●"/>
      <w:lvlJc w:val="left"/>
      <w:pPr>
        <w:ind w:left="1191" w:hanging="245"/>
      </w:pPr>
      <w:rPr>
        <w:rFonts w:ascii="Noto Sans Symbols" w:hAnsi="Noto Sans Symbols" w:eastAsia="Noto Sans Symbols" w:cs="Noto Sans Symbols"/>
        <w:vertAlign w:val="baseline"/>
      </w:rPr>
    </w:lvl>
    <w:lvl w:ilvl="2" w:tentative="0">
      <w:start w:val="1"/>
      <w:numFmt w:val="bullet"/>
      <w:lvlText w:val="●"/>
      <w:lvlJc w:val="left"/>
      <w:pPr>
        <w:ind w:left="2023" w:hanging="245"/>
      </w:pPr>
      <w:rPr>
        <w:rFonts w:ascii="Noto Sans Symbols" w:hAnsi="Noto Sans Symbols" w:eastAsia="Noto Sans Symbols" w:cs="Noto Sans Symbols"/>
        <w:vertAlign w:val="baseline"/>
      </w:rPr>
    </w:lvl>
    <w:lvl w:ilvl="3" w:tentative="0">
      <w:start w:val="1"/>
      <w:numFmt w:val="bullet"/>
      <w:lvlText w:val="●"/>
      <w:lvlJc w:val="left"/>
      <w:pPr>
        <w:ind w:left="2854" w:hanging="245"/>
      </w:pPr>
      <w:rPr>
        <w:rFonts w:ascii="Noto Sans Symbols" w:hAnsi="Noto Sans Symbols" w:eastAsia="Noto Sans Symbols" w:cs="Noto Sans Symbols"/>
        <w:vertAlign w:val="baseline"/>
      </w:rPr>
    </w:lvl>
    <w:lvl w:ilvl="4" w:tentative="0">
      <w:start w:val="1"/>
      <w:numFmt w:val="bullet"/>
      <w:lvlText w:val="●"/>
      <w:lvlJc w:val="left"/>
      <w:pPr>
        <w:ind w:left="3686" w:hanging="245"/>
      </w:pPr>
      <w:rPr>
        <w:rFonts w:ascii="Noto Sans Symbols" w:hAnsi="Noto Sans Symbols" w:eastAsia="Noto Sans Symbols" w:cs="Noto Sans Symbols"/>
        <w:vertAlign w:val="baseline"/>
      </w:rPr>
    </w:lvl>
    <w:lvl w:ilvl="5" w:tentative="0">
      <w:start w:val="1"/>
      <w:numFmt w:val="bullet"/>
      <w:lvlText w:val="●"/>
      <w:lvlJc w:val="left"/>
      <w:pPr>
        <w:ind w:left="4517" w:hanging="245"/>
      </w:pPr>
      <w:rPr>
        <w:rFonts w:ascii="Noto Sans Symbols" w:hAnsi="Noto Sans Symbols" w:eastAsia="Noto Sans Symbols" w:cs="Noto Sans Symbols"/>
        <w:vertAlign w:val="baseline"/>
      </w:rPr>
    </w:lvl>
    <w:lvl w:ilvl="6" w:tentative="0">
      <w:start w:val="1"/>
      <w:numFmt w:val="bullet"/>
      <w:lvlText w:val="●"/>
      <w:lvlJc w:val="left"/>
      <w:pPr>
        <w:ind w:left="5349" w:hanging="245"/>
      </w:pPr>
      <w:rPr>
        <w:rFonts w:ascii="Noto Sans Symbols" w:hAnsi="Noto Sans Symbols" w:eastAsia="Noto Sans Symbols" w:cs="Noto Sans Symbols"/>
        <w:vertAlign w:val="baseline"/>
      </w:rPr>
    </w:lvl>
    <w:lvl w:ilvl="7" w:tentative="0">
      <w:start w:val="1"/>
      <w:numFmt w:val="bullet"/>
      <w:lvlText w:val="●"/>
      <w:lvlJc w:val="left"/>
      <w:pPr>
        <w:ind w:left="6180" w:hanging="245"/>
      </w:pPr>
      <w:rPr>
        <w:rFonts w:ascii="Noto Sans Symbols" w:hAnsi="Noto Sans Symbols" w:eastAsia="Noto Sans Symbols" w:cs="Noto Sans Symbols"/>
        <w:vertAlign w:val="baseline"/>
      </w:rPr>
    </w:lvl>
    <w:lvl w:ilvl="8" w:tentative="0">
      <w:start w:val="1"/>
      <w:numFmt w:val="bullet"/>
      <w:lvlText w:val="●"/>
      <w:lvlJc w:val="left"/>
      <w:pPr>
        <w:ind w:left="7012" w:hanging="245"/>
      </w:pPr>
      <w:rPr>
        <w:rFonts w:ascii="Noto Sans Symbols" w:hAnsi="Noto Sans Symbols" w:eastAsia="Noto Sans Symbols" w:cs="Noto Sans Symbols"/>
        <w:vertAlign w:val="baseline"/>
      </w:rPr>
    </w:lvl>
  </w:abstractNum>
  <w:abstractNum w:abstractNumId="36">
    <w:nsid w:val="279F3293"/>
    <w:multiLevelType w:val="multilevel"/>
    <w:tmpl w:val="279F3293"/>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37">
    <w:nsid w:val="27F101A3"/>
    <w:multiLevelType w:val="multilevel"/>
    <w:tmpl w:val="27F101A3"/>
    <w:lvl w:ilvl="0" w:tentative="0">
      <w:start w:val="2"/>
      <w:numFmt w:val="decimal"/>
      <w:lvlText w:val="%1"/>
      <w:lvlJc w:val="left"/>
      <w:pPr>
        <w:ind w:left="375" w:hanging="264"/>
      </w:pPr>
      <w:rPr>
        <w:sz w:val="24"/>
        <w:szCs w:val="24"/>
        <w:vertAlign w:val="baseline"/>
      </w:rPr>
    </w:lvl>
    <w:lvl w:ilvl="1" w:tentative="0">
      <w:start w:val="1"/>
      <w:numFmt w:val="bullet"/>
      <w:lvlText w:val="●"/>
      <w:lvlJc w:val="left"/>
      <w:pPr>
        <w:ind w:left="1209" w:hanging="264"/>
      </w:pPr>
      <w:rPr>
        <w:rFonts w:ascii="Noto Sans Symbols" w:hAnsi="Noto Sans Symbols" w:eastAsia="Noto Sans Symbols" w:cs="Noto Sans Symbols"/>
        <w:vertAlign w:val="baseline"/>
      </w:rPr>
    </w:lvl>
    <w:lvl w:ilvl="2" w:tentative="0">
      <w:start w:val="1"/>
      <w:numFmt w:val="bullet"/>
      <w:lvlText w:val="●"/>
      <w:lvlJc w:val="left"/>
      <w:pPr>
        <w:ind w:left="2039" w:hanging="264"/>
      </w:pPr>
      <w:rPr>
        <w:rFonts w:ascii="Noto Sans Symbols" w:hAnsi="Noto Sans Symbols" w:eastAsia="Noto Sans Symbols" w:cs="Noto Sans Symbols"/>
        <w:vertAlign w:val="baseline"/>
      </w:rPr>
    </w:lvl>
    <w:lvl w:ilvl="3" w:tentative="0">
      <w:start w:val="1"/>
      <w:numFmt w:val="bullet"/>
      <w:lvlText w:val="●"/>
      <w:lvlJc w:val="left"/>
      <w:pPr>
        <w:ind w:left="2868" w:hanging="263"/>
      </w:pPr>
      <w:rPr>
        <w:rFonts w:ascii="Noto Sans Symbols" w:hAnsi="Noto Sans Symbols" w:eastAsia="Noto Sans Symbols" w:cs="Noto Sans Symbols"/>
        <w:vertAlign w:val="baseline"/>
      </w:rPr>
    </w:lvl>
    <w:lvl w:ilvl="4" w:tentative="0">
      <w:start w:val="1"/>
      <w:numFmt w:val="bullet"/>
      <w:lvlText w:val="●"/>
      <w:lvlJc w:val="left"/>
      <w:pPr>
        <w:ind w:left="3698" w:hanging="263"/>
      </w:pPr>
      <w:rPr>
        <w:rFonts w:ascii="Noto Sans Symbols" w:hAnsi="Noto Sans Symbols" w:eastAsia="Noto Sans Symbols" w:cs="Noto Sans Symbols"/>
        <w:vertAlign w:val="baseline"/>
      </w:rPr>
    </w:lvl>
    <w:lvl w:ilvl="5" w:tentative="0">
      <w:start w:val="1"/>
      <w:numFmt w:val="bullet"/>
      <w:lvlText w:val="●"/>
      <w:lvlJc w:val="left"/>
      <w:pPr>
        <w:ind w:left="4527" w:hanging="264"/>
      </w:pPr>
      <w:rPr>
        <w:rFonts w:ascii="Noto Sans Symbols" w:hAnsi="Noto Sans Symbols" w:eastAsia="Noto Sans Symbols" w:cs="Noto Sans Symbols"/>
        <w:vertAlign w:val="baseline"/>
      </w:rPr>
    </w:lvl>
    <w:lvl w:ilvl="6" w:tentative="0">
      <w:start w:val="1"/>
      <w:numFmt w:val="bullet"/>
      <w:lvlText w:val="●"/>
      <w:lvlJc w:val="left"/>
      <w:pPr>
        <w:ind w:left="5357" w:hanging="263"/>
      </w:pPr>
      <w:rPr>
        <w:rFonts w:ascii="Noto Sans Symbols" w:hAnsi="Noto Sans Symbols" w:eastAsia="Noto Sans Symbols" w:cs="Noto Sans Symbols"/>
        <w:vertAlign w:val="baseline"/>
      </w:rPr>
    </w:lvl>
    <w:lvl w:ilvl="7" w:tentative="0">
      <w:start w:val="1"/>
      <w:numFmt w:val="bullet"/>
      <w:lvlText w:val="●"/>
      <w:lvlJc w:val="left"/>
      <w:pPr>
        <w:ind w:left="6186" w:hanging="264"/>
      </w:pPr>
      <w:rPr>
        <w:rFonts w:ascii="Noto Sans Symbols" w:hAnsi="Noto Sans Symbols" w:eastAsia="Noto Sans Symbols" w:cs="Noto Sans Symbols"/>
        <w:vertAlign w:val="baseline"/>
      </w:rPr>
    </w:lvl>
    <w:lvl w:ilvl="8" w:tentative="0">
      <w:start w:val="1"/>
      <w:numFmt w:val="bullet"/>
      <w:lvlText w:val="●"/>
      <w:lvlJc w:val="left"/>
      <w:pPr>
        <w:ind w:left="7016" w:hanging="264"/>
      </w:pPr>
      <w:rPr>
        <w:rFonts w:ascii="Noto Sans Symbols" w:hAnsi="Noto Sans Symbols" w:eastAsia="Noto Sans Symbols" w:cs="Noto Sans Symbols"/>
        <w:vertAlign w:val="baseline"/>
      </w:rPr>
    </w:lvl>
  </w:abstractNum>
  <w:abstractNum w:abstractNumId="38">
    <w:nsid w:val="28FF6D98"/>
    <w:multiLevelType w:val="multilevel"/>
    <w:tmpl w:val="28FF6D98"/>
    <w:lvl w:ilvl="0" w:tentative="0">
      <w:start w:val="4"/>
      <w:numFmt w:val="decimal"/>
      <w:lvlText w:val="%1"/>
      <w:lvlJc w:val="left"/>
      <w:pPr>
        <w:ind w:left="375" w:hanging="264"/>
      </w:pPr>
      <w:rPr>
        <w:sz w:val="24"/>
        <w:szCs w:val="24"/>
        <w:vertAlign w:val="baseline"/>
      </w:rPr>
    </w:lvl>
    <w:lvl w:ilvl="1" w:tentative="0">
      <w:start w:val="1"/>
      <w:numFmt w:val="bullet"/>
      <w:lvlText w:val="●"/>
      <w:lvlJc w:val="left"/>
      <w:pPr>
        <w:ind w:left="1202" w:hanging="263"/>
      </w:pPr>
      <w:rPr>
        <w:rFonts w:ascii="Noto Sans Symbols" w:hAnsi="Noto Sans Symbols" w:eastAsia="Noto Sans Symbols" w:cs="Noto Sans Symbols"/>
        <w:vertAlign w:val="baseline"/>
      </w:rPr>
    </w:lvl>
    <w:lvl w:ilvl="2" w:tentative="0">
      <w:start w:val="1"/>
      <w:numFmt w:val="bullet"/>
      <w:lvlText w:val="●"/>
      <w:lvlJc w:val="left"/>
      <w:pPr>
        <w:ind w:left="2025" w:hanging="264"/>
      </w:pPr>
      <w:rPr>
        <w:rFonts w:ascii="Noto Sans Symbols" w:hAnsi="Noto Sans Symbols" w:eastAsia="Noto Sans Symbols" w:cs="Noto Sans Symbols"/>
        <w:vertAlign w:val="baseline"/>
      </w:rPr>
    </w:lvl>
    <w:lvl w:ilvl="3" w:tentative="0">
      <w:start w:val="1"/>
      <w:numFmt w:val="bullet"/>
      <w:lvlText w:val="●"/>
      <w:lvlJc w:val="left"/>
      <w:pPr>
        <w:ind w:left="2848" w:hanging="263"/>
      </w:pPr>
      <w:rPr>
        <w:rFonts w:ascii="Noto Sans Symbols" w:hAnsi="Noto Sans Symbols" w:eastAsia="Noto Sans Symbols" w:cs="Noto Sans Symbols"/>
        <w:vertAlign w:val="baseline"/>
      </w:rPr>
    </w:lvl>
    <w:lvl w:ilvl="4" w:tentative="0">
      <w:start w:val="1"/>
      <w:numFmt w:val="bullet"/>
      <w:lvlText w:val="●"/>
      <w:lvlJc w:val="left"/>
      <w:pPr>
        <w:ind w:left="3671" w:hanging="263"/>
      </w:pPr>
      <w:rPr>
        <w:rFonts w:ascii="Noto Sans Symbols" w:hAnsi="Noto Sans Symbols" w:eastAsia="Noto Sans Symbols" w:cs="Noto Sans Symbols"/>
        <w:vertAlign w:val="baseline"/>
      </w:rPr>
    </w:lvl>
    <w:lvl w:ilvl="5" w:tentative="0">
      <w:start w:val="1"/>
      <w:numFmt w:val="bullet"/>
      <w:lvlText w:val="●"/>
      <w:lvlJc w:val="left"/>
      <w:pPr>
        <w:ind w:left="4494" w:hanging="264"/>
      </w:pPr>
      <w:rPr>
        <w:rFonts w:ascii="Noto Sans Symbols" w:hAnsi="Noto Sans Symbols" w:eastAsia="Noto Sans Symbols" w:cs="Noto Sans Symbols"/>
        <w:vertAlign w:val="baseline"/>
      </w:rPr>
    </w:lvl>
    <w:lvl w:ilvl="6" w:tentative="0">
      <w:start w:val="1"/>
      <w:numFmt w:val="bullet"/>
      <w:lvlText w:val="●"/>
      <w:lvlJc w:val="left"/>
      <w:pPr>
        <w:ind w:left="5317" w:hanging="263"/>
      </w:pPr>
      <w:rPr>
        <w:rFonts w:ascii="Noto Sans Symbols" w:hAnsi="Noto Sans Symbols" w:eastAsia="Noto Sans Symbols" w:cs="Noto Sans Symbols"/>
        <w:vertAlign w:val="baseline"/>
      </w:rPr>
    </w:lvl>
    <w:lvl w:ilvl="7" w:tentative="0">
      <w:start w:val="1"/>
      <w:numFmt w:val="bullet"/>
      <w:lvlText w:val="●"/>
      <w:lvlJc w:val="left"/>
      <w:pPr>
        <w:ind w:left="6140" w:hanging="264"/>
      </w:pPr>
      <w:rPr>
        <w:rFonts w:ascii="Noto Sans Symbols" w:hAnsi="Noto Sans Symbols" w:eastAsia="Noto Sans Symbols" w:cs="Noto Sans Symbols"/>
        <w:vertAlign w:val="baseline"/>
      </w:rPr>
    </w:lvl>
    <w:lvl w:ilvl="8" w:tentative="0">
      <w:start w:val="1"/>
      <w:numFmt w:val="bullet"/>
      <w:lvlText w:val="●"/>
      <w:lvlJc w:val="left"/>
      <w:pPr>
        <w:ind w:left="6963" w:hanging="264"/>
      </w:pPr>
      <w:rPr>
        <w:rFonts w:ascii="Noto Sans Symbols" w:hAnsi="Noto Sans Symbols" w:eastAsia="Noto Sans Symbols" w:cs="Noto Sans Symbols"/>
        <w:vertAlign w:val="baseline"/>
      </w:rPr>
    </w:lvl>
  </w:abstractNum>
  <w:abstractNum w:abstractNumId="39">
    <w:nsid w:val="2A81590D"/>
    <w:multiLevelType w:val="multilevel"/>
    <w:tmpl w:val="2A81590D"/>
    <w:lvl w:ilvl="0" w:tentative="0">
      <w:start w:val="1"/>
      <w:numFmt w:val="decimal"/>
      <w:lvlText w:val="%1"/>
      <w:lvlJc w:val="left"/>
      <w:pPr>
        <w:ind w:left="356" w:hanging="245"/>
      </w:pPr>
      <w:rPr>
        <w:sz w:val="24"/>
        <w:szCs w:val="24"/>
        <w:vertAlign w:val="baseline"/>
      </w:rPr>
    </w:lvl>
    <w:lvl w:ilvl="1" w:tentative="0">
      <w:start w:val="1"/>
      <w:numFmt w:val="bullet"/>
      <w:lvlText w:val="●"/>
      <w:lvlJc w:val="left"/>
      <w:pPr>
        <w:ind w:left="1170" w:hanging="245"/>
      </w:pPr>
      <w:rPr>
        <w:rFonts w:ascii="Noto Sans Symbols" w:hAnsi="Noto Sans Symbols" w:eastAsia="Noto Sans Symbols" w:cs="Noto Sans Symbols"/>
        <w:vertAlign w:val="baseline"/>
      </w:rPr>
    </w:lvl>
    <w:lvl w:ilvl="2" w:tentative="0">
      <w:start w:val="1"/>
      <w:numFmt w:val="bullet"/>
      <w:lvlText w:val="●"/>
      <w:lvlJc w:val="left"/>
      <w:pPr>
        <w:ind w:left="1980" w:hanging="245"/>
      </w:pPr>
      <w:rPr>
        <w:rFonts w:ascii="Noto Sans Symbols" w:hAnsi="Noto Sans Symbols" w:eastAsia="Noto Sans Symbols" w:cs="Noto Sans Symbols"/>
        <w:vertAlign w:val="baseline"/>
      </w:rPr>
    </w:lvl>
    <w:lvl w:ilvl="3" w:tentative="0">
      <w:start w:val="1"/>
      <w:numFmt w:val="bullet"/>
      <w:lvlText w:val="●"/>
      <w:lvlJc w:val="left"/>
      <w:pPr>
        <w:ind w:left="2791" w:hanging="245"/>
      </w:pPr>
      <w:rPr>
        <w:rFonts w:ascii="Noto Sans Symbols" w:hAnsi="Noto Sans Symbols" w:eastAsia="Noto Sans Symbols" w:cs="Noto Sans Symbols"/>
        <w:vertAlign w:val="baseline"/>
      </w:rPr>
    </w:lvl>
    <w:lvl w:ilvl="4" w:tentative="0">
      <w:start w:val="1"/>
      <w:numFmt w:val="bullet"/>
      <w:lvlText w:val="●"/>
      <w:lvlJc w:val="left"/>
      <w:pPr>
        <w:ind w:left="3601" w:hanging="245"/>
      </w:pPr>
      <w:rPr>
        <w:rFonts w:ascii="Noto Sans Symbols" w:hAnsi="Noto Sans Symbols" w:eastAsia="Noto Sans Symbols" w:cs="Noto Sans Symbols"/>
        <w:vertAlign w:val="baseline"/>
      </w:rPr>
    </w:lvl>
    <w:lvl w:ilvl="5" w:tentative="0">
      <w:start w:val="1"/>
      <w:numFmt w:val="bullet"/>
      <w:lvlText w:val="●"/>
      <w:lvlJc w:val="left"/>
      <w:pPr>
        <w:ind w:left="4412" w:hanging="245"/>
      </w:pPr>
      <w:rPr>
        <w:rFonts w:ascii="Noto Sans Symbols" w:hAnsi="Noto Sans Symbols" w:eastAsia="Noto Sans Symbols" w:cs="Noto Sans Symbols"/>
        <w:vertAlign w:val="baseline"/>
      </w:rPr>
    </w:lvl>
    <w:lvl w:ilvl="6" w:tentative="0">
      <w:start w:val="1"/>
      <w:numFmt w:val="bullet"/>
      <w:lvlText w:val="●"/>
      <w:lvlJc w:val="left"/>
      <w:pPr>
        <w:ind w:left="5222" w:hanging="245"/>
      </w:pPr>
      <w:rPr>
        <w:rFonts w:ascii="Noto Sans Symbols" w:hAnsi="Noto Sans Symbols" w:eastAsia="Noto Sans Symbols" w:cs="Noto Sans Symbols"/>
        <w:vertAlign w:val="baseline"/>
      </w:rPr>
    </w:lvl>
    <w:lvl w:ilvl="7" w:tentative="0">
      <w:start w:val="1"/>
      <w:numFmt w:val="bullet"/>
      <w:lvlText w:val="●"/>
      <w:lvlJc w:val="left"/>
      <w:pPr>
        <w:ind w:left="6032" w:hanging="245"/>
      </w:pPr>
      <w:rPr>
        <w:rFonts w:ascii="Noto Sans Symbols" w:hAnsi="Noto Sans Symbols" w:eastAsia="Noto Sans Symbols" w:cs="Noto Sans Symbols"/>
        <w:vertAlign w:val="baseline"/>
      </w:rPr>
    </w:lvl>
    <w:lvl w:ilvl="8" w:tentative="0">
      <w:start w:val="1"/>
      <w:numFmt w:val="bullet"/>
      <w:lvlText w:val="●"/>
      <w:lvlJc w:val="left"/>
      <w:pPr>
        <w:ind w:left="6843" w:hanging="245"/>
      </w:pPr>
      <w:rPr>
        <w:rFonts w:ascii="Noto Sans Symbols" w:hAnsi="Noto Sans Symbols" w:eastAsia="Noto Sans Symbols" w:cs="Noto Sans Symbols"/>
        <w:vertAlign w:val="baseline"/>
      </w:rPr>
    </w:lvl>
  </w:abstractNum>
  <w:abstractNum w:abstractNumId="40">
    <w:nsid w:val="2AF40A03"/>
    <w:multiLevelType w:val="multilevel"/>
    <w:tmpl w:val="2AF40A03"/>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41">
    <w:nsid w:val="2B7C6BB6"/>
    <w:multiLevelType w:val="multilevel"/>
    <w:tmpl w:val="2B7C6BB6"/>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42">
    <w:nsid w:val="2E0063F0"/>
    <w:multiLevelType w:val="multilevel"/>
    <w:tmpl w:val="2E0063F0"/>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43">
    <w:nsid w:val="2EE55619"/>
    <w:multiLevelType w:val="multilevel"/>
    <w:tmpl w:val="2EE55619"/>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44">
    <w:nsid w:val="2F6B58B4"/>
    <w:multiLevelType w:val="multilevel"/>
    <w:tmpl w:val="2F6B58B4"/>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45">
    <w:nsid w:val="2FFB785F"/>
    <w:multiLevelType w:val="multilevel"/>
    <w:tmpl w:val="2FFB785F"/>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46">
    <w:nsid w:val="30D0458E"/>
    <w:multiLevelType w:val="multilevel"/>
    <w:tmpl w:val="30D0458E"/>
    <w:lvl w:ilvl="0" w:tentative="0">
      <w:start w:val="1"/>
      <w:numFmt w:val="bullet"/>
      <w:lvlText w:val="●"/>
      <w:lvlJc w:val="left"/>
      <w:pPr>
        <w:ind w:left="111" w:hanging="360"/>
      </w:pPr>
      <w:rPr>
        <w:rFonts w:ascii="Noto Sans Symbols" w:hAnsi="Noto Sans Symbols" w:eastAsia="Noto Sans Symbols" w:cs="Noto Sans Symbols"/>
        <w:vertAlign w:val="baseline"/>
      </w:rPr>
    </w:lvl>
    <w:lvl w:ilvl="1" w:tentative="0">
      <w:start w:val="1"/>
      <w:numFmt w:val="bullet"/>
      <w:lvlText w:val="●"/>
      <w:lvlJc w:val="left"/>
      <w:pPr>
        <w:ind w:left="954" w:hanging="360"/>
      </w:pPr>
      <w:rPr>
        <w:rFonts w:ascii="Noto Sans Symbols" w:hAnsi="Noto Sans Symbols" w:eastAsia="Noto Sans Symbols" w:cs="Noto Sans Symbols"/>
        <w:vertAlign w:val="baseline"/>
      </w:rPr>
    </w:lvl>
    <w:lvl w:ilvl="2" w:tentative="0">
      <w:start w:val="1"/>
      <w:numFmt w:val="bullet"/>
      <w:lvlText w:val="●"/>
      <w:lvlJc w:val="left"/>
      <w:pPr>
        <w:ind w:left="1788" w:hanging="360"/>
      </w:pPr>
      <w:rPr>
        <w:rFonts w:ascii="Noto Sans Symbols" w:hAnsi="Noto Sans Symbols" w:eastAsia="Noto Sans Symbols" w:cs="Noto Sans Symbols"/>
        <w:vertAlign w:val="baseline"/>
      </w:rPr>
    </w:lvl>
    <w:lvl w:ilvl="3" w:tentative="0">
      <w:start w:val="1"/>
      <w:numFmt w:val="bullet"/>
      <w:lvlText w:val="●"/>
      <w:lvlJc w:val="left"/>
      <w:pPr>
        <w:ind w:left="2623" w:hanging="360"/>
      </w:pPr>
      <w:rPr>
        <w:rFonts w:ascii="Noto Sans Symbols" w:hAnsi="Noto Sans Symbols" w:eastAsia="Noto Sans Symbols" w:cs="Noto Sans Symbols"/>
        <w:vertAlign w:val="baseline"/>
      </w:rPr>
    </w:lvl>
    <w:lvl w:ilvl="4" w:tentative="0">
      <w:start w:val="1"/>
      <w:numFmt w:val="bullet"/>
      <w:lvlText w:val="●"/>
      <w:lvlJc w:val="left"/>
      <w:pPr>
        <w:ind w:left="3457" w:hanging="360"/>
      </w:pPr>
      <w:rPr>
        <w:rFonts w:ascii="Noto Sans Symbols" w:hAnsi="Noto Sans Symbols" w:eastAsia="Noto Sans Symbols" w:cs="Noto Sans Symbols"/>
        <w:vertAlign w:val="baseline"/>
      </w:rPr>
    </w:lvl>
    <w:lvl w:ilvl="5" w:tentative="0">
      <w:start w:val="1"/>
      <w:numFmt w:val="bullet"/>
      <w:lvlText w:val="●"/>
      <w:lvlJc w:val="left"/>
      <w:pPr>
        <w:ind w:left="4292" w:hanging="360"/>
      </w:pPr>
      <w:rPr>
        <w:rFonts w:ascii="Noto Sans Symbols" w:hAnsi="Noto Sans Symbols" w:eastAsia="Noto Sans Symbols" w:cs="Noto Sans Symbols"/>
        <w:vertAlign w:val="baseline"/>
      </w:rPr>
    </w:lvl>
    <w:lvl w:ilvl="6" w:tentative="0">
      <w:start w:val="1"/>
      <w:numFmt w:val="bullet"/>
      <w:lvlText w:val="●"/>
      <w:lvlJc w:val="left"/>
      <w:pPr>
        <w:ind w:left="5126" w:hanging="360"/>
      </w:pPr>
      <w:rPr>
        <w:rFonts w:ascii="Noto Sans Symbols" w:hAnsi="Noto Sans Symbols" w:eastAsia="Noto Sans Symbols" w:cs="Noto Sans Symbols"/>
        <w:vertAlign w:val="baseline"/>
      </w:rPr>
    </w:lvl>
    <w:lvl w:ilvl="7" w:tentative="0">
      <w:start w:val="1"/>
      <w:numFmt w:val="bullet"/>
      <w:lvlText w:val="●"/>
      <w:lvlJc w:val="left"/>
      <w:pPr>
        <w:ind w:left="5960" w:hanging="360"/>
      </w:pPr>
      <w:rPr>
        <w:rFonts w:ascii="Noto Sans Symbols" w:hAnsi="Noto Sans Symbols" w:eastAsia="Noto Sans Symbols" w:cs="Noto Sans Symbols"/>
        <w:vertAlign w:val="baseline"/>
      </w:rPr>
    </w:lvl>
    <w:lvl w:ilvl="8" w:tentative="0">
      <w:start w:val="1"/>
      <w:numFmt w:val="bullet"/>
      <w:lvlText w:val="●"/>
      <w:lvlJc w:val="left"/>
      <w:pPr>
        <w:ind w:left="6795" w:hanging="360"/>
      </w:pPr>
      <w:rPr>
        <w:rFonts w:ascii="Noto Sans Symbols" w:hAnsi="Noto Sans Symbols" w:eastAsia="Noto Sans Symbols" w:cs="Noto Sans Symbols"/>
        <w:vertAlign w:val="baseline"/>
      </w:rPr>
    </w:lvl>
  </w:abstractNum>
  <w:abstractNum w:abstractNumId="47">
    <w:nsid w:val="33881F62"/>
    <w:multiLevelType w:val="multilevel"/>
    <w:tmpl w:val="33881F62"/>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48">
    <w:nsid w:val="34776D36"/>
    <w:multiLevelType w:val="multilevel"/>
    <w:tmpl w:val="34776D36"/>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49">
    <w:nsid w:val="36B57303"/>
    <w:multiLevelType w:val="multilevel"/>
    <w:tmpl w:val="36B57303"/>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50">
    <w:nsid w:val="36E06EDC"/>
    <w:multiLevelType w:val="multilevel"/>
    <w:tmpl w:val="36E06EDC"/>
    <w:lvl w:ilvl="0" w:tentative="0">
      <w:start w:val="1"/>
      <w:numFmt w:val="decimal"/>
      <w:lvlText w:val="%1"/>
      <w:lvlJc w:val="left"/>
      <w:pPr>
        <w:ind w:left="356" w:hanging="245"/>
      </w:pPr>
      <w:rPr>
        <w:sz w:val="24"/>
        <w:szCs w:val="24"/>
        <w:vertAlign w:val="baseline"/>
      </w:rPr>
    </w:lvl>
    <w:lvl w:ilvl="1" w:tentative="0">
      <w:start w:val="1"/>
      <w:numFmt w:val="bullet"/>
      <w:lvlText w:val="●"/>
      <w:lvlJc w:val="left"/>
      <w:pPr>
        <w:ind w:left="1191" w:hanging="245"/>
      </w:pPr>
      <w:rPr>
        <w:rFonts w:ascii="Noto Sans Symbols" w:hAnsi="Noto Sans Symbols" w:eastAsia="Noto Sans Symbols" w:cs="Noto Sans Symbols"/>
        <w:vertAlign w:val="baseline"/>
      </w:rPr>
    </w:lvl>
    <w:lvl w:ilvl="2" w:tentative="0">
      <w:start w:val="1"/>
      <w:numFmt w:val="bullet"/>
      <w:lvlText w:val="●"/>
      <w:lvlJc w:val="left"/>
      <w:pPr>
        <w:ind w:left="2023" w:hanging="245"/>
      </w:pPr>
      <w:rPr>
        <w:rFonts w:ascii="Noto Sans Symbols" w:hAnsi="Noto Sans Symbols" w:eastAsia="Noto Sans Symbols" w:cs="Noto Sans Symbols"/>
        <w:vertAlign w:val="baseline"/>
      </w:rPr>
    </w:lvl>
    <w:lvl w:ilvl="3" w:tentative="0">
      <w:start w:val="1"/>
      <w:numFmt w:val="bullet"/>
      <w:lvlText w:val="●"/>
      <w:lvlJc w:val="left"/>
      <w:pPr>
        <w:ind w:left="2854" w:hanging="245"/>
      </w:pPr>
      <w:rPr>
        <w:rFonts w:ascii="Noto Sans Symbols" w:hAnsi="Noto Sans Symbols" w:eastAsia="Noto Sans Symbols" w:cs="Noto Sans Symbols"/>
        <w:vertAlign w:val="baseline"/>
      </w:rPr>
    </w:lvl>
    <w:lvl w:ilvl="4" w:tentative="0">
      <w:start w:val="1"/>
      <w:numFmt w:val="bullet"/>
      <w:lvlText w:val="●"/>
      <w:lvlJc w:val="left"/>
      <w:pPr>
        <w:ind w:left="3686" w:hanging="245"/>
      </w:pPr>
      <w:rPr>
        <w:rFonts w:ascii="Noto Sans Symbols" w:hAnsi="Noto Sans Symbols" w:eastAsia="Noto Sans Symbols" w:cs="Noto Sans Symbols"/>
        <w:vertAlign w:val="baseline"/>
      </w:rPr>
    </w:lvl>
    <w:lvl w:ilvl="5" w:tentative="0">
      <w:start w:val="1"/>
      <w:numFmt w:val="bullet"/>
      <w:lvlText w:val="●"/>
      <w:lvlJc w:val="left"/>
      <w:pPr>
        <w:ind w:left="4518" w:hanging="245"/>
      </w:pPr>
      <w:rPr>
        <w:rFonts w:ascii="Noto Sans Symbols" w:hAnsi="Noto Sans Symbols" w:eastAsia="Noto Sans Symbols" w:cs="Noto Sans Symbols"/>
        <w:vertAlign w:val="baseline"/>
      </w:rPr>
    </w:lvl>
    <w:lvl w:ilvl="6" w:tentative="0">
      <w:start w:val="1"/>
      <w:numFmt w:val="bullet"/>
      <w:lvlText w:val="●"/>
      <w:lvlJc w:val="left"/>
      <w:pPr>
        <w:ind w:left="5349" w:hanging="245"/>
      </w:pPr>
      <w:rPr>
        <w:rFonts w:ascii="Noto Sans Symbols" w:hAnsi="Noto Sans Symbols" w:eastAsia="Noto Sans Symbols" w:cs="Noto Sans Symbols"/>
        <w:vertAlign w:val="baseline"/>
      </w:rPr>
    </w:lvl>
    <w:lvl w:ilvl="7" w:tentative="0">
      <w:start w:val="1"/>
      <w:numFmt w:val="bullet"/>
      <w:lvlText w:val="●"/>
      <w:lvlJc w:val="left"/>
      <w:pPr>
        <w:ind w:left="6181" w:hanging="245"/>
      </w:pPr>
      <w:rPr>
        <w:rFonts w:ascii="Noto Sans Symbols" w:hAnsi="Noto Sans Symbols" w:eastAsia="Noto Sans Symbols" w:cs="Noto Sans Symbols"/>
        <w:vertAlign w:val="baseline"/>
      </w:rPr>
    </w:lvl>
    <w:lvl w:ilvl="8" w:tentative="0">
      <w:start w:val="1"/>
      <w:numFmt w:val="bullet"/>
      <w:lvlText w:val="●"/>
      <w:lvlJc w:val="left"/>
      <w:pPr>
        <w:ind w:left="7012" w:hanging="245"/>
      </w:pPr>
      <w:rPr>
        <w:rFonts w:ascii="Noto Sans Symbols" w:hAnsi="Noto Sans Symbols" w:eastAsia="Noto Sans Symbols" w:cs="Noto Sans Symbols"/>
        <w:vertAlign w:val="baseline"/>
      </w:rPr>
    </w:lvl>
  </w:abstractNum>
  <w:abstractNum w:abstractNumId="51">
    <w:nsid w:val="375A3FE5"/>
    <w:multiLevelType w:val="multilevel"/>
    <w:tmpl w:val="375A3FE5"/>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52">
    <w:nsid w:val="381E2203"/>
    <w:multiLevelType w:val="multilevel"/>
    <w:tmpl w:val="381E2203"/>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53">
    <w:nsid w:val="39AB0B6E"/>
    <w:multiLevelType w:val="multilevel"/>
    <w:tmpl w:val="39AB0B6E"/>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54">
    <w:nsid w:val="3A5B65E8"/>
    <w:multiLevelType w:val="multilevel"/>
    <w:tmpl w:val="3A5B65E8"/>
    <w:lvl w:ilvl="0" w:tentative="0">
      <w:start w:val="1"/>
      <w:numFmt w:val="decimal"/>
      <w:lvlText w:val="%1"/>
      <w:lvlJc w:val="left"/>
      <w:pPr>
        <w:ind w:left="375" w:hanging="264"/>
      </w:pPr>
      <w:rPr>
        <w:sz w:val="24"/>
        <w:szCs w:val="24"/>
        <w:vertAlign w:val="baseline"/>
      </w:rPr>
    </w:lvl>
    <w:lvl w:ilvl="1" w:tentative="0">
      <w:start w:val="1"/>
      <w:numFmt w:val="bullet"/>
      <w:lvlText w:val="●"/>
      <w:lvlJc w:val="left"/>
      <w:pPr>
        <w:ind w:left="1202" w:hanging="263"/>
      </w:pPr>
      <w:rPr>
        <w:rFonts w:ascii="Noto Sans Symbols" w:hAnsi="Noto Sans Symbols" w:eastAsia="Noto Sans Symbols" w:cs="Noto Sans Symbols"/>
        <w:vertAlign w:val="baseline"/>
      </w:rPr>
    </w:lvl>
    <w:lvl w:ilvl="2" w:tentative="0">
      <w:start w:val="1"/>
      <w:numFmt w:val="bullet"/>
      <w:lvlText w:val="●"/>
      <w:lvlJc w:val="left"/>
      <w:pPr>
        <w:ind w:left="2025" w:hanging="264"/>
      </w:pPr>
      <w:rPr>
        <w:rFonts w:ascii="Noto Sans Symbols" w:hAnsi="Noto Sans Symbols" w:eastAsia="Noto Sans Symbols" w:cs="Noto Sans Symbols"/>
        <w:vertAlign w:val="baseline"/>
      </w:rPr>
    </w:lvl>
    <w:lvl w:ilvl="3" w:tentative="0">
      <w:start w:val="1"/>
      <w:numFmt w:val="bullet"/>
      <w:lvlText w:val="●"/>
      <w:lvlJc w:val="left"/>
      <w:pPr>
        <w:ind w:left="2848" w:hanging="263"/>
      </w:pPr>
      <w:rPr>
        <w:rFonts w:ascii="Noto Sans Symbols" w:hAnsi="Noto Sans Symbols" w:eastAsia="Noto Sans Symbols" w:cs="Noto Sans Symbols"/>
        <w:vertAlign w:val="baseline"/>
      </w:rPr>
    </w:lvl>
    <w:lvl w:ilvl="4" w:tentative="0">
      <w:start w:val="1"/>
      <w:numFmt w:val="bullet"/>
      <w:lvlText w:val="●"/>
      <w:lvlJc w:val="left"/>
      <w:pPr>
        <w:ind w:left="3671" w:hanging="263"/>
      </w:pPr>
      <w:rPr>
        <w:rFonts w:ascii="Noto Sans Symbols" w:hAnsi="Noto Sans Symbols" w:eastAsia="Noto Sans Symbols" w:cs="Noto Sans Symbols"/>
        <w:vertAlign w:val="baseline"/>
      </w:rPr>
    </w:lvl>
    <w:lvl w:ilvl="5" w:tentative="0">
      <w:start w:val="1"/>
      <w:numFmt w:val="bullet"/>
      <w:lvlText w:val="●"/>
      <w:lvlJc w:val="left"/>
      <w:pPr>
        <w:ind w:left="4494" w:hanging="264"/>
      </w:pPr>
      <w:rPr>
        <w:rFonts w:ascii="Noto Sans Symbols" w:hAnsi="Noto Sans Symbols" w:eastAsia="Noto Sans Symbols" w:cs="Noto Sans Symbols"/>
        <w:vertAlign w:val="baseline"/>
      </w:rPr>
    </w:lvl>
    <w:lvl w:ilvl="6" w:tentative="0">
      <w:start w:val="1"/>
      <w:numFmt w:val="bullet"/>
      <w:lvlText w:val="●"/>
      <w:lvlJc w:val="left"/>
      <w:pPr>
        <w:ind w:left="5317" w:hanging="263"/>
      </w:pPr>
      <w:rPr>
        <w:rFonts w:ascii="Noto Sans Symbols" w:hAnsi="Noto Sans Symbols" w:eastAsia="Noto Sans Symbols" w:cs="Noto Sans Symbols"/>
        <w:vertAlign w:val="baseline"/>
      </w:rPr>
    </w:lvl>
    <w:lvl w:ilvl="7" w:tentative="0">
      <w:start w:val="1"/>
      <w:numFmt w:val="bullet"/>
      <w:lvlText w:val="●"/>
      <w:lvlJc w:val="left"/>
      <w:pPr>
        <w:ind w:left="6140" w:hanging="264"/>
      </w:pPr>
      <w:rPr>
        <w:rFonts w:ascii="Noto Sans Symbols" w:hAnsi="Noto Sans Symbols" w:eastAsia="Noto Sans Symbols" w:cs="Noto Sans Symbols"/>
        <w:vertAlign w:val="baseline"/>
      </w:rPr>
    </w:lvl>
    <w:lvl w:ilvl="8" w:tentative="0">
      <w:start w:val="1"/>
      <w:numFmt w:val="bullet"/>
      <w:lvlText w:val="●"/>
      <w:lvlJc w:val="left"/>
      <w:pPr>
        <w:ind w:left="6963" w:hanging="264"/>
      </w:pPr>
      <w:rPr>
        <w:rFonts w:ascii="Noto Sans Symbols" w:hAnsi="Noto Sans Symbols" w:eastAsia="Noto Sans Symbols" w:cs="Noto Sans Symbols"/>
        <w:vertAlign w:val="baseline"/>
      </w:rPr>
    </w:lvl>
  </w:abstractNum>
  <w:abstractNum w:abstractNumId="55">
    <w:nsid w:val="3AF87AB8"/>
    <w:multiLevelType w:val="multilevel"/>
    <w:tmpl w:val="3AF87AB8"/>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56">
    <w:nsid w:val="3BF866BD"/>
    <w:multiLevelType w:val="multilevel"/>
    <w:tmpl w:val="3BF866BD"/>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57">
    <w:nsid w:val="3D0068B8"/>
    <w:multiLevelType w:val="multilevel"/>
    <w:tmpl w:val="3D0068B8"/>
    <w:lvl w:ilvl="0" w:tentative="0">
      <w:start w:val="1"/>
      <w:numFmt w:val="decimal"/>
      <w:lvlText w:val="%1"/>
      <w:lvlJc w:val="left"/>
      <w:pPr>
        <w:ind w:left="356" w:hanging="245"/>
      </w:pPr>
      <w:rPr>
        <w:sz w:val="24"/>
        <w:szCs w:val="24"/>
        <w:vertAlign w:val="baseline"/>
      </w:rPr>
    </w:lvl>
    <w:lvl w:ilvl="1" w:tentative="0">
      <w:start w:val="1"/>
      <w:numFmt w:val="decimal"/>
      <w:lvlText w:val="%1.%2"/>
      <w:lvlJc w:val="left"/>
      <w:pPr>
        <w:ind w:left="534" w:hanging="422"/>
      </w:pPr>
      <w:rPr>
        <w:sz w:val="24"/>
        <w:szCs w:val="24"/>
        <w:vertAlign w:val="baseline"/>
      </w:rPr>
    </w:lvl>
    <w:lvl w:ilvl="2" w:tentative="0">
      <w:start w:val="1"/>
      <w:numFmt w:val="bullet"/>
      <w:lvlText w:val="●"/>
      <w:lvlJc w:val="left"/>
      <w:pPr>
        <w:ind w:left="1443" w:hanging="421"/>
      </w:pPr>
      <w:rPr>
        <w:rFonts w:ascii="Noto Sans Symbols" w:hAnsi="Noto Sans Symbols" w:eastAsia="Noto Sans Symbols" w:cs="Noto Sans Symbols"/>
        <w:vertAlign w:val="baseline"/>
      </w:rPr>
    </w:lvl>
    <w:lvl w:ilvl="3" w:tentative="0">
      <w:start w:val="1"/>
      <w:numFmt w:val="bullet"/>
      <w:lvlText w:val="●"/>
      <w:lvlJc w:val="left"/>
      <w:pPr>
        <w:ind w:left="2347" w:hanging="422"/>
      </w:pPr>
      <w:rPr>
        <w:rFonts w:ascii="Noto Sans Symbols" w:hAnsi="Noto Sans Symbols" w:eastAsia="Noto Sans Symbols" w:cs="Noto Sans Symbols"/>
        <w:vertAlign w:val="baseline"/>
      </w:rPr>
    </w:lvl>
    <w:lvl w:ilvl="4" w:tentative="0">
      <w:start w:val="1"/>
      <w:numFmt w:val="bullet"/>
      <w:lvlText w:val="●"/>
      <w:lvlJc w:val="left"/>
      <w:pPr>
        <w:ind w:left="3250" w:hanging="422"/>
      </w:pPr>
      <w:rPr>
        <w:rFonts w:ascii="Noto Sans Symbols" w:hAnsi="Noto Sans Symbols" w:eastAsia="Noto Sans Symbols" w:cs="Noto Sans Symbols"/>
        <w:vertAlign w:val="baseline"/>
      </w:rPr>
    </w:lvl>
    <w:lvl w:ilvl="5" w:tentative="0">
      <w:start w:val="1"/>
      <w:numFmt w:val="bullet"/>
      <w:lvlText w:val="●"/>
      <w:lvlJc w:val="left"/>
      <w:pPr>
        <w:ind w:left="4154" w:hanging="422"/>
      </w:pPr>
      <w:rPr>
        <w:rFonts w:ascii="Noto Sans Symbols" w:hAnsi="Noto Sans Symbols" w:eastAsia="Noto Sans Symbols" w:cs="Noto Sans Symbols"/>
        <w:vertAlign w:val="baseline"/>
      </w:rPr>
    </w:lvl>
    <w:lvl w:ilvl="6" w:tentative="0">
      <w:start w:val="1"/>
      <w:numFmt w:val="bullet"/>
      <w:lvlText w:val="●"/>
      <w:lvlJc w:val="left"/>
      <w:pPr>
        <w:ind w:left="5057" w:hanging="422"/>
      </w:pPr>
      <w:rPr>
        <w:rFonts w:ascii="Noto Sans Symbols" w:hAnsi="Noto Sans Symbols" w:eastAsia="Noto Sans Symbols" w:cs="Noto Sans Symbols"/>
        <w:vertAlign w:val="baseline"/>
      </w:rPr>
    </w:lvl>
    <w:lvl w:ilvl="7" w:tentative="0">
      <w:start w:val="1"/>
      <w:numFmt w:val="bullet"/>
      <w:lvlText w:val="●"/>
      <w:lvlJc w:val="left"/>
      <w:pPr>
        <w:ind w:left="5961" w:hanging="422"/>
      </w:pPr>
      <w:rPr>
        <w:rFonts w:ascii="Noto Sans Symbols" w:hAnsi="Noto Sans Symbols" w:eastAsia="Noto Sans Symbols" w:cs="Noto Sans Symbols"/>
        <w:vertAlign w:val="baseline"/>
      </w:rPr>
    </w:lvl>
    <w:lvl w:ilvl="8" w:tentative="0">
      <w:start w:val="1"/>
      <w:numFmt w:val="bullet"/>
      <w:lvlText w:val="●"/>
      <w:lvlJc w:val="left"/>
      <w:pPr>
        <w:ind w:left="6864" w:hanging="422"/>
      </w:pPr>
      <w:rPr>
        <w:rFonts w:ascii="Noto Sans Symbols" w:hAnsi="Noto Sans Symbols" w:eastAsia="Noto Sans Symbols" w:cs="Noto Sans Symbols"/>
        <w:vertAlign w:val="baseline"/>
      </w:rPr>
    </w:lvl>
  </w:abstractNum>
  <w:abstractNum w:abstractNumId="58">
    <w:nsid w:val="3E9526C9"/>
    <w:multiLevelType w:val="multilevel"/>
    <w:tmpl w:val="3E9526C9"/>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59">
    <w:nsid w:val="3EEC1C89"/>
    <w:multiLevelType w:val="multilevel"/>
    <w:tmpl w:val="3EEC1C89"/>
    <w:lvl w:ilvl="0" w:tentative="0">
      <w:start w:val="2"/>
      <w:numFmt w:val="decimal"/>
      <w:lvlText w:val="%1"/>
      <w:lvlJc w:val="left"/>
      <w:pPr>
        <w:ind w:left="1192" w:hanging="361"/>
      </w:pPr>
      <w:rPr>
        <w:sz w:val="24"/>
        <w:szCs w:val="24"/>
        <w:vertAlign w:val="baseline"/>
      </w:rPr>
    </w:lvl>
    <w:lvl w:ilvl="1" w:tentative="0">
      <w:start w:val="1"/>
      <w:numFmt w:val="decimal"/>
      <w:lvlText w:val="%1.%2"/>
      <w:lvlJc w:val="left"/>
      <w:pPr>
        <w:ind w:left="1614" w:hanging="422"/>
      </w:pPr>
      <w:rPr>
        <w:sz w:val="24"/>
        <w:szCs w:val="24"/>
        <w:vertAlign w:val="baseline"/>
      </w:rPr>
    </w:lvl>
    <w:lvl w:ilvl="2" w:tentative="0">
      <w:start w:val="1"/>
      <w:numFmt w:val="bullet"/>
      <w:lvlText w:val="●"/>
      <w:lvlJc w:val="left"/>
      <w:pPr>
        <w:ind w:left="2403" w:hanging="421"/>
      </w:pPr>
      <w:rPr>
        <w:rFonts w:ascii="Noto Sans Symbols" w:hAnsi="Noto Sans Symbols" w:eastAsia="Noto Sans Symbols" w:cs="Noto Sans Symbols"/>
        <w:vertAlign w:val="baseline"/>
      </w:rPr>
    </w:lvl>
    <w:lvl w:ilvl="3" w:tentative="0">
      <w:start w:val="1"/>
      <w:numFmt w:val="bullet"/>
      <w:lvlText w:val="●"/>
      <w:lvlJc w:val="left"/>
      <w:pPr>
        <w:ind w:left="3187" w:hanging="422"/>
      </w:pPr>
      <w:rPr>
        <w:rFonts w:ascii="Noto Sans Symbols" w:hAnsi="Noto Sans Symbols" w:eastAsia="Noto Sans Symbols" w:cs="Noto Sans Symbols"/>
        <w:vertAlign w:val="baseline"/>
      </w:rPr>
    </w:lvl>
    <w:lvl w:ilvl="4" w:tentative="0">
      <w:start w:val="1"/>
      <w:numFmt w:val="bullet"/>
      <w:lvlText w:val="●"/>
      <w:lvlJc w:val="left"/>
      <w:pPr>
        <w:ind w:left="3971" w:hanging="421"/>
      </w:pPr>
      <w:rPr>
        <w:rFonts w:ascii="Noto Sans Symbols" w:hAnsi="Noto Sans Symbols" w:eastAsia="Noto Sans Symbols" w:cs="Noto Sans Symbols"/>
        <w:vertAlign w:val="baseline"/>
      </w:rPr>
    </w:lvl>
    <w:lvl w:ilvl="5" w:tentative="0">
      <w:start w:val="1"/>
      <w:numFmt w:val="bullet"/>
      <w:lvlText w:val="●"/>
      <w:lvlJc w:val="left"/>
      <w:pPr>
        <w:ind w:left="4755" w:hanging="422"/>
      </w:pPr>
      <w:rPr>
        <w:rFonts w:ascii="Noto Sans Symbols" w:hAnsi="Noto Sans Symbols" w:eastAsia="Noto Sans Symbols" w:cs="Noto Sans Symbols"/>
        <w:vertAlign w:val="baseline"/>
      </w:rPr>
    </w:lvl>
    <w:lvl w:ilvl="6" w:tentative="0">
      <w:start w:val="1"/>
      <w:numFmt w:val="bullet"/>
      <w:lvlText w:val="●"/>
      <w:lvlJc w:val="left"/>
      <w:pPr>
        <w:ind w:left="5539" w:hanging="422"/>
      </w:pPr>
      <w:rPr>
        <w:rFonts w:ascii="Noto Sans Symbols" w:hAnsi="Noto Sans Symbols" w:eastAsia="Noto Sans Symbols" w:cs="Noto Sans Symbols"/>
        <w:vertAlign w:val="baseline"/>
      </w:rPr>
    </w:lvl>
    <w:lvl w:ilvl="7" w:tentative="0">
      <w:start w:val="1"/>
      <w:numFmt w:val="bullet"/>
      <w:lvlText w:val="●"/>
      <w:lvlJc w:val="left"/>
      <w:pPr>
        <w:ind w:left="6323" w:hanging="422"/>
      </w:pPr>
      <w:rPr>
        <w:rFonts w:ascii="Noto Sans Symbols" w:hAnsi="Noto Sans Symbols" w:eastAsia="Noto Sans Symbols" w:cs="Noto Sans Symbols"/>
        <w:vertAlign w:val="baseline"/>
      </w:rPr>
    </w:lvl>
    <w:lvl w:ilvl="8" w:tentative="0">
      <w:start w:val="1"/>
      <w:numFmt w:val="bullet"/>
      <w:lvlText w:val="●"/>
      <w:lvlJc w:val="left"/>
      <w:pPr>
        <w:ind w:left="7107" w:hanging="422"/>
      </w:pPr>
      <w:rPr>
        <w:rFonts w:ascii="Noto Sans Symbols" w:hAnsi="Noto Sans Symbols" w:eastAsia="Noto Sans Symbols" w:cs="Noto Sans Symbols"/>
        <w:vertAlign w:val="baseline"/>
      </w:rPr>
    </w:lvl>
  </w:abstractNum>
  <w:abstractNum w:abstractNumId="60">
    <w:nsid w:val="4160524D"/>
    <w:multiLevelType w:val="multilevel"/>
    <w:tmpl w:val="4160524D"/>
    <w:lvl w:ilvl="0" w:tentative="0">
      <w:start w:val="1"/>
      <w:numFmt w:val="decimal"/>
      <w:lvlText w:val="%1"/>
      <w:lvlJc w:val="left"/>
      <w:pPr>
        <w:ind w:left="111" w:hanging="317"/>
      </w:pPr>
      <w:rPr>
        <w:sz w:val="24"/>
        <w:szCs w:val="24"/>
        <w:vertAlign w:val="baseline"/>
      </w:rPr>
    </w:lvl>
    <w:lvl w:ilvl="1" w:tentative="0">
      <w:start w:val="1"/>
      <w:numFmt w:val="bullet"/>
      <w:lvlText w:val="●"/>
      <w:lvlJc w:val="left"/>
      <w:pPr>
        <w:ind w:left="975" w:hanging="317"/>
      </w:pPr>
      <w:rPr>
        <w:rFonts w:ascii="Noto Sans Symbols" w:hAnsi="Noto Sans Symbols" w:eastAsia="Noto Sans Symbols" w:cs="Noto Sans Symbols"/>
        <w:vertAlign w:val="baseline"/>
      </w:rPr>
    </w:lvl>
    <w:lvl w:ilvl="2" w:tentative="0">
      <w:start w:val="1"/>
      <w:numFmt w:val="bullet"/>
      <w:lvlText w:val="●"/>
      <w:lvlJc w:val="left"/>
      <w:pPr>
        <w:ind w:left="1831" w:hanging="317"/>
      </w:pPr>
      <w:rPr>
        <w:rFonts w:ascii="Noto Sans Symbols" w:hAnsi="Noto Sans Symbols" w:eastAsia="Noto Sans Symbols" w:cs="Noto Sans Symbols"/>
        <w:vertAlign w:val="baseline"/>
      </w:rPr>
    </w:lvl>
    <w:lvl w:ilvl="3" w:tentative="0">
      <w:start w:val="1"/>
      <w:numFmt w:val="bullet"/>
      <w:lvlText w:val="●"/>
      <w:lvlJc w:val="left"/>
      <w:pPr>
        <w:ind w:left="2686" w:hanging="316"/>
      </w:pPr>
      <w:rPr>
        <w:rFonts w:ascii="Noto Sans Symbols" w:hAnsi="Noto Sans Symbols" w:eastAsia="Noto Sans Symbols" w:cs="Noto Sans Symbols"/>
        <w:vertAlign w:val="baseline"/>
      </w:rPr>
    </w:lvl>
    <w:lvl w:ilvl="4" w:tentative="0">
      <w:start w:val="1"/>
      <w:numFmt w:val="bullet"/>
      <w:lvlText w:val="●"/>
      <w:lvlJc w:val="left"/>
      <w:pPr>
        <w:ind w:left="3542" w:hanging="317"/>
      </w:pPr>
      <w:rPr>
        <w:rFonts w:ascii="Noto Sans Symbols" w:hAnsi="Noto Sans Symbols" w:eastAsia="Noto Sans Symbols" w:cs="Noto Sans Symbols"/>
        <w:vertAlign w:val="baseline"/>
      </w:rPr>
    </w:lvl>
    <w:lvl w:ilvl="5" w:tentative="0">
      <w:start w:val="1"/>
      <w:numFmt w:val="bullet"/>
      <w:lvlText w:val="●"/>
      <w:lvlJc w:val="left"/>
      <w:pPr>
        <w:ind w:left="4398" w:hanging="317"/>
      </w:pPr>
      <w:rPr>
        <w:rFonts w:ascii="Noto Sans Symbols" w:hAnsi="Noto Sans Symbols" w:eastAsia="Noto Sans Symbols" w:cs="Noto Sans Symbols"/>
        <w:vertAlign w:val="baseline"/>
      </w:rPr>
    </w:lvl>
    <w:lvl w:ilvl="6" w:tentative="0">
      <w:start w:val="1"/>
      <w:numFmt w:val="bullet"/>
      <w:lvlText w:val="●"/>
      <w:lvlJc w:val="left"/>
      <w:pPr>
        <w:ind w:left="5253" w:hanging="317"/>
      </w:pPr>
      <w:rPr>
        <w:rFonts w:ascii="Noto Sans Symbols" w:hAnsi="Noto Sans Symbols" w:eastAsia="Noto Sans Symbols" w:cs="Noto Sans Symbols"/>
        <w:vertAlign w:val="baseline"/>
      </w:rPr>
    </w:lvl>
    <w:lvl w:ilvl="7" w:tentative="0">
      <w:start w:val="1"/>
      <w:numFmt w:val="bullet"/>
      <w:lvlText w:val="●"/>
      <w:lvlJc w:val="left"/>
      <w:pPr>
        <w:ind w:left="6109" w:hanging="317"/>
      </w:pPr>
      <w:rPr>
        <w:rFonts w:ascii="Noto Sans Symbols" w:hAnsi="Noto Sans Symbols" w:eastAsia="Noto Sans Symbols" w:cs="Noto Sans Symbols"/>
        <w:vertAlign w:val="baseline"/>
      </w:rPr>
    </w:lvl>
    <w:lvl w:ilvl="8" w:tentative="0">
      <w:start w:val="1"/>
      <w:numFmt w:val="bullet"/>
      <w:lvlText w:val="●"/>
      <w:lvlJc w:val="left"/>
      <w:pPr>
        <w:ind w:left="6964" w:hanging="317"/>
      </w:pPr>
      <w:rPr>
        <w:rFonts w:ascii="Noto Sans Symbols" w:hAnsi="Noto Sans Symbols" w:eastAsia="Noto Sans Symbols" w:cs="Noto Sans Symbols"/>
        <w:vertAlign w:val="baseline"/>
      </w:rPr>
    </w:lvl>
  </w:abstractNum>
  <w:abstractNum w:abstractNumId="61">
    <w:nsid w:val="439F5AD1"/>
    <w:multiLevelType w:val="multilevel"/>
    <w:tmpl w:val="439F5AD1"/>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62">
    <w:nsid w:val="454C3D33"/>
    <w:multiLevelType w:val="multilevel"/>
    <w:tmpl w:val="454C3D33"/>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63">
    <w:nsid w:val="488F4F6D"/>
    <w:multiLevelType w:val="multilevel"/>
    <w:tmpl w:val="488F4F6D"/>
    <w:lvl w:ilvl="0" w:tentative="0">
      <w:start w:val="7"/>
      <w:numFmt w:val="upperRoman"/>
      <w:lvlText w:val="%1"/>
      <w:lvlJc w:val="left"/>
      <w:pPr>
        <w:ind w:left="510" w:hanging="399"/>
      </w:pPr>
      <w:rPr>
        <w:sz w:val="24"/>
        <w:szCs w:val="24"/>
        <w:vertAlign w:val="baseline"/>
      </w:rPr>
    </w:lvl>
    <w:lvl w:ilvl="1" w:tentative="0">
      <w:start w:val="1"/>
      <w:numFmt w:val="bullet"/>
      <w:lvlText w:val="●"/>
      <w:lvlJc w:val="left"/>
      <w:pPr>
        <w:ind w:left="1328" w:hanging="399"/>
      </w:pPr>
      <w:rPr>
        <w:rFonts w:ascii="Noto Sans Symbols" w:hAnsi="Noto Sans Symbols" w:eastAsia="Noto Sans Symbols" w:cs="Noto Sans Symbols"/>
        <w:vertAlign w:val="baseline"/>
      </w:rPr>
    </w:lvl>
    <w:lvl w:ilvl="2" w:tentative="0">
      <w:start w:val="1"/>
      <w:numFmt w:val="bullet"/>
      <w:lvlText w:val="●"/>
      <w:lvlJc w:val="left"/>
      <w:pPr>
        <w:ind w:left="2137" w:hanging="399"/>
      </w:pPr>
      <w:rPr>
        <w:rFonts w:ascii="Noto Sans Symbols" w:hAnsi="Noto Sans Symbols" w:eastAsia="Noto Sans Symbols" w:cs="Noto Sans Symbols"/>
        <w:vertAlign w:val="baseline"/>
      </w:rPr>
    </w:lvl>
    <w:lvl w:ilvl="3" w:tentative="0">
      <w:start w:val="1"/>
      <w:numFmt w:val="bullet"/>
      <w:lvlText w:val="●"/>
      <w:lvlJc w:val="left"/>
      <w:pPr>
        <w:ind w:left="2946" w:hanging="399"/>
      </w:pPr>
      <w:rPr>
        <w:rFonts w:ascii="Noto Sans Symbols" w:hAnsi="Noto Sans Symbols" w:eastAsia="Noto Sans Symbols" w:cs="Noto Sans Symbols"/>
        <w:vertAlign w:val="baseline"/>
      </w:rPr>
    </w:lvl>
    <w:lvl w:ilvl="4" w:tentative="0">
      <w:start w:val="1"/>
      <w:numFmt w:val="bullet"/>
      <w:lvlText w:val="●"/>
      <w:lvlJc w:val="left"/>
      <w:pPr>
        <w:ind w:left="3755" w:hanging="399"/>
      </w:pPr>
      <w:rPr>
        <w:rFonts w:ascii="Noto Sans Symbols" w:hAnsi="Noto Sans Symbols" w:eastAsia="Noto Sans Symbols" w:cs="Noto Sans Symbols"/>
        <w:vertAlign w:val="baseline"/>
      </w:rPr>
    </w:lvl>
    <w:lvl w:ilvl="5" w:tentative="0">
      <w:start w:val="1"/>
      <w:numFmt w:val="bullet"/>
      <w:lvlText w:val="●"/>
      <w:lvlJc w:val="left"/>
      <w:pPr>
        <w:ind w:left="4564" w:hanging="399"/>
      </w:pPr>
      <w:rPr>
        <w:rFonts w:ascii="Noto Sans Symbols" w:hAnsi="Noto Sans Symbols" w:eastAsia="Noto Sans Symbols" w:cs="Noto Sans Symbols"/>
        <w:vertAlign w:val="baseline"/>
      </w:rPr>
    </w:lvl>
    <w:lvl w:ilvl="6" w:tentative="0">
      <w:start w:val="1"/>
      <w:numFmt w:val="bullet"/>
      <w:lvlText w:val="●"/>
      <w:lvlJc w:val="left"/>
      <w:pPr>
        <w:ind w:left="5372" w:hanging="398"/>
      </w:pPr>
      <w:rPr>
        <w:rFonts w:ascii="Noto Sans Symbols" w:hAnsi="Noto Sans Symbols" w:eastAsia="Noto Sans Symbols" w:cs="Noto Sans Symbols"/>
        <w:vertAlign w:val="baseline"/>
      </w:rPr>
    </w:lvl>
    <w:lvl w:ilvl="7" w:tentative="0">
      <w:start w:val="1"/>
      <w:numFmt w:val="bullet"/>
      <w:lvlText w:val="●"/>
      <w:lvlJc w:val="left"/>
      <w:pPr>
        <w:ind w:left="6181" w:hanging="399"/>
      </w:pPr>
      <w:rPr>
        <w:rFonts w:ascii="Noto Sans Symbols" w:hAnsi="Noto Sans Symbols" w:eastAsia="Noto Sans Symbols" w:cs="Noto Sans Symbols"/>
        <w:vertAlign w:val="baseline"/>
      </w:rPr>
    </w:lvl>
    <w:lvl w:ilvl="8" w:tentative="0">
      <w:start w:val="1"/>
      <w:numFmt w:val="bullet"/>
      <w:lvlText w:val="●"/>
      <w:lvlJc w:val="left"/>
      <w:pPr>
        <w:ind w:left="6990" w:hanging="399"/>
      </w:pPr>
      <w:rPr>
        <w:rFonts w:ascii="Noto Sans Symbols" w:hAnsi="Noto Sans Symbols" w:eastAsia="Noto Sans Symbols" w:cs="Noto Sans Symbols"/>
        <w:vertAlign w:val="baseline"/>
      </w:rPr>
    </w:lvl>
  </w:abstractNum>
  <w:abstractNum w:abstractNumId="64">
    <w:nsid w:val="499B1339"/>
    <w:multiLevelType w:val="multilevel"/>
    <w:tmpl w:val="499B1339"/>
    <w:lvl w:ilvl="0" w:tentative="0">
      <w:start w:val="1"/>
      <w:numFmt w:val="upperRoman"/>
      <w:lvlText w:val="%1"/>
      <w:lvlJc w:val="left"/>
      <w:pPr>
        <w:ind w:left="317" w:hanging="206"/>
      </w:pPr>
      <w:rPr>
        <w:sz w:val="24"/>
        <w:szCs w:val="24"/>
        <w:vertAlign w:val="baseline"/>
      </w:rPr>
    </w:lvl>
    <w:lvl w:ilvl="1" w:tentative="0">
      <w:start w:val="1"/>
      <w:numFmt w:val="decimal"/>
      <w:lvlText w:val="%1.%2"/>
      <w:lvlJc w:val="left"/>
      <w:pPr>
        <w:ind w:left="356" w:hanging="245"/>
      </w:pPr>
      <w:rPr>
        <w:sz w:val="24"/>
        <w:szCs w:val="24"/>
        <w:vertAlign w:val="baseline"/>
      </w:rPr>
    </w:lvl>
    <w:lvl w:ilvl="2" w:tentative="0">
      <w:start w:val="1"/>
      <w:numFmt w:val="bullet"/>
      <w:lvlText w:val="●"/>
      <w:lvlJc w:val="left"/>
      <w:pPr>
        <w:ind w:left="1267" w:hanging="245"/>
      </w:pPr>
      <w:rPr>
        <w:rFonts w:ascii="Noto Sans Symbols" w:hAnsi="Noto Sans Symbols" w:eastAsia="Noto Sans Symbols" w:cs="Noto Sans Symbols"/>
        <w:vertAlign w:val="baseline"/>
      </w:rPr>
    </w:lvl>
    <w:lvl w:ilvl="3" w:tentative="0">
      <w:start w:val="1"/>
      <w:numFmt w:val="bullet"/>
      <w:lvlText w:val="●"/>
      <w:lvlJc w:val="left"/>
      <w:pPr>
        <w:ind w:left="2175" w:hanging="245"/>
      </w:pPr>
      <w:rPr>
        <w:rFonts w:ascii="Noto Sans Symbols" w:hAnsi="Noto Sans Symbols" w:eastAsia="Noto Sans Symbols" w:cs="Noto Sans Symbols"/>
        <w:vertAlign w:val="baseline"/>
      </w:rPr>
    </w:lvl>
    <w:lvl w:ilvl="4" w:tentative="0">
      <w:start w:val="1"/>
      <w:numFmt w:val="bullet"/>
      <w:lvlText w:val="●"/>
      <w:lvlJc w:val="left"/>
      <w:pPr>
        <w:ind w:left="3083" w:hanging="245"/>
      </w:pPr>
      <w:rPr>
        <w:rFonts w:ascii="Noto Sans Symbols" w:hAnsi="Noto Sans Symbols" w:eastAsia="Noto Sans Symbols" w:cs="Noto Sans Symbols"/>
        <w:vertAlign w:val="baseline"/>
      </w:rPr>
    </w:lvl>
    <w:lvl w:ilvl="5" w:tentative="0">
      <w:start w:val="1"/>
      <w:numFmt w:val="bullet"/>
      <w:lvlText w:val="●"/>
      <w:lvlJc w:val="left"/>
      <w:pPr>
        <w:ind w:left="3991" w:hanging="245"/>
      </w:pPr>
      <w:rPr>
        <w:rFonts w:ascii="Noto Sans Symbols" w:hAnsi="Noto Sans Symbols" w:eastAsia="Noto Sans Symbols" w:cs="Noto Sans Symbols"/>
        <w:vertAlign w:val="baseline"/>
      </w:rPr>
    </w:lvl>
    <w:lvl w:ilvl="6" w:tentative="0">
      <w:start w:val="1"/>
      <w:numFmt w:val="bullet"/>
      <w:lvlText w:val="●"/>
      <w:lvlJc w:val="left"/>
      <w:pPr>
        <w:ind w:left="4899" w:hanging="245"/>
      </w:pPr>
      <w:rPr>
        <w:rFonts w:ascii="Noto Sans Symbols" w:hAnsi="Noto Sans Symbols" w:eastAsia="Noto Sans Symbols" w:cs="Noto Sans Symbols"/>
        <w:vertAlign w:val="baseline"/>
      </w:rPr>
    </w:lvl>
    <w:lvl w:ilvl="7" w:tentative="0">
      <w:start w:val="1"/>
      <w:numFmt w:val="bullet"/>
      <w:lvlText w:val="●"/>
      <w:lvlJc w:val="left"/>
      <w:pPr>
        <w:ind w:left="5807" w:hanging="245"/>
      </w:pPr>
      <w:rPr>
        <w:rFonts w:ascii="Noto Sans Symbols" w:hAnsi="Noto Sans Symbols" w:eastAsia="Noto Sans Symbols" w:cs="Noto Sans Symbols"/>
        <w:vertAlign w:val="baseline"/>
      </w:rPr>
    </w:lvl>
    <w:lvl w:ilvl="8" w:tentative="0">
      <w:start w:val="1"/>
      <w:numFmt w:val="bullet"/>
      <w:lvlText w:val="●"/>
      <w:lvlJc w:val="left"/>
      <w:pPr>
        <w:ind w:left="6715" w:hanging="245"/>
      </w:pPr>
      <w:rPr>
        <w:rFonts w:ascii="Noto Sans Symbols" w:hAnsi="Noto Sans Symbols" w:eastAsia="Noto Sans Symbols" w:cs="Noto Sans Symbols"/>
        <w:vertAlign w:val="baseline"/>
      </w:rPr>
    </w:lvl>
  </w:abstractNum>
  <w:abstractNum w:abstractNumId="65">
    <w:nsid w:val="4A2771C1"/>
    <w:multiLevelType w:val="multilevel"/>
    <w:tmpl w:val="4A2771C1"/>
    <w:lvl w:ilvl="0" w:tentative="0">
      <w:start w:val="1"/>
      <w:numFmt w:val="decimal"/>
      <w:lvlText w:val="%1"/>
      <w:lvlJc w:val="left"/>
      <w:pPr>
        <w:ind w:left="375" w:hanging="264"/>
      </w:pPr>
      <w:rPr>
        <w:sz w:val="24"/>
        <w:szCs w:val="24"/>
        <w:vertAlign w:val="baseline"/>
      </w:rPr>
    </w:lvl>
    <w:lvl w:ilvl="1" w:tentative="0">
      <w:start w:val="1"/>
      <w:numFmt w:val="bullet"/>
      <w:lvlText w:val="●"/>
      <w:lvlJc w:val="left"/>
      <w:pPr>
        <w:ind w:left="1188" w:hanging="264"/>
      </w:pPr>
      <w:rPr>
        <w:rFonts w:ascii="Noto Sans Symbols" w:hAnsi="Noto Sans Symbols" w:eastAsia="Noto Sans Symbols" w:cs="Noto Sans Symbols"/>
        <w:vertAlign w:val="baseline"/>
      </w:rPr>
    </w:lvl>
    <w:lvl w:ilvl="2" w:tentative="0">
      <w:start w:val="1"/>
      <w:numFmt w:val="bullet"/>
      <w:lvlText w:val="●"/>
      <w:lvlJc w:val="left"/>
      <w:pPr>
        <w:ind w:left="1996" w:hanging="264"/>
      </w:pPr>
      <w:rPr>
        <w:rFonts w:ascii="Noto Sans Symbols" w:hAnsi="Noto Sans Symbols" w:eastAsia="Noto Sans Symbols" w:cs="Noto Sans Symbols"/>
        <w:vertAlign w:val="baseline"/>
      </w:rPr>
    </w:lvl>
    <w:lvl w:ilvl="3" w:tentative="0">
      <w:start w:val="1"/>
      <w:numFmt w:val="bullet"/>
      <w:lvlText w:val="●"/>
      <w:lvlJc w:val="left"/>
      <w:pPr>
        <w:ind w:left="2805" w:hanging="264"/>
      </w:pPr>
      <w:rPr>
        <w:rFonts w:ascii="Noto Sans Symbols" w:hAnsi="Noto Sans Symbols" w:eastAsia="Noto Sans Symbols" w:cs="Noto Sans Symbols"/>
        <w:vertAlign w:val="baseline"/>
      </w:rPr>
    </w:lvl>
    <w:lvl w:ilvl="4" w:tentative="0">
      <w:start w:val="1"/>
      <w:numFmt w:val="bullet"/>
      <w:lvlText w:val="●"/>
      <w:lvlJc w:val="left"/>
      <w:pPr>
        <w:ind w:left="3613" w:hanging="263"/>
      </w:pPr>
      <w:rPr>
        <w:rFonts w:ascii="Noto Sans Symbols" w:hAnsi="Noto Sans Symbols" w:eastAsia="Noto Sans Symbols" w:cs="Noto Sans Symbols"/>
        <w:vertAlign w:val="baseline"/>
      </w:rPr>
    </w:lvl>
    <w:lvl w:ilvl="5" w:tentative="0">
      <w:start w:val="1"/>
      <w:numFmt w:val="bullet"/>
      <w:lvlText w:val="●"/>
      <w:lvlJc w:val="left"/>
      <w:pPr>
        <w:ind w:left="4422" w:hanging="264"/>
      </w:pPr>
      <w:rPr>
        <w:rFonts w:ascii="Noto Sans Symbols" w:hAnsi="Noto Sans Symbols" w:eastAsia="Noto Sans Symbols" w:cs="Noto Sans Symbols"/>
        <w:vertAlign w:val="baseline"/>
      </w:rPr>
    </w:lvl>
    <w:lvl w:ilvl="6" w:tentative="0">
      <w:start w:val="1"/>
      <w:numFmt w:val="bullet"/>
      <w:lvlText w:val="●"/>
      <w:lvlJc w:val="left"/>
      <w:pPr>
        <w:ind w:left="5230" w:hanging="264"/>
      </w:pPr>
      <w:rPr>
        <w:rFonts w:ascii="Noto Sans Symbols" w:hAnsi="Noto Sans Symbols" w:eastAsia="Noto Sans Symbols" w:cs="Noto Sans Symbols"/>
        <w:vertAlign w:val="baseline"/>
      </w:rPr>
    </w:lvl>
    <w:lvl w:ilvl="7" w:tentative="0">
      <w:start w:val="1"/>
      <w:numFmt w:val="bullet"/>
      <w:lvlText w:val="●"/>
      <w:lvlJc w:val="left"/>
      <w:pPr>
        <w:ind w:left="6038" w:hanging="264"/>
      </w:pPr>
      <w:rPr>
        <w:rFonts w:ascii="Noto Sans Symbols" w:hAnsi="Noto Sans Symbols" w:eastAsia="Noto Sans Symbols" w:cs="Noto Sans Symbols"/>
        <w:vertAlign w:val="baseline"/>
      </w:rPr>
    </w:lvl>
    <w:lvl w:ilvl="8" w:tentative="0">
      <w:start w:val="1"/>
      <w:numFmt w:val="bullet"/>
      <w:lvlText w:val="●"/>
      <w:lvlJc w:val="left"/>
      <w:pPr>
        <w:ind w:left="6847" w:hanging="263"/>
      </w:pPr>
      <w:rPr>
        <w:rFonts w:ascii="Noto Sans Symbols" w:hAnsi="Noto Sans Symbols" w:eastAsia="Noto Sans Symbols" w:cs="Noto Sans Symbols"/>
        <w:vertAlign w:val="baseline"/>
      </w:rPr>
    </w:lvl>
  </w:abstractNum>
  <w:abstractNum w:abstractNumId="66">
    <w:nsid w:val="4A404323"/>
    <w:multiLevelType w:val="multilevel"/>
    <w:tmpl w:val="4A404323"/>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67">
    <w:nsid w:val="4AE7316E"/>
    <w:multiLevelType w:val="multilevel"/>
    <w:tmpl w:val="4AE7316E"/>
    <w:lvl w:ilvl="0" w:tentative="0">
      <w:start w:val="1"/>
      <w:numFmt w:val="bullet"/>
      <w:lvlText w:val="●"/>
      <w:lvlJc w:val="left"/>
      <w:pPr>
        <w:ind w:left="937" w:hanging="360"/>
      </w:pPr>
      <w:rPr>
        <w:rFonts w:ascii="Noto Sans Symbols" w:hAnsi="Noto Sans Symbols" w:eastAsia="Noto Sans Symbols" w:cs="Noto Sans Symbols"/>
        <w:vertAlign w:val="baseline"/>
      </w:rPr>
    </w:lvl>
    <w:lvl w:ilvl="1" w:tentative="0">
      <w:start w:val="1"/>
      <w:numFmt w:val="bullet"/>
      <w:lvlText w:val="●"/>
      <w:lvlJc w:val="left"/>
      <w:pPr>
        <w:ind w:left="1692" w:hanging="360"/>
      </w:pPr>
      <w:rPr>
        <w:rFonts w:ascii="Noto Sans Symbols" w:hAnsi="Noto Sans Symbols" w:eastAsia="Noto Sans Symbols" w:cs="Noto Sans Symbols"/>
        <w:vertAlign w:val="baseline"/>
      </w:rPr>
    </w:lvl>
    <w:lvl w:ilvl="2" w:tentative="0">
      <w:start w:val="1"/>
      <w:numFmt w:val="bullet"/>
      <w:lvlText w:val="●"/>
      <w:lvlJc w:val="left"/>
      <w:pPr>
        <w:ind w:left="2444" w:hanging="360"/>
      </w:pPr>
      <w:rPr>
        <w:rFonts w:ascii="Noto Sans Symbols" w:hAnsi="Noto Sans Symbols" w:eastAsia="Noto Sans Symbols" w:cs="Noto Sans Symbols"/>
        <w:vertAlign w:val="baseline"/>
      </w:rPr>
    </w:lvl>
    <w:lvl w:ilvl="3" w:tentative="0">
      <w:start w:val="1"/>
      <w:numFmt w:val="bullet"/>
      <w:lvlText w:val="●"/>
      <w:lvlJc w:val="left"/>
      <w:pPr>
        <w:ind w:left="3197" w:hanging="360"/>
      </w:pPr>
      <w:rPr>
        <w:rFonts w:ascii="Noto Sans Symbols" w:hAnsi="Noto Sans Symbols" w:eastAsia="Noto Sans Symbols" w:cs="Noto Sans Symbols"/>
        <w:vertAlign w:val="baseline"/>
      </w:rPr>
    </w:lvl>
    <w:lvl w:ilvl="4" w:tentative="0">
      <w:start w:val="1"/>
      <w:numFmt w:val="bullet"/>
      <w:lvlText w:val="●"/>
      <w:lvlJc w:val="left"/>
      <w:pPr>
        <w:ind w:left="3949" w:hanging="360"/>
      </w:pPr>
      <w:rPr>
        <w:rFonts w:ascii="Noto Sans Symbols" w:hAnsi="Noto Sans Symbols" w:eastAsia="Noto Sans Symbols" w:cs="Noto Sans Symbols"/>
        <w:vertAlign w:val="baseline"/>
      </w:rPr>
    </w:lvl>
    <w:lvl w:ilvl="5" w:tentative="0">
      <w:start w:val="1"/>
      <w:numFmt w:val="bullet"/>
      <w:lvlText w:val="●"/>
      <w:lvlJc w:val="left"/>
      <w:pPr>
        <w:ind w:left="4702" w:hanging="360"/>
      </w:pPr>
      <w:rPr>
        <w:rFonts w:ascii="Noto Sans Symbols" w:hAnsi="Noto Sans Symbols" w:eastAsia="Noto Sans Symbols" w:cs="Noto Sans Symbols"/>
        <w:vertAlign w:val="baseline"/>
      </w:rPr>
    </w:lvl>
    <w:lvl w:ilvl="6" w:tentative="0">
      <w:start w:val="1"/>
      <w:numFmt w:val="bullet"/>
      <w:lvlText w:val="●"/>
      <w:lvlJc w:val="left"/>
      <w:pPr>
        <w:ind w:left="5454" w:hanging="360"/>
      </w:pPr>
      <w:rPr>
        <w:rFonts w:ascii="Noto Sans Symbols" w:hAnsi="Noto Sans Symbols" w:eastAsia="Noto Sans Symbols" w:cs="Noto Sans Symbols"/>
        <w:vertAlign w:val="baseline"/>
      </w:rPr>
    </w:lvl>
    <w:lvl w:ilvl="7" w:tentative="0">
      <w:start w:val="1"/>
      <w:numFmt w:val="bullet"/>
      <w:lvlText w:val="●"/>
      <w:lvlJc w:val="left"/>
      <w:pPr>
        <w:ind w:left="6206" w:hanging="360"/>
      </w:pPr>
      <w:rPr>
        <w:rFonts w:ascii="Noto Sans Symbols" w:hAnsi="Noto Sans Symbols" w:eastAsia="Noto Sans Symbols" w:cs="Noto Sans Symbols"/>
        <w:vertAlign w:val="baseline"/>
      </w:rPr>
    </w:lvl>
    <w:lvl w:ilvl="8" w:tentative="0">
      <w:start w:val="1"/>
      <w:numFmt w:val="bullet"/>
      <w:lvlText w:val="●"/>
      <w:lvlJc w:val="left"/>
      <w:pPr>
        <w:ind w:left="6959" w:hanging="360"/>
      </w:pPr>
      <w:rPr>
        <w:rFonts w:ascii="Noto Sans Symbols" w:hAnsi="Noto Sans Symbols" w:eastAsia="Noto Sans Symbols" w:cs="Noto Sans Symbols"/>
        <w:vertAlign w:val="baseline"/>
      </w:rPr>
    </w:lvl>
  </w:abstractNum>
  <w:abstractNum w:abstractNumId="68">
    <w:nsid w:val="4B1476E5"/>
    <w:multiLevelType w:val="multilevel"/>
    <w:tmpl w:val="4B1476E5"/>
    <w:lvl w:ilvl="0" w:tentative="0">
      <w:start w:val="1"/>
      <w:numFmt w:val="decimal"/>
      <w:lvlText w:val="%1"/>
      <w:lvlJc w:val="left"/>
      <w:pPr>
        <w:ind w:left="1429" w:hanging="360"/>
      </w:pPr>
      <w:rPr>
        <w:vertAlign w:val="baseline"/>
      </w:rPr>
    </w:lvl>
    <w:lvl w:ilvl="1" w:tentative="0">
      <w:start w:val="1"/>
      <w:numFmt w:val="bullet"/>
      <w:lvlText w:val="o"/>
      <w:lvlJc w:val="left"/>
      <w:pPr>
        <w:ind w:left="2149" w:hanging="360"/>
      </w:pPr>
      <w:rPr>
        <w:rFonts w:ascii="Courier New" w:hAnsi="Courier New" w:eastAsia="Courier New" w:cs="Courier New"/>
        <w:vertAlign w:val="baseline"/>
      </w:rPr>
    </w:lvl>
    <w:lvl w:ilvl="2" w:tentative="0">
      <w:start w:val="1"/>
      <w:numFmt w:val="bullet"/>
      <w:lvlText w:val="▪"/>
      <w:lvlJc w:val="left"/>
      <w:pPr>
        <w:ind w:left="2869" w:hanging="360"/>
      </w:pPr>
      <w:rPr>
        <w:rFonts w:ascii="Noto Sans Symbols" w:hAnsi="Noto Sans Symbols" w:eastAsia="Noto Sans Symbols" w:cs="Noto Sans Symbols"/>
        <w:vertAlign w:val="baseline"/>
      </w:rPr>
    </w:lvl>
    <w:lvl w:ilvl="3" w:tentative="0">
      <w:start w:val="1"/>
      <w:numFmt w:val="bullet"/>
      <w:lvlText w:val="●"/>
      <w:lvlJc w:val="left"/>
      <w:pPr>
        <w:ind w:left="3589" w:hanging="360"/>
      </w:pPr>
      <w:rPr>
        <w:rFonts w:ascii="Noto Sans Symbols" w:hAnsi="Noto Sans Symbols" w:eastAsia="Noto Sans Symbols" w:cs="Noto Sans Symbols"/>
        <w:vertAlign w:val="baseline"/>
      </w:rPr>
    </w:lvl>
    <w:lvl w:ilvl="4" w:tentative="0">
      <w:start w:val="1"/>
      <w:numFmt w:val="bullet"/>
      <w:lvlText w:val="o"/>
      <w:lvlJc w:val="left"/>
      <w:pPr>
        <w:ind w:left="4309" w:hanging="360"/>
      </w:pPr>
      <w:rPr>
        <w:rFonts w:ascii="Courier New" w:hAnsi="Courier New" w:eastAsia="Courier New" w:cs="Courier New"/>
        <w:vertAlign w:val="baseline"/>
      </w:rPr>
    </w:lvl>
    <w:lvl w:ilvl="5" w:tentative="0">
      <w:start w:val="1"/>
      <w:numFmt w:val="bullet"/>
      <w:lvlText w:val="▪"/>
      <w:lvlJc w:val="left"/>
      <w:pPr>
        <w:ind w:left="5029" w:hanging="360"/>
      </w:pPr>
      <w:rPr>
        <w:rFonts w:ascii="Noto Sans Symbols" w:hAnsi="Noto Sans Symbols" w:eastAsia="Noto Sans Symbols" w:cs="Noto Sans Symbols"/>
        <w:vertAlign w:val="baseline"/>
      </w:rPr>
    </w:lvl>
    <w:lvl w:ilvl="6" w:tentative="0">
      <w:start w:val="1"/>
      <w:numFmt w:val="bullet"/>
      <w:lvlText w:val="●"/>
      <w:lvlJc w:val="left"/>
      <w:pPr>
        <w:ind w:left="5749" w:hanging="360"/>
      </w:pPr>
      <w:rPr>
        <w:rFonts w:ascii="Noto Sans Symbols" w:hAnsi="Noto Sans Symbols" w:eastAsia="Noto Sans Symbols" w:cs="Noto Sans Symbols"/>
        <w:vertAlign w:val="baseline"/>
      </w:rPr>
    </w:lvl>
    <w:lvl w:ilvl="7" w:tentative="0">
      <w:start w:val="1"/>
      <w:numFmt w:val="bullet"/>
      <w:lvlText w:val="o"/>
      <w:lvlJc w:val="left"/>
      <w:pPr>
        <w:ind w:left="6469" w:hanging="360"/>
      </w:pPr>
      <w:rPr>
        <w:rFonts w:ascii="Courier New" w:hAnsi="Courier New" w:eastAsia="Courier New" w:cs="Courier New"/>
        <w:vertAlign w:val="baseline"/>
      </w:rPr>
    </w:lvl>
    <w:lvl w:ilvl="8" w:tentative="0">
      <w:start w:val="1"/>
      <w:numFmt w:val="bullet"/>
      <w:lvlText w:val="▪"/>
      <w:lvlJc w:val="left"/>
      <w:pPr>
        <w:ind w:left="7189" w:hanging="360"/>
      </w:pPr>
      <w:rPr>
        <w:rFonts w:ascii="Noto Sans Symbols" w:hAnsi="Noto Sans Symbols" w:eastAsia="Noto Sans Symbols" w:cs="Noto Sans Symbols"/>
        <w:vertAlign w:val="baseline"/>
      </w:rPr>
    </w:lvl>
  </w:abstractNum>
  <w:abstractNum w:abstractNumId="69">
    <w:nsid w:val="4DCA0FEE"/>
    <w:multiLevelType w:val="multilevel"/>
    <w:tmpl w:val="4DCA0FEE"/>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70">
    <w:nsid w:val="4E415486"/>
    <w:multiLevelType w:val="multilevel"/>
    <w:tmpl w:val="4E415486"/>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71">
    <w:nsid w:val="4E531DD8"/>
    <w:multiLevelType w:val="multilevel"/>
    <w:tmpl w:val="4E531DD8"/>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72">
    <w:nsid w:val="4EE0367F"/>
    <w:multiLevelType w:val="multilevel"/>
    <w:tmpl w:val="4EE0367F"/>
    <w:lvl w:ilvl="0" w:tentative="0">
      <w:start w:val="2"/>
      <w:numFmt w:val="upperRoman"/>
      <w:lvlText w:val="%1"/>
      <w:lvlJc w:val="left"/>
      <w:pPr>
        <w:ind w:left="394" w:hanging="283"/>
      </w:pPr>
      <w:rPr>
        <w:sz w:val="24"/>
        <w:szCs w:val="24"/>
        <w:vertAlign w:val="baseline"/>
      </w:rPr>
    </w:lvl>
    <w:lvl w:ilvl="1" w:tentative="0">
      <w:start w:val="1"/>
      <w:numFmt w:val="decimal"/>
      <w:lvlText w:val="%1.%2"/>
      <w:lvlJc w:val="left"/>
      <w:pPr>
        <w:ind w:left="356" w:hanging="245"/>
      </w:pPr>
      <w:rPr>
        <w:sz w:val="24"/>
        <w:szCs w:val="24"/>
        <w:vertAlign w:val="baseline"/>
      </w:rPr>
    </w:lvl>
    <w:lvl w:ilvl="2" w:tentative="0">
      <w:start w:val="1"/>
      <w:numFmt w:val="bullet"/>
      <w:lvlText w:val="●"/>
      <w:lvlJc w:val="left"/>
      <w:pPr>
        <w:ind w:left="1303" w:hanging="245"/>
      </w:pPr>
      <w:rPr>
        <w:rFonts w:ascii="Noto Sans Symbols" w:hAnsi="Noto Sans Symbols" w:eastAsia="Noto Sans Symbols" w:cs="Noto Sans Symbols"/>
        <w:vertAlign w:val="baseline"/>
      </w:rPr>
    </w:lvl>
    <w:lvl w:ilvl="3" w:tentative="0">
      <w:start w:val="1"/>
      <w:numFmt w:val="bullet"/>
      <w:lvlText w:val="●"/>
      <w:lvlJc w:val="left"/>
      <w:pPr>
        <w:ind w:left="2206" w:hanging="245"/>
      </w:pPr>
      <w:rPr>
        <w:rFonts w:ascii="Noto Sans Symbols" w:hAnsi="Noto Sans Symbols" w:eastAsia="Noto Sans Symbols" w:cs="Noto Sans Symbols"/>
        <w:vertAlign w:val="baseline"/>
      </w:rPr>
    </w:lvl>
    <w:lvl w:ilvl="4" w:tentative="0">
      <w:start w:val="1"/>
      <w:numFmt w:val="bullet"/>
      <w:lvlText w:val="●"/>
      <w:lvlJc w:val="left"/>
      <w:pPr>
        <w:ind w:left="3110" w:hanging="245"/>
      </w:pPr>
      <w:rPr>
        <w:rFonts w:ascii="Noto Sans Symbols" w:hAnsi="Noto Sans Symbols" w:eastAsia="Noto Sans Symbols" w:cs="Noto Sans Symbols"/>
        <w:vertAlign w:val="baseline"/>
      </w:rPr>
    </w:lvl>
    <w:lvl w:ilvl="5" w:tentative="0">
      <w:start w:val="1"/>
      <w:numFmt w:val="bullet"/>
      <w:lvlText w:val="●"/>
      <w:lvlJc w:val="left"/>
      <w:pPr>
        <w:ind w:left="4013" w:hanging="245"/>
      </w:pPr>
      <w:rPr>
        <w:rFonts w:ascii="Noto Sans Symbols" w:hAnsi="Noto Sans Symbols" w:eastAsia="Noto Sans Symbols" w:cs="Noto Sans Symbols"/>
        <w:vertAlign w:val="baseline"/>
      </w:rPr>
    </w:lvl>
    <w:lvl w:ilvl="6" w:tentative="0">
      <w:start w:val="1"/>
      <w:numFmt w:val="bullet"/>
      <w:lvlText w:val="●"/>
      <w:lvlJc w:val="left"/>
      <w:pPr>
        <w:ind w:left="4917" w:hanging="245"/>
      </w:pPr>
      <w:rPr>
        <w:rFonts w:ascii="Noto Sans Symbols" w:hAnsi="Noto Sans Symbols" w:eastAsia="Noto Sans Symbols" w:cs="Noto Sans Symbols"/>
        <w:vertAlign w:val="baseline"/>
      </w:rPr>
    </w:lvl>
    <w:lvl w:ilvl="7" w:tentative="0">
      <w:start w:val="1"/>
      <w:numFmt w:val="bullet"/>
      <w:lvlText w:val="●"/>
      <w:lvlJc w:val="left"/>
      <w:pPr>
        <w:ind w:left="5820" w:hanging="245"/>
      </w:pPr>
      <w:rPr>
        <w:rFonts w:ascii="Noto Sans Symbols" w:hAnsi="Noto Sans Symbols" w:eastAsia="Noto Sans Symbols" w:cs="Noto Sans Symbols"/>
        <w:vertAlign w:val="baseline"/>
      </w:rPr>
    </w:lvl>
    <w:lvl w:ilvl="8" w:tentative="0">
      <w:start w:val="1"/>
      <w:numFmt w:val="bullet"/>
      <w:lvlText w:val="●"/>
      <w:lvlJc w:val="left"/>
      <w:pPr>
        <w:ind w:left="6724" w:hanging="245"/>
      </w:pPr>
      <w:rPr>
        <w:rFonts w:ascii="Noto Sans Symbols" w:hAnsi="Noto Sans Symbols" w:eastAsia="Noto Sans Symbols" w:cs="Noto Sans Symbols"/>
        <w:vertAlign w:val="baseline"/>
      </w:rPr>
    </w:lvl>
  </w:abstractNum>
  <w:abstractNum w:abstractNumId="73">
    <w:nsid w:val="4FCC0896"/>
    <w:multiLevelType w:val="multilevel"/>
    <w:tmpl w:val="4FCC0896"/>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74">
    <w:nsid w:val="50940B6A"/>
    <w:multiLevelType w:val="multilevel"/>
    <w:tmpl w:val="50940B6A"/>
    <w:lvl w:ilvl="0" w:tentative="0">
      <w:start w:val="1"/>
      <w:numFmt w:val="upperLetter"/>
      <w:lvlText w:val="%1"/>
      <w:lvlJc w:val="left"/>
      <w:pPr>
        <w:ind w:left="423" w:hanging="312"/>
      </w:pPr>
      <w:rPr>
        <w:sz w:val="24"/>
        <w:szCs w:val="24"/>
        <w:vertAlign w:val="baseline"/>
      </w:rPr>
    </w:lvl>
    <w:lvl w:ilvl="1" w:tentative="0">
      <w:start w:val="1"/>
      <w:numFmt w:val="bullet"/>
      <w:lvlText w:val="●"/>
      <w:lvlJc w:val="left"/>
      <w:pPr>
        <w:ind w:left="1231" w:hanging="312"/>
      </w:pPr>
      <w:rPr>
        <w:rFonts w:ascii="Noto Sans Symbols" w:hAnsi="Noto Sans Symbols" w:eastAsia="Noto Sans Symbols" w:cs="Noto Sans Symbols"/>
        <w:vertAlign w:val="baseline"/>
      </w:rPr>
    </w:lvl>
    <w:lvl w:ilvl="2" w:tentative="0">
      <w:start w:val="1"/>
      <w:numFmt w:val="bullet"/>
      <w:lvlText w:val="●"/>
      <w:lvlJc w:val="left"/>
      <w:pPr>
        <w:ind w:left="2042" w:hanging="312"/>
      </w:pPr>
      <w:rPr>
        <w:rFonts w:ascii="Noto Sans Symbols" w:hAnsi="Noto Sans Symbols" w:eastAsia="Noto Sans Symbols" w:cs="Noto Sans Symbols"/>
        <w:vertAlign w:val="baseline"/>
      </w:rPr>
    </w:lvl>
    <w:lvl w:ilvl="3" w:tentative="0">
      <w:start w:val="1"/>
      <w:numFmt w:val="bullet"/>
      <w:lvlText w:val="●"/>
      <w:lvlJc w:val="left"/>
      <w:pPr>
        <w:ind w:left="2853" w:hanging="312"/>
      </w:pPr>
      <w:rPr>
        <w:rFonts w:ascii="Noto Sans Symbols" w:hAnsi="Noto Sans Symbols" w:eastAsia="Noto Sans Symbols" w:cs="Noto Sans Symbols"/>
        <w:vertAlign w:val="baseline"/>
      </w:rPr>
    </w:lvl>
    <w:lvl w:ilvl="4" w:tentative="0">
      <w:start w:val="1"/>
      <w:numFmt w:val="bullet"/>
      <w:lvlText w:val="●"/>
      <w:lvlJc w:val="left"/>
      <w:pPr>
        <w:ind w:left="3664" w:hanging="312"/>
      </w:pPr>
      <w:rPr>
        <w:rFonts w:ascii="Noto Sans Symbols" w:hAnsi="Noto Sans Symbols" w:eastAsia="Noto Sans Symbols" w:cs="Noto Sans Symbols"/>
        <w:vertAlign w:val="baseline"/>
      </w:rPr>
    </w:lvl>
    <w:lvl w:ilvl="5" w:tentative="0">
      <w:start w:val="1"/>
      <w:numFmt w:val="bullet"/>
      <w:lvlText w:val="●"/>
      <w:lvlJc w:val="left"/>
      <w:pPr>
        <w:ind w:left="4475" w:hanging="312"/>
      </w:pPr>
      <w:rPr>
        <w:rFonts w:ascii="Noto Sans Symbols" w:hAnsi="Noto Sans Symbols" w:eastAsia="Noto Sans Symbols" w:cs="Noto Sans Symbols"/>
        <w:vertAlign w:val="baseline"/>
      </w:rPr>
    </w:lvl>
    <w:lvl w:ilvl="6" w:tentative="0">
      <w:start w:val="1"/>
      <w:numFmt w:val="bullet"/>
      <w:lvlText w:val="●"/>
      <w:lvlJc w:val="left"/>
      <w:pPr>
        <w:ind w:left="5286" w:hanging="312"/>
      </w:pPr>
      <w:rPr>
        <w:rFonts w:ascii="Noto Sans Symbols" w:hAnsi="Noto Sans Symbols" w:eastAsia="Noto Sans Symbols" w:cs="Noto Sans Symbols"/>
        <w:vertAlign w:val="baseline"/>
      </w:rPr>
    </w:lvl>
    <w:lvl w:ilvl="7" w:tentative="0">
      <w:start w:val="1"/>
      <w:numFmt w:val="bullet"/>
      <w:lvlText w:val="●"/>
      <w:lvlJc w:val="left"/>
      <w:pPr>
        <w:ind w:left="6097" w:hanging="312"/>
      </w:pPr>
      <w:rPr>
        <w:rFonts w:ascii="Noto Sans Symbols" w:hAnsi="Noto Sans Symbols" w:eastAsia="Noto Sans Symbols" w:cs="Noto Sans Symbols"/>
        <w:vertAlign w:val="baseline"/>
      </w:rPr>
    </w:lvl>
    <w:lvl w:ilvl="8" w:tentative="0">
      <w:start w:val="1"/>
      <w:numFmt w:val="bullet"/>
      <w:lvlText w:val="●"/>
      <w:lvlJc w:val="left"/>
      <w:pPr>
        <w:ind w:left="6908" w:hanging="312"/>
      </w:pPr>
      <w:rPr>
        <w:rFonts w:ascii="Noto Sans Symbols" w:hAnsi="Noto Sans Symbols" w:eastAsia="Noto Sans Symbols" w:cs="Noto Sans Symbols"/>
        <w:vertAlign w:val="baseline"/>
      </w:rPr>
    </w:lvl>
  </w:abstractNum>
  <w:abstractNum w:abstractNumId="75">
    <w:nsid w:val="52D456E2"/>
    <w:multiLevelType w:val="multilevel"/>
    <w:tmpl w:val="52D456E2"/>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76">
    <w:nsid w:val="54156B1A"/>
    <w:multiLevelType w:val="multilevel"/>
    <w:tmpl w:val="54156B1A"/>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77">
    <w:nsid w:val="54285B22"/>
    <w:multiLevelType w:val="multilevel"/>
    <w:tmpl w:val="54285B22"/>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78">
    <w:nsid w:val="558525B7"/>
    <w:multiLevelType w:val="multilevel"/>
    <w:tmpl w:val="558525B7"/>
    <w:lvl w:ilvl="0" w:tentative="0">
      <w:start w:val="1"/>
      <w:numFmt w:val="decimal"/>
      <w:lvlText w:val="%1"/>
      <w:lvlJc w:val="left"/>
      <w:pPr>
        <w:ind w:left="720" w:hanging="360"/>
      </w:pPr>
      <w:rPr>
        <w:vertAlign w:val="baseline"/>
      </w:rPr>
    </w:lvl>
    <w:lvl w:ilvl="1" w:tentative="0">
      <w:start w:val="1"/>
      <w:numFmt w:val="lowerLetter"/>
      <w:lvlText w:val="%1.%2"/>
      <w:lvlJc w:val="left"/>
      <w:pPr>
        <w:ind w:left="1440" w:hanging="360"/>
      </w:pPr>
      <w:rPr>
        <w:vertAlign w:val="baseline"/>
      </w:rPr>
    </w:lvl>
    <w:lvl w:ilvl="2" w:tentative="0">
      <w:start w:val="1"/>
      <w:numFmt w:val="lowerRoman"/>
      <w:lvlText w:val="%1.%2.%3"/>
      <w:lvlJc w:val="right"/>
      <w:pPr>
        <w:ind w:left="2160" w:hanging="180"/>
      </w:pPr>
      <w:rPr>
        <w:vertAlign w:val="baseline"/>
      </w:rPr>
    </w:lvl>
    <w:lvl w:ilvl="3" w:tentative="0">
      <w:start w:val="1"/>
      <w:numFmt w:val="decimal"/>
      <w:lvlText w:val="%2.%3.%4"/>
      <w:lvlJc w:val="left"/>
      <w:pPr>
        <w:ind w:left="2880" w:hanging="360"/>
      </w:pPr>
      <w:rPr>
        <w:vertAlign w:val="baseline"/>
      </w:rPr>
    </w:lvl>
    <w:lvl w:ilvl="4" w:tentative="0">
      <w:start w:val="1"/>
      <w:numFmt w:val="lowerLetter"/>
      <w:lvlText w:val="%3.%4.%5"/>
      <w:lvlJc w:val="left"/>
      <w:pPr>
        <w:ind w:left="3600" w:hanging="360"/>
      </w:pPr>
      <w:rPr>
        <w:vertAlign w:val="baseline"/>
      </w:rPr>
    </w:lvl>
    <w:lvl w:ilvl="5" w:tentative="0">
      <w:start w:val="1"/>
      <w:numFmt w:val="lowerRoman"/>
      <w:lvlText w:val="%4.%5.%6"/>
      <w:lvlJc w:val="right"/>
      <w:pPr>
        <w:ind w:left="4320" w:hanging="180"/>
      </w:pPr>
      <w:rPr>
        <w:vertAlign w:val="baseline"/>
      </w:rPr>
    </w:lvl>
    <w:lvl w:ilvl="6" w:tentative="0">
      <w:start w:val="1"/>
      <w:numFmt w:val="decimal"/>
      <w:lvlText w:val="%5.%6.%7"/>
      <w:lvlJc w:val="left"/>
      <w:pPr>
        <w:ind w:left="5040" w:hanging="360"/>
      </w:pPr>
      <w:rPr>
        <w:vertAlign w:val="baseline"/>
      </w:rPr>
    </w:lvl>
    <w:lvl w:ilvl="7" w:tentative="0">
      <w:start w:val="1"/>
      <w:numFmt w:val="lowerLetter"/>
      <w:lvlText w:val="%6.%7.%8"/>
      <w:lvlJc w:val="left"/>
      <w:pPr>
        <w:ind w:left="5760" w:hanging="360"/>
      </w:pPr>
      <w:rPr>
        <w:vertAlign w:val="baseline"/>
      </w:rPr>
    </w:lvl>
    <w:lvl w:ilvl="8" w:tentative="0">
      <w:start w:val="1"/>
      <w:numFmt w:val="lowerRoman"/>
      <w:lvlText w:val="%7.%8.%9"/>
      <w:lvlJc w:val="right"/>
      <w:pPr>
        <w:ind w:left="6480" w:hanging="180"/>
      </w:pPr>
      <w:rPr>
        <w:vertAlign w:val="baseline"/>
      </w:rPr>
    </w:lvl>
  </w:abstractNum>
  <w:abstractNum w:abstractNumId="79">
    <w:nsid w:val="55FF66EF"/>
    <w:multiLevelType w:val="multilevel"/>
    <w:tmpl w:val="55FF66EF"/>
    <w:lvl w:ilvl="0" w:tentative="0">
      <w:start w:val="1"/>
      <w:numFmt w:val="decimal"/>
      <w:lvlText w:val=""/>
      <w:lvlJc w:val="left"/>
      <w:pPr>
        <w:ind w:left="0" w:firstLine="0"/>
      </w:pPr>
      <w:rPr>
        <w:vertAlign w:val="baseline"/>
      </w:rPr>
    </w:lvl>
    <w:lvl w:ilvl="1" w:tentative="0">
      <w:start w:val="1"/>
      <w:numFmt w:val="decimal"/>
      <w:lvlText w:val=""/>
      <w:lvlJc w:val="left"/>
      <w:pPr>
        <w:ind w:left="0" w:firstLine="0"/>
      </w:pPr>
      <w:rPr>
        <w:vertAlign w:val="baseline"/>
      </w:rPr>
    </w:lvl>
    <w:lvl w:ilvl="2" w:tentative="0">
      <w:start w:val="1"/>
      <w:numFmt w:val="decimal"/>
      <w:lvlText w:val=""/>
      <w:lvlJc w:val="left"/>
      <w:pPr>
        <w:ind w:left="0" w:firstLine="0"/>
      </w:pPr>
      <w:rPr>
        <w:vertAlign w:val="baseline"/>
      </w:rPr>
    </w:lvl>
    <w:lvl w:ilvl="3" w:tentative="0">
      <w:start w:val="1"/>
      <w:numFmt w:val="decimal"/>
      <w:lvlText w:val=""/>
      <w:lvlJc w:val="left"/>
      <w:pPr>
        <w:ind w:left="0" w:firstLine="0"/>
      </w:pPr>
      <w:rPr>
        <w:vertAlign w:val="baseline"/>
      </w:rPr>
    </w:lvl>
    <w:lvl w:ilvl="4" w:tentative="0">
      <w:start w:val="1"/>
      <w:numFmt w:val="decimal"/>
      <w:lvlText w:val=""/>
      <w:lvlJc w:val="left"/>
      <w:pPr>
        <w:ind w:left="0" w:firstLine="0"/>
      </w:pPr>
      <w:rPr>
        <w:vertAlign w:val="baseline"/>
      </w:rPr>
    </w:lvl>
    <w:lvl w:ilvl="5" w:tentative="0">
      <w:start w:val="1"/>
      <w:numFmt w:val="decimal"/>
      <w:lvlText w:val=""/>
      <w:lvlJc w:val="left"/>
      <w:pPr>
        <w:ind w:left="0" w:firstLine="0"/>
      </w:pPr>
      <w:rPr>
        <w:vertAlign w:val="baseline"/>
      </w:rPr>
    </w:lvl>
    <w:lvl w:ilvl="6" w:tentative="0">
      <w:start w:val="1"/>
      <w:numFmt w:val="decimal"/>
      <w:lvlText w:val=""/>
      <w:lvlJc w:val="left"/>
      <w:pPr>
        <w:ind w:left="0" w:firstLine="0"/>
      </w:pPr>
      <w:rPr>
        <w:vertAlign w:val="baseline"/>
      </w:rPr>
    </w:lvl>
    <w:lvl w:ilvl="7" w:tentative="0">
      <w:start w:val="1"/>
      <w:numFmt w:val="decimal"/>
      <w:lvlText w:val=""/>
      <w:lvlJc w:val="left"/>
      <w:pPr>
        <w:ind w:left="0" w:firstLine="0"/>
      </w:pPr>
      <w:rPr>
        <w:vertAlign w:val="baseline"/>
      </w:rPr>
    </w:lvl>
    <w:lvl w:ilvl="8" w:tentative="0">
      <w:start w:val="1"/>
      <w:numFmt w:val="decimal"/>
      <w:lvlText w:val=""/>
      <w:lvlJc w:val="left"/>
      <w:pPr>
        <w:ind w:left="0" w:firstLine="0"/>
      </w:pPr>
      <w:rPr>
        <w:vertAlign w:val="baseline"/>
      </w:rPr>
    </w:lvl>
  </w:abstractNum>
  <w:abstractNum w:abstractNumId="80">
    <w:nsid w:val="57A93786"/>
    <w:multiLevelType w:val="multilevel"/>
    <w:tmpl w:val="57A93786"/>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81">
    <w:nsid w:val="582B4487"/>
    <w:multiLevelType w:val="multilevel"/>
    <w:tmpl w:val="582B4487"/>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82">
    <w:nsid w:val="585210D2"/>
    <w:multiLevelType w:val="multilevel"/>
    <w:tmpl w:val="585210D2"/>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83">
    <w:nsid w:val="59392F31"/>
    <w:multiLevelType w:val="multilevel"/>
    <w:tmpl w:val="59392F31"/>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84">
    <w:nsid w:val="5B8E2AAD"/>
    <w:multiLevelType w:val="multilevel"/>
    <w:tmpl w:val="5B8E2AAD"/>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85">
    <w:nsid w:val="5C40497E"/>
    <w:multiLevelType w:val="multilevel"/>
    <w:tmpl w:val="5C40497E"/>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86">
    <w:nsid w:val="5CA62607"/>
    <w:multiLevelType w:val="multilevel"/>
    <w:tmpl w:val="5CA62607"/>
    <w:lvl w:ilvl="0" w:tentative="0">
      <w:start w:val="1"/>
      <w:numFmt w:val="bullet"/>
      <w:lvlText w:val="-"/>
      <w:lvlJc w:val="left"/>
      <w:pPr>
        <w:ind w:left="831" w:hanging="231"/>
      </w:pPr>
      <w:rPr>
        <w:rFonts w:ascii="Times New Roman" w:hAnsi="Times New Roman" w:eastAsia="Times New Roman" w:cs="Times New Roman"/>
        <w:vertAlign w:val="baseline"/>
      </w:rPr>
    </w:lvl>
    <w:lvl w:ilvl="1" w:tentative="0">
      <w:start w:val="1"/>
      <w:numFmt w:val="bullet"/>
      <w:lvlText w:val="●"/>
      <w:lvlJc w:val="left"/>
      <w:pPr>
        <w:ind w:left="1609" w:hanging="231"/>
      </w:pPr>
      <w:rPr>
        <w:rFonts w:ascii="Noto Sans Symbols" w:hAnsi="Noto Sans Symbols" w:eastAsia="Noto Sans Symbols" w:cs="Noto Sans Symbols"/>
        <w:vertAlign w:val="baseline"/>
      </w:rPr>
    </w:lvl>
    <w:lvl w:ilvl="2" w:tentative="0">
      <w:start w:val="1"/>
      <w:numFmt w:val="bullet"/>
      <w:lvlText w:val="●"/>
      <w:lvlJc w:val="left"/>
      <w:pPr>
        <w:ind w:left="2378" w:hanging="231"/>
      </w:pPr>
      <w:rPr>
        <w:rFonts w:ascii="Noto Sans Symbols" w:hAnsi="Noto Sans Symbols" w:eastAsia="Noto Sans Symbols" w:cs="Noto Sans Symbols"/>
        <w:vertAlign w:val="baseline"/>
      </w:rPr>
    </w:lvl>
    <w:lvl w:ilvl="3" w:tentative="0">
      <w:start w:val="1"/>
      <w:numFmt w:val="bullet"/>
      <w:lvlText w:val="●"/>
      <w:lvlJc w:val="left"/>
      <w:pPr>
        <w:ind w:left="3147" w:hanging="231"/>
      </w:pPr>
      <w:rPr>
        <w:rFonts w:ascii="Noto Sans Symbols" w:hAnsi="Noto Sans Symbols" w:eastAsia="Noto Sans Symbols" w:cs="Noto Sans Symbols"/>
        <w:vertAlign w:val="baseline"/>
      </w:rPr>
    </w:lvl>
    <w:lvl w:ilvl="4" w:tentative="0">
      <w:start w:val="1"/>
      <w:numFmt w:val="bullet"/>
      <w:lvlText w:val="●"/>
      <w:lvlJc w:val="left"/>
      <w:pPr>
        <w:ind w:left="3916" w:hanging="231"/>
      </w:pPr>
      <w:rPr>
        <w:rFonts w:ascii="Noto Sans Symbols" w:hAnsi="Noto Sans Symbols" w:eastAsia="Noto Sans Symbols" w:cs="Noto Sans Symbols"/>
        <w:vertAlign w:val="baseline"/>
      </w:rPr>
    </w:lvl>
    <w:lvl w:ilvl="5" w:tentative="0">
      <w:start w:val="1"/>
      <w:numFmt w:val="bullet"/>
      <w:lvlText w:val="●"/>
      <w:lvlJc w:val="left"/>
      <w:pPr>
        <w:ind w:left="4685" w:hanging="231"/>
      </w:pPr>
      <w:rPr>
        <w:rFonts w:ascii="Noto Sans Symbols" w:hAnsi="Noto Sans Symbols" w:eastAsia="Noto Sans Symbols" w:cs="Noto Sans Symbols"/>
        <w:vertAlign w:val="baseline"/>
      </w:rPr>
    </w:lvl>
    <w:lvl w:ilvl="6" w:tentative="0">
      <w:start w:val="1"/>
      <w:numFmt w:val="bullet"/>
      <w:lvlText w:val="●"/>
      <w:lvlJc w:val="left"/>
      <w:pPr>
        <w:ind w:left="5454" w:hanging="231"/>
      </w:pPr>
      <w:rPr>
        <w:rFonts w:ascii="Noto Sans Symbols" w:hAnsi="Noto Sans Symbols" w:eastAsia="Noto Sans Symbols" w:cs="Noto Sans Symbols"/>
        <w:vertAlign w:val="baseline"/>
      </w:rPr>
    </w:lvl>
    <w:lvl w:ilvl="7" w:tentative="0">
      <w:start w:val="1"/>
      <w:numFmt w:val="bullet"/>
      <w:lvlText w:val="●"/>
      <w:lvlJc w:val="left"/>
      <w:pPr>
        <w:ind w:left="6223" w:hanging="231"/>
      </w:pPr>
      <w:rPr>
        <w:rFonts w:ascii="Noto Sans Symbols" w:hAnsi="Noto Sans Symbols" w:eastAsia="Noto Sans Symbols" w:cs="Noto Sans Symbols"/>
        <w:vertAlign w:val="baseline"/>
      </w:rPr>
    </w:lvl>
    <w:lvl w:ilvl="8" w:tentative="0">
      <w:start w:val="1"/>
      <w:numFmt w:val="bullet"/>
      <w:lvlText w:val="●"/>
      <w:lvlJc w:val="left"/>
      <w:pPr>
        <w:ind w:left="6992" w:hanging="231"/>
      </w:pPr>
      <w:rPr>
        <w:rFonts w:ascii="Noto Sans Symbols" w:hAnsi="Noto Sans Symbols" w:eastAsia="Noto Sans Symbols" w:cs="Noto Sans Symbols"/>
        <w:vertAlign w:val="baseline"/>
      </w:rPr>
    </w:lvl>
  </w:abstractNum>
  <w:abstractNum w:abstractNumId="87">
    <w:nsid w:val="5DBB1985"/>
    <w:multiLevelType w:val="multilevel"/>
    <w:tmpl w:val="5DBB1985"/>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88">
    <w:nsid w:val="5EF40C5C"/>
    <w:multiLevelType w:val="multilevel"/>
    <w:tmpl w:val="5EF40C5C"/>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89">
    <w:nsid w:val="60685026"/>
    <w:multiLevelType w:val="multilevel"/>
    <w:tmpl w:val="60685026"/>
    <w:lvl w:ilvl="0" w:tentative="0">
      <w:start w:val="1"/>
      <w:numFmt w:val="upperRoman"/>
      <w:lvlText w:val="%1"/>
      <w:lvlJc w:val="left"/>
      <w:pPr>
        <w:ind w:left="817" w:hanging="705"/>
      </w:pPr>
      <w:rPr>
        <w:sz w:val="24"/>
        <w:szCs w:val="24"/>
        <w:vertAlign w:val="baseline"/>
      </w:rPr>
    </w:lvl>
    <w:lvl w:ilvl="1" w:tentative="0">
      <w:start w:val="1"/>
      <w:numFmt w:val="bullet"/>
      <w:lvlText w:val="●"/>
      <w:lvlJc w:val="left"/>
      <w:pPr>
        <w:ind w:left="1584" w:hanging="705"/>
      </w:pPr>
      <w:rPr>
        <w:rFonts w:ascii="Noto Sans Symbols" w:hAnsi="Noto Sans Symbols" w:eastAsia="Noto Sans Symbols" w:cs="Noto Sans Symbols"/>
        <w:vertAlign w:val="baseline"/>
      </w:rPr>
    </w:lvl>
    <w:lvl w:ilvl="2" w:tentative="0">
      <w:start w:val="1"/>
      <w:numFmt w:val="bullet"/>
      <w:lvlText w:val="●"/>
      <w:lvlJc w:val="left"/>
      <w:pPr>
        <w:ind w:left="2348" w:hanging="705"/>
      </w:pPr>
      <w:rPr>
        <w:rFonts w:ascii="Noto Sans Symbols" w:hAnsi="Noto Sans Symbols" w:eastAsia="Noto Sans Symbols" w:cs="Noto Sans Symbols"/>
        <w:vertAlign w:val="baseline"/>
      </w:rPr>
    </w:lvl>
    <w:lvl w:ilvl="3" w:tentative="0">
      <w:start w:val="1"/>
      <w:numFmt w:val="bullet"/>
      <w:lvlText w:val="●"/>
      <w:lvlJc w:val="left"/>
      <w:pPr>
        <w:ind w:left="3113" w:hanging="706"/>
      </w:pPr>
      <w:rPr>
        <w:rFonts w:ascii="Noto Sans Symbols" w:hAnsi="Noto Sans Symbols" w:eastAsia="Noto Sans Symbols" w:cs="Noto Sans Symbols"/>
        <w:vertAlign w:val="baseline"/>
      </w:rPr>
    </w:lvl>
    <w:lvl w:ilvl="4" w:tentative="0">
      <w:start w:val="1"/>
      <w:numFmt w:val="bullet"/>
      <w:lvlText w:val="●"/>
      <w:lvlJc w:val="left"/>
      <w:pPr>
        <w:ind w:left="3877" w:hanging="706"/>
      </w:pPr>
      <w:rPr>
        <w:rFonts w:ascii="Noto Sans Symbols" w:hAnsi="Noto Sans Symbols" w:eastAsia="Noto Sans Symbols" w:cs="Noto Sans Symbols"/>
        <w:vertAlign w:val="baseline"/>
      </w:rPr>
    </w:lvl>
    <w:lvl w:ilvl="5" w:tentative="0">
      <w:start w:val="1"/>
      <w:numFmt w:val="bullet"/>
      <w:lvlText w:val="●"/>
      <w:lvlJc w:val="left"/>
      <w:pPr>
        <w:ind w:left="4642" w:hanging="706"/>
      </w:pPr>
      <w:rPr>
        <w:rFonts w:ascii="Noto Sans Symbols" w:hAnsi="Noto Sans Symbols" w:eastAsia="Noto Sans Symbols" w:cs="Noto Sans Symbols"/>
        <w:vertAlign w:val="baseline"/>
      </w:rPr>
    </w:lvl>
    <w:lvl w:ilvl="6" w:tentative="0">
      <w:start w:val="1"/>
      <w:numFmt w:val="bullet"/>
      <w:lvlText w:val="●"/>
      <w:lvlJc w:val="left"/>
      <w:pPr>
        <w:ind w:left="5406" w:hanging="706"/>
      </w:pPr>
      <w:rPr>
        <w:rFonts w:ascii="Noto Sans Symbols" w:hAnsi="Noto Sans Symbols" w:eastAsia="Noto Sans Symbols" w:cs="Noto Sans Symbols"/>
        <w:vertAlign w:val="baseline"/>
      </w:rPr>
    </w:lvl>
    <w:lvl w:ilvl="7" w:tentative="0">
      <w:start w:val="1"/>
      <w:numFmt w:val="bullet"/>
      <w:lvlText w:val="●"/>
      <w:lvlJc w:val="left"/>
      <w:pPr>
        <w:ind w:left="6170" w:hanging="706"/>
      </w:pPr>
      <w:rPr>
        <w:rFonts w:ascii="Noto Sans Symbols" w:hAnsi="Noto Sans Symbols" w:eastAsia="Noto Sans Symbols" w:cs="Noto Sans Symbols"/>
        <w:vertAlign w:val="baseline"/>
      </w:rPr>
    </w:lvl>
    <w:lvl w:ilvl="8" w:tentative="0">
      <w:start w:val="1"/>
      <w:numFmt w:val="bullet"/>
      <w:lvlText w:val="●"/>
      <w:lvlJc w:val="left"/>
      <w:pPr>
        <w:ind w:left="6935" w:hanging="706"/>
      </w:pPr>
      <w:rPr>
        <w:rFonts w:ascii="Noto Sans Symbols" w:hAnsi="Noto Sans Symbols" w:eastAsia="Noto Sans Symbols" w:cs="Noto Sans Symbols"/>
        <w:vertAlign w:val="baseline"/>
      </w:rPr>
    </w:lvl>
  </w:abstractNum>
  <w:abstractNum w:abstractNumId="90">
    <w:nsid w:val="61413AA8"/>
    <w:multiLevelType w:val="multilevel"/>
    <w:tmpl w:val="61413AA8"/>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91">
    <w:nsid w:val="61780B48"/>
    <w:multiLevelType w:val="multilevel"/>
    <w:tmpl w:val="61780B48"/>
    <w:lvl w:ilvl="0" w:tentative="0">
      <w:start w:val="1"/>
      <w:numFmt w:val="bullet"/>
      <w:lvlText w:val="●"/>
      <w:lvlJc w:val="left"/>
      <w:pPr>
        <w:ind w:left="0" w:firstLine="0"/>
      </w:pPr>
      <w:rPr>
        <w:rFonts w:ascii="Noto Sans Symbols" w:hAnsi="Noto Sans Symbols" w:eastAsia="Noto Sans Symbols" w:cs="Noto Sans Symbols"/>
        <w:vertAlign w:val="baseline"/>
      </w:rPr>
    </w:lvl>
    <w:lvl w:ilvl="1" w:tentative="0">
      <w:start w:val="1"/>
      <w:numFmt w:val="bullet"/>
      <w:lvlText w:val="◦"/>
      <w:lvlJc w:val="left"/>
      <w:pPr>
        <w:ind w:left="0" w:firstLine="0"/>
      </w:pPr>
      <w:rPr>
        <w:rFonts w:ascii="Noto Sans Symbols" w:hAnsi="Noto Sans Symbols" w:eastAsia="Noto Sans Symbols" w:cs="Noto Sans Symbols"/>
        <w:vertAlign w:val="baseline"/>
      </w:rPr>
    </w:lvl>
    <w:lvl w:ilvl="2" w:tentative="0">
      <w:start w:val="1"/>
      <w:numFmt w:val="bullet"/>
      <w:lvlText w:val="▪"/>
      <w:lvlJc w:val="left"/>
      <w:pPr>
        <w:ind w:left="0" w:firstLine="0"/>
      </w:pPr>
      <w:rPr>
        <w:rFonts w:ascii="Noto Sans Symbols" w:hAnsi="Noto Sans Symbols" w:eastAsia="Noto Sans Symbols" w:cs="Noto Sans Symbols"/>
        <w:vertAlign w:val="baseline"/>
      </w:rPr>
    </w:lvl>
    <w:lvl w:ilvl="3" w:tentative="0">
      <w:start w:val="1"/>
      <w:numFmt w:val="bullet"/>
      <w:lvlText w:val="●"/>
      <w:lvlJc w:val="left"/>
      <w:pPr>
        <w:ind w:left="0" w:firstLine="0"/>
      </w:pPr>
      <w:rPr>
        <w:rFonts w:ascii="Noto Sans Symbols" w:hAnsi="Noto Sans Symbols" w:eastAsia="Noto Sans Symbols" w:cs="Noto Sans Symbols"/>
        <w:vertAlign w:val="baseline"/>
      </w:rPr>
    </w:lvl>
    <w:lvl w:ilvl="4" w:tentative="0">
      <w:start w:val="1"/>
      <w:numFmt w:val="bullet"/>
      <w:lvlText w:val="◦"/>
      <w:lvlJc w:val="left"/>
      <w:pPr>
        <w:ind w:left="0" w:firstLine="0"/>
      </w:pPr>
      <w:rPr>
        <w:rFonts w:ascii="Noto Sans Symbols" w:hAnsi="Noto Sans Symbols" w:eastAsia="Noto Sans Symbols" w:cs="Noto Sans Symbols"/>
        <w:vertAlign w:val="baseline"/>
      </w:rPr>
    </w:lvl>
    <w:lvl w:ilvl="5" w:tentative="0">
      <w:start w:val="1"/>
      <w:numFmt w:val="bullet"/>
      <w:lvlText w:val="▪"/>
      <w:lvlJc w:val="left"/>
      <w:pPr>
        <w:ind w:left="0" w:firstLine="0"/>
      </w:pPr>
      <w:rPr>
        <w:rFonts w:ascii="Noto Sans Symbols" w:hAnsi="Noto Sans Symbols" w:eastAsia="Noto Sans Symbols" w:cs="Noto Sans Symbols"/>
        <w:vertAlign w:val="baseline"/>
      </w:rPr>
    </w:lvl>
    <w:lvl w:ilvl="6" w:tentative="0">
      <w:start w:val="1"/>
      <w:numFmt w:val="bullet"/>
      <w:lvlText w:val="●"/>
      <w:lvlJc w:val="left"/>
      <w:pPr>
        <w:ind w:left="0" w:firstLine="0"/>
      </w:pPr>
      <w:rPr>
        <w:rFonts w:ascii="Noto Sans Symbols" w:hAnsi="Noto Sans Symbols" w:eastAsia="Noto Sans Symbols" w:cs="Noto Sans Symbols"/>
        <w:vertAlign w:val="baseline"/>
      </w:rPr>
    </w:lvl>
    <w:lvl w:ilvl="7" w:tentative="0">
      <w:start w:val="1"/>
      <w:numFmt w:val="bullet"/>
      <w:lvlText w:val="◦"/>
      <w:lvlJc w:val="left"/>
      <w:pPr>
        <w:ind w:left="0" w:firstLine="0"/>
      </w:pPr>
      <w:rPr>
        <w:rFonts w:ascii="Noto Sans Symbols" w:hAnsi="Noto Sans Symbols" w:eastAsia="Noto Sans Symbols" w:cs="Noto Sans Symbols"/>
        <w:vertAlign w:val="baseline"/>
      </w:rPr>
    </w:lvl>
    <w:lvl w:ilvl="8" w:tentative="0">
      <w:start w:val="1"/>
      <w:numFmt w:val="bullet"/>
      <w:lvlText w:val="▪"/>
      <w:lvlJc w:val="left"/>
      <w:pPr>
        <w:ind w:left="0" w:firstLine="0"/>
      </w:pPr>
      <w:rPr>
        <w:rFonts w:ascii="Noto Sans Symbols" w:hAnsi="Noto Sans Symbols" w:eastAsia="Noto Sans Symbols" w:cs="Noto Sans Symbols"/>
        <w:vertAlign w:val="baseline"/>
      </w:rPr>
    </w:lvl>
  </w:abstractNum>
  <w:abstractNum w:abstractNumId="92">
    <w:nsid w:val="618571D9"/>
    <w:multiLevelType w:val="multilevel"/>
    <w:tmpl w:val="618571D9"/>
    <w:lvl w:ilvl="0" w:tentative="0">
      <w:start w:val="1"/>
      <w:numFmt w:val="decimal"/>
      <w:lvlText w:val="%1"/>
      <w:lvlJc w:val="left"/>
      <w:pPr>
        <w:ind w:left="111" w:hanging="274"/>
      </w:pPr>
      <w:rPr>
        <w:sz w:val="24"/>
        <w:szCs w:val="24"/>
        <w:vertAlign w:val="baseline"/>
      </w:rPr>
    </w:lvl>
    <w:lvl w:ilvl="1" w:tentative="0">
      <w:start w:val="1"/>
      <w:numFmt w:val="bullet"/>
      <w:lvlText w:val="●"/>
      <w:lvlJc w:val="left"/>
      <w:pPr>
        <w:ind w:left="975" w:hanging="274"/>
      </w:pPr>
      <w:rPr>
        <w:rFonts w:ascii="Noto Sans Symbols" w:hAnsi="Noto Sans Symbols" w:eastAsia="Noto Sans Symbols" w:cs="Noto Sans Symbols"/>
        <w:vertAlign w:val="baseline"/>
      </w:rPr>
    </w:lvl>
    <w:lvl w:ilvl="2" w:tentative="0">
      <w:start w:val="1"/>
      <w:numFmt w:val="bullet"/>
      <w:lvlText w:val="●"/>
      <w:lvlJc w:val="left"/>
      <w:pPr>
        <w:ind w:left="1831" w:hanging="274"/>
      </w:pPr>
      <w:rPr>
        <w:rFonts w:ascii="Noto Sans Symbols" w:hAnsi="Noto Sans Symbols" w:eastAsia="Noto Sans Symbols" w:cs="Noto Sans Symbols"/>
        <w:vertAlign w:val="baseline"/>
      </w:rPr>
    </w:lvl>
    <w:lvl w:ilvl="3" w:tentative="0">
      <w:start w:val="1"/>
      <w:numFmt w:val="bullet"/>
      <w:lvlText w:val="●"/>
      <w:lvlJc w:val="left"/>
      <w:pPr>
        <w:ind w:left="2686" w:hanging="274"/>
      </w:pPr>
      <w:rPr>
        <w:rFonts w:ascii="Noto Sans Symbols" w:hAnsi="Noto Sans Symbols" w:eastAsia="Noto Sans Symbols" w:cs="Noto Sans Symbols"/>
        <w:vertAlign w:val="baseline"/>
      </w:rPr>
    </w:lvl>
    <w:lvl w:ilvl="4" w:tentative="0">
      <w:start w:val="1"/>
      <w:numFmt w:val="bullet"/>
      <w:lvlText w:val="●"/>
      <w:lvlJc w:val="left"/>
      <w:pPr>
        <w:ind w:left="3542" w:hanging="274"/>
      </w:pPr>
      <w:rPr>
        <w:rFonts w:ascii="Noto Sans Symbols" w:hAnsi="Noto Sans Symbols" w:eastAsia="Noto Sans Symbols" w:cs="Noto Sans Symbols"/>
        <w:vertAlign w:val="baseline"/>
      </w:rPr>
    </w:lvl>
    <w:lvl w:ilvl="5" w:tentative="0">
      <w:start w:val="1"/>
      <w:numFmt w:val="bullet"/>
      <w:lvlText w:val="●"/>
      <w:lvlJc w:val="left"/>
      <w:pPr>
        <w:ind w:left="4397" w:hanging="274"/>
      </w:pPr>
      <w:rPr>
        <w:rFonts w:ascii="Noto Sans Symbols" w:hAnsi="Noto Sans Symbols" w:eastAsia="Noto Sans Symbols" w:cs="Noto Sans Symbols"/>
        <w:vertAlign w:val="baseline"/>
      </w:rPr>
    </w:lvl>
    <w:lvl w:ilvl="6" w:tentative="0">
      <w:start w:val="1"/>
      <w:numFmt w:val="bullet"/>
      <w:lvlText w:val="●"/>
      <w:lvlJc w:val="left"/>
      <w:pPr>
        <w:ind w:left="5253" w:hanging="274"/>
      </w:pPr>
      <w:rPr>
        <w:rFonts w:ascii="Noto Sans Symbols" w:hAnsi="Noto Sans Symbols" w:eastAsia="Noto Sans Symbols" w:cs="Noto Sans Symbols"/>
        <w:vertAlign w:val="baseline"/>
      </w:rPr>
    </w:lvl>
    <w:lvl w:ilvl="7" w:tentative="0">
      <w:start w:val="1"/>
      <w:numFmt w:val="bullet"/>
      <w:lvlText w:val="●"/>
      <w:lvlJc w:val="left"/>
      <w:pPr>
        <w:ind w:left="6108" w:hanging="274"/>
      </w:pPr>
      <w:rPr>
        <w:rFonts w:ascii="Noto Sans Symbols" w:hAnsi="Noto Sans Symbols" w:eastAsia="Noto Sans Symbols" w:cs="Noto Sans Symbols"/>
        <w:vertAlign w:val="baseline"/>
      </w:rPr>
    </w:lvl>
    <w:lvl w:ilvl="8" w:tentative="0">
      <w:start w:val="1"/>
      <w:numFmt w:val="bullet"/>
      <w:lvlText w:val="●"/>
      <w:lvlJc w:val="left"/>
      <w:pPr>
        <w:ind w:left="6964" w:hanging="274"/>
      </w:pPr>
      <w:rPr>
        <w:rFonts w:ascii="Noto Sans Symbols" w:hAnsi="Noto Sans Symbols" w:eastAsia="Noto Sans Symbols" w:cs="Noto Sans Symbols"/>
        <w:vertAlign w:val="baseline"/>
      </w:rPr>
    </w:lvl>
  </w:abstractNum>
  <w:abstractNum w:abstractNumId="93">
    <w:nsid w:val="62005816"/>
    <w:multiLevelType w:val="multilevel"/>
    <w:tmpl w:val="62005816"/>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94">
    <w:nsid w:val="64C52D1F"/>
    <w:multiLevelType w:val="multilevel"/>
    <w:tmpl w:val="64C52D1F"/>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95">
    <w:nsid w:val="660A4CF1"/>
    <w:multiLevelType w:val="multilevel"/>
    <w:tmpl w:val="660A4CF1"/>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96">
    <w:nsid w:val="665B0D75"/>
    <w:multiLevelType w:val="multilevel"/>
    <w:tmpl w:val="665B0D75"/>
    <w:lvl w:ilvl="0" w:tentative="0">
      <w:start w:val="1"/>
      <w:numFmt w:val="decimal"/>
      <w:lvlText w:val="%1"/>
      <w:lvlJc w:val="left"/>
      <w:pPr>
        <w:ind w:left="0" w:firstLine="0"/>
      </w:pPr>
      <w:rPr>
        <w:vertAlign w:val="baseline"/>
      </w:rPr>
    </w:lvl>
    <w:lvl w:ilvl="1" w:tentative="0">
      <w:start w:val="1"/>
      <w:numFmt w:val="decimal"/>
      <w:lvlText w:val="%1.%2"/>
      <w:lvlJc w:val="left"/>
      <w:pPr>
        <w:ind w:left="1080" w:hanging="360"/>
      </w:pPr>
      <w:rPr>
        <w:vertAlign w:val="baseline"/>
      </w:rPr>
    </w:lvl>
    <w:lvl w:ilvl="2" w:tentative="0">
      <w:start w:val="1"/>
      <w:numFmt w:val="decimal"/>
      <w:lvlText w:val="%2.%3"/>
      <w:lvlJc w:val="left"/>
      <w:pPr>
        <w:ind w:left="1440" w:hanging="360"/>
      </w:pPr>
      <w:rPr>
        <w:vertAlign w:val="baseline"/>
      </w:rPr>
    </w:lvl>
    <w:lvl w:ilvl="3" w:tentative="0">
      <w:start w:val="1"/>
      <w:numFmt w:val="decimal"/>
      <w:lvlText w:val="%3.%4"/>
      <w:lvlJc w:val="left"/>
      <w:pPr>
        <w:ind w:left="1800" w:hanging="360"/>
      </w:pPr>
      <w:rPr>
        <w:vertAlign w:val="baseline"/>
      </w:rPr>
    </w:lvl>
    <w:lvl w:ilvl="4" w:tentative="0">
      <w:start w:val="1"/>
      <w:numFmt w:val="decimal"/>
      <w:lvlText w:val="%4.%5"/>
      <w:lvlJc w:val="left"/>
      <w:pPr>
        <w:ind w:left="2160" w:hanging="360"/>
      </w:pPr>
      <w:rPr>
        <w:vertAlign w:val="baseline"/>
      </w:rPr>
    </w:lvl>
    <w:lvl w:ilvl="5" w:tentative="0">
      <w:start w:val="1"/>
      <w:numFmt w:val="decimal"/>
      <w:lvlText w:val="%5.%6"/>
      <w:lvlJc w:val="left"/>
      <w:pPr>
        <w:ind w:left="2520" w:hanging="360"/>
      </w:pPr>
      <w:rPr>
        <w:vertAlign w:val="baseline"/>
      </w:rPr>
    </w:lvl>
    <w:lvl w:ilvl="6" w:tentative="0">
      <w:start w:val="1"/>
      <w:numFmt w:val="decimal"/>
      <w:lvlText w:val="%6.%7"/>
      <w:lvlJc w:val="left"/>
      <w:pPr>
        <w:ind w:left="2880" w:hanging="360"/>
      </w:pPr>
      <w:rPr>
        <w:vertAlign w:val="baseline"/>
      </w:rPr>
    </w:lvl>
    <w:lvl w:ilvl="7" w:tentative="0">
      <w:start w:val="1"/>
      <w:numFmt w:val="decimal"/>
      <w:lvlText w:val="%7.%8"/>
      <w:lvlJc w:val="left"/>
      <w:pPr>
        <w:ind w:left="3240" w:hanging="360"/>
      </w:pPr>
      <w:rPr>
        <w:vertAlign w:val="baseline"/>
      </w:rPr>
    </w:lvl>
    <w:lvl w:ilvl="8" w:tentative="0">
      <w:start w:val="1"/>
      <w:numFmt w:val="decimal"/>
      <w:lvlText w:val="%8.%9"/>
      <w:lvlJc w:val="left"/>
      <w:pPr>
        <w:ind w:left="3600" w:hanging="360"/>
      </w:pPr>
      <w:rPr>
        <w:vertAlign w:val="baseline"/>
      </w:rPr>
    </w:lvl>
  </w:abstractNum>
  <w:abstractNum w:abstractNumId="97">
    <w:nsid w:val="67CD7C41"/>
    <w:multiLevelType w:val="multilevel"/>
    <w:tmpl w:val="67CD7C41"/>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98">
    <w:nsid w:val="687176DE"/>
    <w:multiLevelType w:val="multilevel"/>
    <w:tmpl w:val="687176DE"/>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99">
    <w:nsid w:val="68A01817"/>
    <w:multiLevelType w:val="multilevel"/>
    <w:tmpl w:val="68A01817"/>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100">
    <w:nsid w:val="68A974A9"/>
    <w:multiLevelType w:val="multilevel"/>
    <w:tmpl w:val="68A974A9"/>
    <w:lvl w:ilvl="0" w:tentative="0">
      <w:start w:val="1"/>
      <w:numFmt w:val="decimal"/>
      <w:lvlText w:val="%1."/>
      <w:lvlJc w:val="left"/>
      <w:pPr>
        <w:ind w:left="0" w:firstLine="0"/>
      </w:pPr>
      <w:rPr>
        <w:vertAlign w:val="baseline"/>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01">
    <w:nsid w:val="6A5515A1"/>
    <w:multiLevelType w:val="multilevel"/>
    <w:tmpl w:val="6A5515A1"/>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102">
    <w:nsid w:val="6B6F5EDF"/>
    <w:multiLevelType w:val="multilevel"/>
    <w:tmpl w:val="6B6F5EDF"/>
    <w:lvl w:ilvl="0" w:tentative="0">
      <w:start w:val="1"/>
      <w:numFmt w:val="decimal"/>
      <w:lvlText w:val="%1"/>
      <w:lvlJc w:val="left"/>
      <w:pPr>
        <w:ind w:left="471" w:hanging="360"/>
      </w:pPr>
      <w:rPr>
        <w:sz w:val="24"/>
        <w:szCs w:val="24"/>
        <w:vertAlign w:val="baseline"/>
      </w:rPr>
    </w:lvl>
    <w:lvl w:ilvl="1" w:tentative="0">
      <w:start w:val="1"/>
      <w:numFmt w:val="bullet"/>
      <w:lvlText w:val="●"/>
      <w:lvlJc w:val="left"/>
      <w:pPr>
        <w:ind w:left="1313" w:hanging="359"/>
      </w:pPr>
      <w:rPr>
        <w:rFonts w:ascii="Noto Sans Symbols" w:hAnsi="Noto Sans Symbols" w:eastAsia="Noto Sans Symbols" w:cs="Noto Sans Symbols"/>
        <w:vertAlign w:val="baseline"/>
      </w:rPr>
    </w:lvl>
    <w:lvl w:ilvl="2" w:tentative="0">
      <w:start w:val="1"/>
      <w:numFmt w:val="bullet"/>
      <w:lvlText w:val="●"/>
      <w:lvlJc w:val="left"/>
      <w:pPr>
        <w:ind w:left="2147" w:hanging="360"/>
      </w:pPr>
      <w:rPr>
        <w:rFonts w:ascii="Noto Sans Symbols" w:hAnsi="Noto Sans Symbols" w:eastAsia="Noto Sans Symbols" w:cs="Noto Sans Symbols"/>
        <w:vertAlign w:val="baseline"/>
      </w:rPr>
    </w:lvl>
    <w:lvl w:ilvl="3" w:tentative="0">
      <w:start w:val="1"/>
      <w:numFmt w:val="bullet"/>
      <w:lvlText w:val="●"/>
      <w:lvlJc w:val="left"/>
      <w:pPr>
        <w:ind w:left="2981" w:hanging="360"/>
      </w:pPr>
      <w:rPr>
        <w:rFonts w:ascii="Noto Sans Symbols" w:hAnsi="Noto Sans Symbols" w:eastAsia="Noto Sans Symbols" w:cs="Noto Sans Symbols"/>
        <w:vertAlign w:val="baseline"/>
      </w:rPr>
    </w:lvl>
    <w:lvl w:ilvl="4" w:tentative="0">
      <w:start w:val="1"/>
      <w:numFmt w:val="bullet"/>
      <w:lvlText w:val="●"/>
      <w:lvlJc w:val="left"/>
      <w:pPr>
        <w:ind w:left="3815" w:hanging="360"/>
      </w:pPr>
      <w:rPr>
        <w:rFonts w:ascii="Noto Sans Symbols" w:hAnsi="Noto Sans Symbols" w:eastAsia="Noto Sans Symbols" w:cs="Noto Sans Symbols"/>
        <w:vertAlign w:val="baseline"/>
      </w:rPr>
    </w:lvl>
    <w:lvl w:ilvl="5" w:tentative="0">
      <w:start w:val="1"/>
      <w:numFmt w:val="bullet"/>
      <w:lvlText w:val="●"/>
      <w:lvlJc w:val="left"/>
      <w:pPr>
        <w:ind w:left="4649" w:hanging="360"/>
      </w:pPr>
      <w:rPr>
        <w:rFonts w:ascii="Noto Sans Symbols" w:hAnsi="Noto Sans Symbols" w:eastAsia="Noto Sans Symbols" w:cs="Noto Sans Symbols"/>
        <w:vertAlign w:val="baseline"/>
      </w:rPr>
    </w:lvl>
    <w:lvl w:ilvl="6" w:tentative="0">
      <w:start w:val="1"/>
      <w:numFmt w:val="bullet"/>
      <w:lvlText w:val="●"/>
      <w:lvlJc w:val="left"/>
      <w:pPr>
        <w:ind w:left="5482" w:hanging="360"/>
      </w:pPr>
      <w:rPr>
        <w:rFonts w:ascii="Noto Sans Symbols" w:hAnsi="Noto Sans Symbols" w:eastAsia="Noto Sans Symbols" w:cs="Noto Sans Symbols"/>
        <w:vertAlign w:val="baseline"/>
      </w:rPr>
    </w:lvl>
    <w:lvl w:ilvl="7" w:tentative="0">
      <w:start w:val="1"/>
      <w:numFmt w:val="bullet"/>
      <w:lvlText w:val="●"/>
      <w:lvlJc w:val="left"/>
      <w:pPr>
        <w:ind w:left="6316" w:hanging="360"/>
      </w:pPr>
      <w:rPr>
        <w:rFonts w:ascii="Noto Sans Symbols" w:hAnsi="Noto Sans Symbols" w:eastAsia="Noto Sans Symbols" w:cs="Noto Sans Symbols"/>
        <w:vertAlign w:val="baseline"/>
      </w:rPr>
    </w:lvl>
    <w:lvl w:ilvl="8" w:tentative="0">
      <w:start w:val="1"/>
      <w:numFmt w:val="bullet"/>
      <w:lvlText w:val="●"/>
      <w:lvlJc w:val="left"/>
      <w:pPr>
        <w:ind w:left="7150" w:hanging="360"/>
      </w:pPr>
      <w:rPr>
        <w:rFonts w:ascii="Noto Sans Symbols" w:hAnsi="Noto Sans Symbols" w:eastAsia="Noto Sans Symbols" w:cs="Noto Sans Symbols"/>
        <w:vertAlign w:val="baseline"/>
      </w:rPr>
    </w:lvl>
  </w:abstractNum>
  <w:abstractNum w:abstractNumId="103">
    <w:nsid w:val="6BDB0E2B"/>
    <w:multiLevelType w:val="multilevel"/>
    <w:tmpl w:val="6BDB0E2B"/>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104">
    <w:nsid w:val="6CE011CE"/>
    <w:multiLevelType w:val="multilevel"/>
    <w:tmpl w:val="6CE011CE"/>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105">
    <w:nsid w:val="6D84332E"/>
    <w:multiLevelType w:val="multilevel"/>
    <w:tmpl w:val="6D84332E"/>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106">
    <w:nsid w:val="6DF22B62"/>
    <w:multiLevelType w:val="multilevel"/>
    <w:tmpl w:val="6DF22B62"/>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107">
    <w:nsid w:val="6FA01FBB"/>
    <w:multiLevelType w:val="multilevel"/>
    <w:tmpl w:val="6FA01FBB"/>
    <w:lvl w:ilvl="0" w:tentative="0">
      <w:start w:val="1"/>
      <w:numFmt w:val="bullet"/>
      <w:lvlText w:val="●"/>
      <w:lvlJc w:val="left"/>
      <w:pPr>
        <w:ind w:left="111" w:hanging="360"/>
      </w:pPr>
      <w:rPr>
        <w:rFonts w:ascii="Noto Sans Symbols" w:hAnsi="Noto Sans Symbols" w:eastAsia="Noto Sans Symbols" w:cs="Noto Sans Symbols"/>
        <w:vertAlign w:val="baseline"/>
      </w:rPr>
    </w:lvl>
    <w:lvl w:ilvl="1" w:tentative="0">
      <w:start w:val="1"/>
      <w:numFmt w:val="bullet"/>
      <w:lvlText w:val="●"/>
      <w:lvlJc w:val="left"/>
      <w:pPr>
        <w:ind w:left="947" w:hanging="360"/>
      </w:pPr>
      <w:rPr>
        <w:rFonts w:ascii="Noto Sans Symbols" w:hAnsi="Noto Sans Symbols" w:eastAsia="Noto Sans Symbols" w:cs="Noto Sans Symbols"/>
        <w:vertAlign w:val="baseline"/>
      </w:rPr>
    </w:lvl>
    <w:lvl w:ilvl="2" w:tentative="0">
      <w:start w:val="1"/>
      <w:numFmt w:val="bullet"/>
      <w:lvlText w:val="●"/>
      <w:lvlJc w:val="left"/>
      <w:pPr>
        <w:ind w:left="1774" w:hanging="360"/>
      </w:pPr>
      <w:rPr>
        <w:rFonts w:ascii="Noto Sans Symbols" w:hAnsi="Noto Sans Symbols" w:eastAsia="Noto Sans Symbols" w:cs="Noto Sans Symbols"/>
        <w:vertAlign w:val="baseline"/>
      </w:rPr>
    </w:lvl>
    <w:lvl w:ilvl="3" w:tentative="0">
      <w:start w:val="1"/>
      <w:numFmt w:val="bullet"/>
      <w:lvlText w:val="●"/>
      <w:lvlJc w:val="left"/>
      <w:pPr>
        <w:ind w:left="2601" w:hanging="360"/>
      </w:pPr>
      <w:rPr>
        <w:rFonts w:ascii="Noto Sans Symbols" w:hAnsi="Noto Sans Symbols" w:eastAsia="Noto Sans Symbols" w:cs="Noto Sans Symbols"/>
        <w:vertAlign w:val="baseline"/>
      </w:rPr>
    </w:lvl>
    <w:lvl w:ilvl="4" w:tentative="0">
      <w:start w:val="1"/>
      <w:numFmt w:val="bullet"/>
      <w:lvlText w:val="●"/>
      <w:lvlJc w:val="left"/>
      <w:pPr>
        <w:ind w:left="3428" w:hanging="360"/>
      </w:pPr>
      <w:rPr>
        <w:rFonts w:ascii="Noto Sans Symbols" w:hAnsi="Noto Sans Symbols" w:eastAsia="Noto Sans Symbols" w:cs="Noto Sans Symbols"/>
        <w:vertAlign w:val="baseline"/>
      </w:rPr>
    </w:lvl>
    <w:lvl w:ilvl="5" w:tentative="0">
      <w:start w:val="1"/>
      <w:numFmt w:val="bullet"/>
      <w:lvlText w:val="●"/>
      <w:lvlJc w:val="left"/>
      <w:pPr>
        <w:ind w:left="4256" w:hanging="360"/>
      </w:pPr>
      <w:rPr>
        <w:rFonts w:ascii="Noto Sans Symbols" w:hAnsi="Noto Sans Symbols" w:eastAsia="Noto Sans Symbols" w:cs="Noto Sans Symbols"/>
        <w:vertAlign w:val="baseline"/>
      </w:rPr>
    </w:lvl>
    <w:lvl w:ilvl="6" w:tentative="0">
      <w:start w:val="1"/>
      <w:numFmt w:val="bullet"/>
      <w:lvlText w:val="●"/>
      <w:lvlJc w:val="left"/>
      <w:pPr>
        <w:ind w:left="5083" w:hanging="360"/>
      </w:pPr>
      <w:rPr>
        <w:rFonts w:ascii="Noto Sans Symbols" w:hAnsi="Noto Sans Symbols" w:eastAsia="Noto Sans Symbols" w:cs="Noto Sans Symbols"/>
        <w:vertAlign w:val="baseline"/>
      </w:rPr>
    </w:lvl>
    <w:lvl w:ilvl="7" w:tentative="0">
      <w:start w:val="1"/>
      <w:numFmt w:val="bullet"/>
      <w:lvlText w:val="●"/>
      <w:lvlJc w:val="left"/>
      <w:pPr>
        <w:ind w:left="5910" w:hanging="360"/>
      </w:pPr>
      <w:rPr>
        <w:rFonts w:ascii="Noto Sans Symbols" w:hAnsi="Noto Sans Symbols" w:eastAsia="Noto Sans Symbols" w:cs="Noto Sans Symbols"/>
        <w:vertAlign w:val="baseline"/>
      </w:rPr>
    </w:lvl>
    <w:lvl w:ilvl="8" w:tentative="0">
      <w:start w:val="1"/>
      <w:numFmt w:val="bullet"/>
      <w:lvlText w:val="●"/>
      <w:lvlJc w:val="left"/>
      <w:pPr>
        <w:ind w:left="6737" w:hanging="360"/>
      </w:pPr>
      <w:rPr>
        <w:rFonts w:ascii="Noto Sans Symbols" w:hAnsi="Noto Sans Symbols" w:eastAsia="Noto Sans Symbols" w:cs="Noto Sans Symbols"/>
        <w:vertAlign w:val="baseline"/>
      </w:rPr>
    </w:lvl>
  </w:abstractNum>
  <w:abstractNum w:abstractNumId="108">
    <w:nsid w:val="6FB94B0E"/>
    <w:multiLevelType w:val="multilevel"/>
    <w:tmpl w:val="6FB94B0E"/>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109">
    <w:nsid w:val="6FD466F4"/>
    <w:multiLevelType w:val="multilevel"/>
    <w:tmpl w:val="6FD466F4"/>
    <w:lvl w:ilvl="0" w:tentative="0">
      <w:start w:val="1"/>
      <w:numFmt w:val="bullet"/>
      <w:lvlText w:val="●"/>
      <w:lvlJc w:val="left"/>
      <w:pPr>
        <w:ind w:left="111" w:hanging="360"/>
      </w:pPr>
      <w:rPr>
        <w:rFonts w:ascii="Noto Sans Symbols" w:hAnsi="Noto Sans Symbols" w:eastAsia="Noto Sans Symbols" w:cs="Noto Sans Symbols"/>
        <w:vertAlign w:val="baseline"/>
      </w:rPr>
    </w:lvl>
    <w:lvl w:ilvl="1" w:tentative="0">
      <w:start w:val="1"/>
      <w:numFmt w:val="bullet"/>
      <w:lvlText w:val="●"/>
      <w:lvlJc w:val="left"/>
      <w:pPr>
        <w:ind w:left="968" w:hanging="360"/>
      </w:pPr>
      <w:rPr>
        <w:rFonts w:ascii="Noto Sans Symbols" w:hAnsi="Noto Sans Symbols" w:eastAsia="Noto Sans Symbols" w:cs="Noto Sans Symbols"/>
        <w:vertAlign w:val="baseline"/>
      </w:rPr>
    </w:lvl>
    <w:lvl w:ilvl="2" w:tentative="0">
      <w:start w:val="1"/>
      <w:numFmt w:val="bullet"/>
      <w:lvlText w:val="●"/>
      <w:lvlJc w:val="left"/>
      <w:pPr>
        <w:ind w:left="1817" w:hanging="360"/>
      </w:pPr>
      <w:rPr>
        <w:rFonts w:ascii="Noto Sans Symbols" w:hAnsi="Noto Sans Symbols" w:eastAsia="Noto Sans Symbols" w:cs="Noto Sans Symbols"/>
        <w:vertAlign w:val="baseline"/>
      </w:rPr>
    </w:lvl>
    <w:lvl w:ilvl="3" w:tentative="0">
      <w:start w:val="1"/>
      <w:numFmt w:val="bullet"/>
      <w:lvlText w:val="●"/>
      <w:lvlJc w:val="left"/>
      <w:pPr>
        <w:ind w:left="2666" w:hanging="360"/>
      </w:pPr>
      <w:rPr>
        <w:rFonts w:ascii="Noto Sans Symbols" w:hAnsi="Noto Sans Symbols" w:eastAsia="Noto Sans Symbols" w:cs="Noto Sans Symbols"/>
        <w:vertAlign w:val="baseline"/>
      </w:rPr>
    </w:lvl>
    <w:lvl w:ilvl="4" w:tentative="0">
      <w:start w:val="1"/>
      <w:numFmt w:val="bullet"/>
      <w:lvlText w:val="●"/>
      <w:lvlJc w:val="left"/>
      <w:pPr>
        <w:ind w:left="3515" w:hanging="360"/>
      </w:pPr>
      <w:rPr>
        <w:rFonts w:ascii="Noto Sans Symbols" w:hAnsi="Noto Sans Symbols" w:eastAsia="Noto Sans Symbols" w:cs="Noto Sans Symbols"/>
        <w:vertAlign w:val="baseline"/>
      </w:rPr>
    </w:lvl>
    <w:lvl w:ilvl="5" w:tentative="0">
      <w:start w:val="1"/>
      <w:numFmt w:val="bullet"/>
      <w:lvlText w:val="●"/>
      <w:lvlJc w:val="left"/>
      <w:pPr>
        <w:ind w:left="4364" w:hanging="360"/>
      </w:pPr>
      <w:rPr>
        <w:rFonts w:ascii="Noto Sans Symbols" w:hAnsi="Noto Sans Symbols" w:eastAsia="Noto Sans Symbols" w:cs="Noto Sans Symbols"/>
        <w:vertAlign w:val="baseline"/>
      </w:rPr>
    </w:lvl>
    <w:lvl w:ilvl="6" w:tentative="0">
      <w:start w:val="1"/>
      <w:numFmt w:val="bullet"/>
      <w:lvlText w:val="●"/>
      <w:lvlJc w:val="left"/>
      <w:pPr>
        <w:ind w:left="5213" w:hanging="360"/>
      </w:pPr>
      <w:rPr>
        <w:rFonts w:ascii="Noto Sans Symbols" w:hAnsi="Noto Sans Symbols" w:eastAsia="Noto Sans Symbols" w:cs="Noto Sans Symbols"/>
        <w:vertAlign w:val="baseline"/>
      </w:rPr>
    </w:lvl>
    <w:lvl w:ilvl="7" w:tentative="0">
      <w:start w:val="1"/>
      <w:numFmt w:val="bullet"/>
      <w:lvlText w:val="●"/>
      <w:lvlJc w:val="left"/>
      <w:pPr>
        <w:ind w:left="6062" w:hanging="360"/>
      </w:pPr>
      <w:rPr>
        <w:rFonts w:ascii="Noto Sans Symbols" w:hAnsi="Noto Sans Symbols" w:eastAsia="Noto Sans Symbols" w:cs="Noto Sans Symbols"/>
        <w:vertAlign w:val="baseline"/>
      </w:rPr>
    </w:lvl>
    <w:lvl w:ilvl="8" w:tentative="0">
      <w:start w:val="1"/>
      <w:numFmt w:val="bullet"/>
      <w:lvlText w:val="●"/>
      <w:lvlJc w:val="left"/>
      <w:pPr>
        <w:ind w:left="6911" w:hanging="360"/>
      </w:pPr>
      <w:rPr>
        <w:rFonts w:ascii="Noto Sans Symbols" w:hAnsi="Noto Sans Symbols" w:eastAsia="Noto Sans Symbols" w:cs="Noto Sans Symbols"/>
        <w:vertAlign w:val="baseline"/>
      </w:rPr>
    </w:lvl>
  </w:abstractNum>
  <w:abstractNum w:abstractNumId="110">
    <w:nsid w:val="71B90BEF"/>
    <w:multiLevelType w:val="multilevel"/>
    <w:tmpl w:val="71B90BEF"/>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111">
    <w:nsid w:val="71EE168A"/>
    <w:multiLevelType w:val="multilevel"/>
    <w:tmpl w:val="71EE168A"/>
    <w:lvl w:ilvl="0" w:tentative="0">
      <w:start w:val="1"/>
      <w:numFmt w:val="decimal"/>
      <w:lvlText w:val="%1"/>
      <w:lvlJc w:val="left"/>
      <w:pPr>
        <w:ind w:left="831" w:hanging="360"/>
      </w:pPr>
      <w:rPr>
        <w:sz w:val="24"/>
        <w:szCs w:val="24"/>
        <w:vertAlign w:val="baseline"/>
      </w:rPr>
    </w:lvl>
    <w:lvl w:ilvl="1" w:tentative="0">
      <w:start w:val="1"/>
      <w:numFmt w:val="bullet"/>
      <w:lvlText w:val="●"/>
      <w:lvlJc w:val="left"/>
      <w:pPr>
        <w:ind w:left="1595" w:hanging="360"/>
      </w:pPr>
      <w:rPr>
        <w:rFonts w:ascii="Noto Sans Symbols" w:hAnsi="Noto Sans Symbols" w:eastAsia="Noto Sans Symbols" w:cs="Noto Sans Symbols"/>
        <w:vertAlign w:val="baseline"/>
      </w:rPr>
    </w:lvl>
    <w:lvl w:ilvl="2" w:tentative="0">
      <w:start w:val="1"/>
      <w:numFmt w:val="bullet"/>
      <w:lvlText w:val="●"/>
      <w:lvlJc w:val="left"/>
      <w:pPr>
        <w:ind w:left="2350" w:hanging="360"/>
      </w:pPr>
      <w:rPr>
        <w:rFonts w:ascii="Noto Sans Symbols" w:hAnsi="Noto Sans Symbols" w:eastAsia="Noto Sans Symbols" w:cs="Noto Sans Symbols"/>
        <w:vertAlign w:val="baseline"/>
      </w:rPr>
    </w:lvl>
    <w:lvl w:ilvl="3" w:tentative="0">
      <w:start w:val="1"/>
      <w:numFmt w:val="bullet"/>
      <w:lvlText w:val="●"/>
      <w:lvlJc w:val="left"/>
      <w:pPr>
        <w:ind w:left="3105" w:hanging="360"/>
      </w:pPr>
      <w:rPr>
        <w:rFonts w:ascii="Noto Sans Symbols" w:hAnsi="Noto Sans Symbols" w:eastAsia="Noto Sans Symbols" w:cs="Noto Sans Symbols"/>
        <w:vertAlign w:val="baseline"/>
      </w:rPr>
    </w:lvl>
    <w:lvl w:ilvl="4" w:tentative="0">
      <w:start w:val="1"/>
      <w:numFmt w:val="bullet"/>
      <w:lvlText w:val="●"/>
      <w:lvlJc w:val="left"/>
      <w:pPr>
        <w:ind w:left="3860" w:hanging="360"/>
      </w:pPr>
      <w:rPr>
        <w:rFonts w:ascii="Noto Sans Symbols" w:hAnsi="Noto Sans Symbols" w:eastAsia="Noto Sans Symbols" w:cs="Noto Sans Symbols"/>
        <w:vertAlign w:val="baseline"/>
      </w:rPr>
    </w:lvl>
    <w:lvl w:ilvl="5" w:tentative="0">
      <w:start w:val="1"/>
      <w:numFmt w:val="bullet"/>
      <w:lvlText w:val="●"/>
      <w:lvlJc w:val="left"/>
      <w:pPr>
        <w:ind w:left="4616" w:hanging="360"/>
      </w:pPr>
      <w:rPr>
        <w:rFonts w:ascii="Noto Sans Symbols" w:hAnsi="Noto Sans Symbols" w:eastAsia="Noto Sans Symbols" w:cs="Noto Sans Symbols"/>
        <w:vertAlign w:val="baseline"/>
      </w:rPr>
    </w:lvl>
    <w:lvl w:ilvl="6" w:tentative="0">
      <w:start w:val="1"/>
      <w:numFmt w:val="bullet"/>
      <w:lvlText w:val="●"/>
      <w:lvlJc w:val="left"/>
      <w:pPr>
        <w:ind w:left="5371" w:hanging="360"/>
      </w:pPr>
      <w:rPr>
        <w:rFonts w:ascii="Noto Sans Symbols" w:hAnsi="Noto Sans Symbols" w:eastAsia="Noto Sans Symbols" w:cs="Noto Sans Symbols"/>
        <w:vertAlign w:val="baseline"/>
      </w:rPr>
    </w:lvl>
    <w:lvl w:ilvl="7" w:tentative="0">
      <w:start w:val="1"/>
      <w:numFmt w:val="bullet"/>
      <w:lvlText w:val="●"/>
      <w:lvlJc w:val="left"/>
      <w:pPr>
        <w:ind w:left="6126" w:hanging="360"/>
      </w:pPr>
      <w:rPr>
        <w:rFonts w:ascii="Noto Sans Symbols" w:hAnsi="Noto Sans Symbols" w:eastAsia="Noto Sans Symbols" w:cs="Noto Sans Symbols"/>
        <w:vertAlign w:val="baseline"/>
      </w:rPr>
    </w:lvl>
    <w:lvl w:ilvl="8" w:tentative="0">
      <w:start w:val="1"/>
      <w:numFmt w:val="bullet"/>
      <w:lvlText w:val="●"/>
      <w:lvlJc w:val="left"/>
      <w:pPr>
        <w:ind w:left="6881" w:hanging="360"/>
      </w:pPr>
      <w:rPr>
        <w:rFonts w:ascii="Noto Sans Symbols" w:hAnsi="Noto Sans Symbols" w:eastAsia="Noto Sans Symbols" w:cs="Noto Sans Symbols"/>
        <w:vertAlign w:val="baseline"/>
      </w:rPr>
    </w:lvl>
  </w:abstractNum>
  <w:abstractNum w:abstractNumId="112">
    <w:nsid w:val="72C831F6"/>
    <w:multiLevelType w:val="multilevel"/>
    <w:tmpl w:val="72C831F6"/>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113">
    <w:nsid w:val="72F2117B"/>
    <w:multiLevelType w:val="multilevel"/>
    <w:tmpl w:val="72F2117B"/>
    <w:lvl w:ilvl="0" w:tentative="0">
      <w:start w:val="2"/>
      <w:numFmt w:val="upperRoman"/>
      <w:lvlText w:val="%1"/>
      <w:lvlJc w:val="left"/>
      <w:pPr>
        <w:ind w:left="394" w:hanging="283"/>
      </w:pPr>
      <w:rPr>
        <w:sz w:val="24"/>
        <w:szCs w:val="24"/>
        <w:vertAlign w:val="baseline"/>
      </w:rPr>
    </w:lvl>
    <w:lvl w:ilvl="1" w:tentative="0">
      <w:start w:val="1"/>
      <w:numFmt w:val="bullet"/>
      <w:lvlText w:val="●"/>
      <w:lvlJc w:val="left"/>
      <w:pPr>
        <w:ind w:left="1220" w:hanging="283"/>
      </w:pPr>
      <w:rPr>
        <w:rFonts w:ascii="Noto Sans Symbols" w:hAnsi="Noto Sans Symbols" w:eastAsia="Noto Sans Symbols" w:cs="Noto Sans Symbols"/>
        <w:vertAlign w:val="baseline"/>
      </w:rPr>
    </w:lvl>
    <w:lvl w:ilvl="2" w:tentative="0">
      <w:start w:val="1"/>
      <w:numFmt w:val="bullet"/>
      <w:lvlText w:val="●"/>
      <w:lvlJc w:val="left"/>
      <w:pPr>
        <w:ind w:left="2041" w:hanging="283"/>
      </w:pPr>
      <w:rPr>
        <w:rFonts w:ascii="Noto Sans Symbols" w:hAnsi="Noto Sans Symbols" w:eastAsia="Noto Sans Symbols" w:cs="Noto Sans Symbols"/>
        <w:vertAlign w:val="baseline"/>
      </w:rPr>
    </w:lvl>
    <w:lvl w:ilvl="3" w:tentative="0">
      <w:start w:val="1"/>
      <w:numFmt w:val="bullet"/>
      <w:lvlText w:val="●"/>
      <w:lvlJc w:val="left"/>
      <w:pPr>
        <w:ind w:left="2862" w:hanging="283"/>
      </w:pPr>
      <w:rPr>
        <w:rFonts w:ascii="Noto Sans Symbols" w:hAnsi="Noto Sans Symbols" w:eastAsia="Noto Sans Symbols" w:cs="Noto Sans Symbols"/>
        <w:vertAlign w:val="baseline"/>
      </w:rPr>
    </w:lvl>
    <w:lvl w:ilvl="4" w:tentative="0">
      <w:start w:val="1"/>
      <w:numFmt w:val="bullet"/>
      <w:lvlText w:val="●"/>
      <w:lvlJc w:val="left"/>
      <w:pPr>
        <w:ind w:left="3683" w:hanging="283"/>
      </w:pPr>
      <w:rPr>
        <w:rFonts w:ascii="Noto Sans Symbols" w:hAnsi="Noto Sans Symbols" w:eastAsia="Noto Sans Symbols" w:cs="Noto Sans Symbols"/>
        <w:vertAlign w:val="baseline"/>
      </w:rPr>
    </w:lvl>
    <w:lvl w:ilvl="5" w:tentative="0">
      <w:start w:val="1"/>
      <w:numFmt w:val="bullet"/>
      <w:lvlText w:val="●"/>
      <w:lvlJc w:val="left"/>
      <w:pPr>
        <w:ind w:left="4504" w:hanging="283"/>
      </w:pPr>
      <w:rPr>
        <w:rFonts w:ascii="Noto Sans Symbols" w:hAnsi="Noto Sans Symbols" w:eastAsia="Noto Sans Symbols" w:cs="Noto Sans Symbols"/>
        <w:vertAlign w:val="baseline"/>
      </w:rPr>
    </w:lvl>
    <w:lvl w:ilvl="6" w:tentative="0">
      <w:start w:val="1"/>
      <w:numFmt w:val="bullet"/>
      <w:lvlText w:val="●"/>
      <w:lvlJc w:val="left"/>
      <w:pPr>
        <w:ind w:left="5325" w:hanging="283"/>
      </w:pPr>
      <w:rPr>
        <w:rFonts w:ascii="Noto Sans Symbols" w:hAnsi="Noto Sans Symbols" w:eastAsia="Noto Sans Symbols" w:cs="Noto Sans Symbols"/>
        <w:vertAlign w:val="baseline"/>
      </w:rPr>
    </w:lvl>
    <w:lvl w:ilvl="7" w:tentative="0">
      <w:start w:val="1"/>
      <w:numFmt w:val="bullet"/>
      <w:lvlText w:val="●"/>
      <w:lvlJc w:val="left"/>
      <w:pPr>
        <w:ind w:left="6146" w:hanging="282"/>
      </w:pPr>
      <w:rPr>
        <w:rFonts w:ascii="Noto Sans Symbols" w:hAnsi="Noto Sans Symbols" w:eastAsia="Noto Sans Symbols" w:cs="Noto Sans Symbols"/>
        <w:vertAlign w:val="baseline"/>
      </w:rPr>
    </w:lvl>
    <w:lvl w:ilvl="8" w:tentative="0">
      <w:start w:val="1"/>
      <w:numFmt w:val="bullet"/>
      <w:lvlText w:val="●"/>
      <w:lvlJc w:val="left"/>
      <w:pPr>
        <w:ind w:left="6967" w:hanging="282"/>
      </w:pPr>
      <w:rPr>
        <w:rFonts w:ascii="Noto Sans Symbols" w:hAnsi="Noto Sans Symbols" w:eastAsia="Noto Sans Symbols" w:cs="Noto Sans Symbols"/>
        <w:vertAlign w:val="baseline"/>
      </w:rPr>
    </w:lvl>
  </w:abstractNum>
  <w:abstractNum w:abstractNumId="114">
    <w:nsid w:val="731005BA"/>
    <w:multiLevelType w:val="multilevel"/>
    <w:tmpl w:val="731005BA"/>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115">
    <w:nsid w:val="73723A17"/>
    <w:multiLevelType w:val="multilevel"/>
    <w:tmpl w:val="73723A17"/>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116">
    <w:nsid w:val="77165169"/>
    <w:multiLevelType w:val="multilevel"/>
    <w:tmpl w:val="77165169"/>
    <w:lvl w:ilvl="0" w:tentative="0">
      <w:start w:val="3"/>
      <w:numFmt w:val="upperRoman"/>
      <w:lvlText w:val="%1"/>
      <w:lvlJc w:val="left"/>
      <w:pPr>
        <w:ind w:left="414" w:hanging="303"/>
      </w:pPr>
      <w:rPr>
        <w:sz w:val="24"/>
        <w:szCs w:val="24"/>
        <w:vertAlign w:val="baseline"/>
      </w:rPr>
    </w:lvl>
    <w:lvl w:ilvl="1" w:tentative="0">
      <w:start w:val="1"/>
      <w:numFmt w:val="bullet"/>
      <w:lvlText w:val="●"/>
      <w:lvlJc w:val="left"/>
      <w:pPr>
        <w:ind w:left="1238" w:hanging="303"/>
      </w:pPr>
      <w:rPr>
        <w:rFonts w:ascii="Noto Sans Symbols" w:hAnsi="Noto Sans Symbols" w:eastAsia="Noto Sans Symbols" w:cs="Noto Sans Symbols"/>
        <w:vertAlign w:val="baseline"/>
      </w:rPr>
    </w:lvl>
    <w:lvl w:ilvl="2" w:tentative="0">
      <w:start w:val="1"/>
      <w:numFmt w:val="bullet"/>
      <w:lvlText w:val="●"/>
      <w:lvlJc w:val="left"/>
      <w:pPr>
        <w:ind w:left="2057" w:hanging="303"/>
      </w:pPr>
      <w:rPr>
        <w:rFonts w:ascii="Noto Sans Symbols" w:hAnsi="Noto Sans Symbols" w:eastAsia="Noto Sans Symbols" w:cs="Noto Sans Symbols"/>
        <w:vertAlign w:val="baseline"/>
      </w:rPr>
    </w:lvl>
    <w:lvl w:ilvl="3" w:tentative="0">
      <w:start w:val="1"/>
      <w:numFmt w:val="bullet"/>
      <w:lvlText w:val="●"/>
      <w:lvlJc w:val="left"/>
      <w:pPr>
        <w:ind w:left="2876" w:hanging="303"/>
      </w:pPr>
      <w:rPr>
        <w:rFonts w:ascii="Noto Sans Symbols" w:hAnsi="Noto Sans Symbols" w:eastAsia="Noto Sans Symbols" w:cs="Noto Sans Symbols"/>
        <w:vertAlign w:val="baseline"/>
      </w:rPr>
    </w:lvl>
    <w:lvl w:ilvl="4" w:tentative="0">
      <w:start w:val="1"/>
      <w:numFmt w:val="bullet"/>
      <w:lvlText w:val="●"/>
      <w:lvlJc w:val="left"/>
      <w:pPr>
        <w:ind w:left="3695" w:hanging="303"/>
      </w:pPr>
      <w:rPr>
        <w:rFonts w:ascii="Noto Sans Symbols" w:hAnsi="Noto Sans Symbols" w:eastAsia="Noto Sans Symbols" w:cs="Noto Sans Symbols"/>
        <w:vertAlign w:val="baseline"/>
      </w:rPr>
    </w:lvl>
    <w:lvl w:ilvl="5" w:tentative="0">
      <w:start w:val="1"/>
      <w:numFmt w:val="bullet"/>
      <w:lvlText w:val="●"/>
      <w:lvlJc w:val="left"/>
      <w:pPr>
        <w:ind w:left="4514" w:hanging="303"/>
      </w:pPr>
      <w:rPr>
        <w:rFonts w:ascii="Noto Sans Symbols" w:hAnsi="Noto Sans Symbols" w:eastAsia="Noto Sans Symbols" w:cs="Noto Sans Symbols"/>
        <w:vertAlign w:val="baseline"/>
      </w:rPr>
    </w:lvl>
    <w:lvl w:ilvl="6" w:tentative="0">
      <w:start w:val="1"/>
      <w:numFmt w:val="bullet"/>
      <w:lvlText w:val="●"/>
      <w:lvlJc w:val="left"/>
      <w:pPr>
        <w:ind w:left="5332" w:hanging="303"/>
      </w:pPr>
      <w:rPr>
        <w:rFonts w:ascii="Noto Sans Symbols" w:hAnsi="Noto Sans Symbols" w:eastAsia="Noto Sans Symbols" w:cs="Noto Sans Symbols"/>
        <w:vertAlign w:val="baseline"/>
      </w:rPr>
    </w:lvl>
    <w:lvl w:ilvl="7" w:tentative="0">
      <w:start w:val="1"/>
      <w:numFmt w:val="bullet"/>
      <w:lvlText w:val="●"/>
      <w:lvlJc w:val="left"/>
      <w:pPr>
        <w:ind w:left="6151" w:hanging="302"/>
      </w:pPr>
      <w:rPr>
        <w:rFonts w:ascii="Noto Sans Symbols" w:hAnsi="Noto Sans Symbols" w:eastAsia="Noto Sans Symbols" w:cs="Noto Sans Symbols"/>
        <w:vertAlign w:val="baseline"/>
      </w:rPr>
    </w:lvl>
    <w:lvl w:ilvl="8" w:tentative="0">
      <w:start w:val="1"/>
      <w:numFmt w:val="bullet"/>
      <w:lvlText w:val="●"/>
      <w:lvlJc w:val="left"/>
      <w:pPr>
        <w:ind w:left="6970" w:hanging="303"/>
      </w:pPr>
      <w:rPr>
        <w:rFonts w:ascii="Noto Sans Symbols" w:hAnsi="Noto Sans Symbols" w:eastAsia="Noto Sans Symbols" w:cs="Noto Sans Symbols"/>
        <w:vertAlign w:val="baseline"/>
      </w:rPr>
    </w:lvl>
  </w:abstractNum>
  <w:abstractNum w:abstractNumId="117">
    <w:nsid w:val="773156C0"/>
    <w:multiLevelType w:val="multilevel"/>
    <w:tmpl w:val="773156C0"/>
    <w:lvl w:ilvl="0" w:tentative="0">
      <w:start w:val="1"/>
      <w:numFmt w:val="bullet"/>
      <w:lvlText w:val="●"/>
      <w:lvlJc w:val="left"/>
      <w:pPr>
        <w:ind w:left="831" w:hanging="360"/>
      </w:pPr>
      <w:rPr>
        <w:rFonts w:ascii="Noto Sans Symbols" w:hAnsi="Noto Sans Symbols" w:eastAsia="Noto Sans Symbols" w:cs="Noto Sans Symbols"/>
        <w:vertAlign w:val="baseline"/>
      </w:rPr>
    </w:lvl>
    <w:lvl w:ilvl="1" w:tentative="0">
      <w:start w:val="1"/>
      <w:numFmt w:val="bullet"/>
      <w:lvlText w:val="●"/>
      <w:lvlJc w:val="left"/>
      <w:pPr>
        <w:ind w:left="1602" w:hanging="360"/>
      </w:pPr>
      <w:rPr>
        <w:rFonts w:ascii="Noto Sans Symbols" w:hAnsi="Noto Sans Symbols" w:eastAsia="Noto Sans Symbols" w:cs="Noto Sans Symbols"/>
        <w:vertAlign w:val="baseline"/>
      </w:rPr>
    </w:lvl>
    <w:lvl w:ilvl="2" w:tentative="0">
      <w:start w:val="1"/>
      <w:numFmt w:val="bullet"/>
      <w:lvlText w:val="●"/>
      <w:lvlJc w:val="left"/>
      <w:pPr>
        <w:ind w:left="2364" w:hanging="360"/>
      </w:pPr>
      <w:rPr>
        <w:rFonts w:ascii="Noto Sans Symbols" w:hAnsi="Noto Sans Symbols" w:eastAsia="Noto Sans Symbols" w:cs="Noto Sans Symbols"/>
        <w:vertAlign w:val="baseline"/>
      </w:rPr>
    </w:lvl>
    <w:lvl w:ilvl="3" w:tentative="0">
      <w:start w:val="1"/>
      <w:numFmt w:val="bullet"/>
      <w:lvlText w:val="●"/>
      <w:lvlJc w:val="left"/>
      <w:pPr>
        <w:ind w:left="3127" w:hanging="360"/>
      </w:pPr>
      <w:rPr>
        <w:rFonts w:ascii="Noto Sans Symbols" w:hAnsi="Noto Sans Symbols" w:eastAsia="Noto Sans Symbols" w:cs="Noto Sans Symbols"/>
        <w:vertAlign w:val="baseline"/>
      </w:rPr>
    </w:lvl>
    <w:lvl w:ilvl="4" w:tentative="0">
      <w:start w:val="1"/>
      <w:numFmt w:val="bullet"/>
      <w:lvlText w:val="●"/>
      <w:lvlJc w:val="left"/>
      <w:pPr>
        <w:ind w:left="3889" w:hanging="360"/>
      </w:pPr>
      <w:rPr>
        <w:rFonts w:ascii="Noto Sans Symbols" w:hAnsi="Noto Sans Symbols" w:eastAsia="Noto Sans Symbols" w:cs="Noto Sans Symbols"/>
        <w:vertAlign w:val="baseline"/>
      </w:rPr>
    </w:lvl>
    <w:lvl w:ilvl="5" w:tentative="0">
      <w:start w:val="1"/>
      <w:numFmt w:val="bullet"/>
      <w:lvlText w:val="●"/>
      <w:lvlJc w:val="left"/>
      <w:pPr>
        <w:ind w:left="4652" w:hanging="360"/>
      </w:pPr>
      <w:rPr>
        <w:rFonts w:ascii="Noto Sans Symbols" w:hAnsi="Noto Sans Symbols" w:eastAsia="Noto Sans Symbols" w:cs="Noto Sans Symbols"/>
        <w:vertAlign w:val="baseline"/>
      </w:rPr>
    </w:lvl>
    <w:lvl w:ilvl="6" w:tentative="0">
      <w:start w:val="1"/>
      <w:numFmt w:val="bullet"/>
      <w:lvlText w:val="●"/>
      <w:lvlJc w:val="left"/>
      <w:pPr>
        <w:ind w:left="5414" w:hanging="360"/>
      </w:pPr>
      <w:rPr>
        <w:rFonts w:ascii="Noto Sans Symbols" w:hAnsi="Noto Sans Symbols" w:eastAsia="Noto Sans Symbols" w:cs="Noto Sans Symbols"/>
        <w:vertAlign w:val="baseline"/>
      </w:rPr>
    </w:lvl>
    <w:lvl w:ilvl="7" w:tentative="0">
      <w:start w:val="1"/>
      <w:numFmt w:val="bullet"/>
      <w:lvlText w:val="●"/>
      <w:lvlJc w:val="left"/>
      <w:pPr>
        <w:ind w:left="6176" w:hanging="360"/>
      </w:pPr>
      <w:rPr>
        <w:rFonts w:ascii="Noto Sans Symbols" w:hAnsi="Noto Sans Symbols" w:eastAsia="Noto Sans Symbols" w:cs="Noto Sans Symbols"/>
        <w:vertAlign w:val="baseline"/>
      </w:rPr>
    </w:lvl>
    <w:lvl w:ilvl="8" w:tentative="0">
      <w:start w:val="1"/>
      <w:numFmt w:val="bullet"/>
      <w:lvlText w:val="●"/>
      <w:lvlJc w:val="left"/>
      <w:pPr>
        <w:ind w:left="6939" w:hanging="360"/>
      </w:pPr>
      <w:rPr>
        <w:rFonts w:ascii="Noto Sans Symbols" w:hAnsi="Noto Sans Symbols" w:eastAsia="Noto Sans Symbols" w:cs="Noto Sans Symbols"/>
        <w:vertAlign w:val="baseline"/>
      </w:rPr>
    </w:lvl>
  </w:abstractNum>
  <w:abstractNum w:abstractNumId="118">
    <w:nsid w:val="79173D21"/>
    <w:multiLevelType w:val="multilevel"/>
    <w:tmpl w:val="79173D21"/>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119">
    <w:nsid w:val="794B095D"/>
    <w:multiLevelType w:val="multilevel"/>
    <w:tmpl w:val="794B095D"/>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120">
    <w:nsid w:val="7A7F2166"/>
    <w:multiLevelType w:val="multilevel"/>
    <w:tmpl w:val="7A7F2166"/>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121">
    <w:nsid w:val="7C0A6FB3"/>
    <w:multiLevelType w:val="multilevel"/>
    <w:tmpl w:val="7C0A6FB3"/>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122">
    <w:nsid w:val="7C3E1779"/>
    <w:multiLevelType w:val="multilevel"/>
    <w:tmpl w:val="7C3E1779"/>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123">
    <w:nsid w:val="7CDA03F7"/>
    <w:multiLevelType w:val="multilevel"/>
    <w:tmpl w:val="7CDA03F7"/>
    <w:lvl w:ilvl="0" w:tentative="0">
      <w:start w:val="1"/>
      <w:numFmt w:val="decimal"/>
      <w:lvlText w:val="%1"/>
      <w:lvlJc w:val="left"/>
      <w:pPr>
        <w:ind w:left="356" w:hanging="245"/>
      </w:pPr>
      <w:rPr>
        <w:sz w:val="24"/>
        <w:szCs w:val="24"/>
        <w:vertAlign w:val="baseline"/>
      </w:rPr>
    </w:lvl>
    <w:lvl w:ilvl="1" w:tentative="0">
      <w:start w:val="1"/>
      <w:numFmt w:val="bullet"/>
      <w:lvlText w:val="●"/>
      <w:lvlJc w:val="left"/>
      <w:pPr>
        <w:ind w:left="1177" w:hanging="245"/>
      </w:pPr>
      <w:rPr>
        <w:rFonts w:ascii="Noto Sans Symbols" w:hAnsi="Noto Sans Symbols" w:eastAsia="Noto Sans Symbols" w:cs="Noto Sans Symbols"/>
        <w:vertAlign w:val="baseline"/>
      </w:rPr>
    </w:lvl>
    <w:lvl w:ilvl="2" w:tentative="0">
      <w:start w:val="1"/>
      <w:numFmt w:val="bullet"/>
      <w:lvlText w:val="●"/>
      <w:lvlJc w:val="left"/>
      <w:pPr>
        <w:ind w:left="1994" w:hanging="245"/>
      </w:pPr>
      <w:rPr>
        <w:rFonts w:ascii="Noto Sans Symbols" w:hAnsi="Noto Sans Symbols" w:eastAsia="Noto Sans Symbols" w:cs="Noto Sans Symbols"/>
        <w:vertAlign w:val="baseline"/>
      </w:rPr>
    </w:lvl>
    <w:lvl w:ilvl="3" w:tentative="0">
      <w:start w:val="1"/>
      <w:numFmt w:val="bullet"/>
      <w:lvlText w:val="●"/>
      <w:lvlJc w:val="left"/>
      <w:pPr>
        <w:ind w:left="2811" w:hanging="245"/>
      </w:pPr>
      <w:rPr>
        <w:rFonts w:ascii="Noto Sans Symbols" w:hAnsi="Noto Sans Symbols" w:eastAsia="Noto Sans Symbols" w:cs="Noto Sans Symbols"/>
        <w:vertAlign w:val="baseline"/>
      </w:rPr>
    </w:lvl>
    <w:lvl w:ilvl="4" w:tentative="0">
      <w:start w:val="1"/>
      <w:numFmt w:val="bullet"/>
      <w:lvlText w:val="●"/>
      <w:lvlJc w:val="left"/>
      <w:pPr>
        <w:ind w:left="3628" w:hanging="245"/>
      </w:pPr>
      <w:rPr>
        <w:rFonts w:ascii="Noto Sans Symbols" w:hAnsi="Noto Sans Symbols" w:eastAsia="Noto Sans Symbols" w:cs="Noto Sans Symbols"/>
        <w:vertAlign w:val="baseline"/>
      </w:rPr>
    </w:lvl>
    <w:lvl w:ilvl="5" w:tentative="0">
      <w:start w:val="1"/>
      <w:numFmt w:val="bullet"/>
      <w:lvlText w:val="●"/>
      <w:lvlJc w:val="left"/>
      <w:pPr>
        <w:ind w:left="4445" w:hanging="245"/>
      </w:pPr>
      <w:rPr>
        <w:rFonts w:ascii="Noto Sans Symbols" w:hAnsi="Noto Sans Symbols" w:eastAsia="Noto Sans Symbols" w:cs="Noto Sans Symbols"/>
        <w:vertAlign w:val="baseline"/>
      </w:rPr>
    </w:lvl>
    <w:lvl w:ilvl="6" w:tentative="0">
      <w:start w:val="1"/>
      <w:numFmt w:val="bullet"/>
      <w:lvlText w:val="●"/>
      <w:lvlJc w:val="left"/>
      <w:pPr>
        <w:ind w:left="5262" w:hanging="245"/>
      </w:pPr>
      <w:rPr>
        <w:rFonts w:ascii="Noto Sans Symbols" w:hAnsi="Noto Sans Symbols" w:eastAsia="Noto Sans Symbols" w:cs="Noto Sans Symbols"/>
        <w:vertAlign w:val="baseline"/>
      </w:rPr>
    </w:lvl>
    <w:lvl w:ilvl="7" w:tentative="0">
      <w:start w:val="1"/>
      <w:numFmt w:val="bullet"/>
      <w:lvlText w:val="●"/>
      <w:lvlJc w:val="left"/>
      <w:pPr>
        <w:ind w:left="6079" w:hanging="245"/>
      </w:pPr>
      <w:rPr>
        <w:rFonts w:ascii="Noto Sans Symbols" w:hAnsi="Noto Sans Symbols" w:eastAsia="Noto Sans Symbols" w:cs="Noto Sans Symbols"/>
        <w:vertAlign w:val="baseline"/>
      </w:rPr>
    </w:lvl>
    <w:lvl w:ilvl="8" w:tentative="0">
      <w:start w:val="1"/>
      <w:numFmt w:val="bullet"/>
      <w:lvlText w:val="●"/>
      <w:lvlJc w:val="left"/>
      <w:pPr>
        <w:ind w:left="6896" w:hanging="245"/>
      </w:pPr>
      <w:rPr>
        <w:rFonts w:ascii="Noto Sans Symbols" w:hAnsi="Noto Sans Symbols" w:eastAsia="Noto Sans Symbols" w:cs="Noto Sans Symbols"/>
        <w:vertAlign w:val="baseline"/>
      </w:rPr>
    </w:lvl>
  </w:abstractNum>
  <w:abstractNum w:abstractNumId="124">
    <w:nsid w:val="7D1D21D5"/>
    <w:multiLevelType w:val="multilevel"/>
    <w:tmpl w:val="7D1D21D5"/>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125">
    <w:nsid w:val="7D4818E9"/>
    <w:multiLevelType w:val="multilevel"/>
    <w:tmpl w:val="7D4818E9"/>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126">
    <w:nsid w:val="7DDA6FE9"/>
    <w:multiLevelType w:val="multilevel"/>
    <w:tmpl w:val="7DDA6FE9"/>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127">
    <w:nsid w:val="7F065A6D"/>
    <w:multiLevelType w:val="multilevel"/>
    <w:tmpl w:val="7F065A6D"/>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128">
    <w:nsid w:val="7FA53023"/>
    <w:multiLevelType w:val="multilevel"/>
    <w:tmpl w:val="7FA53023"/>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129">
    <w:nsid w:val="7FDA1ABE"/>
    <w:multiLevelType w:val="multilevel"/>
    <w:tmpl w:val="7FDA1ABE"/>
    <w:lvl w:ilvl="0" w:tentative="0">
      <w:start w:val="1"/>
      <w:numFmt w:val="lowerLetter"/>
      <w:lvlText w:val="%1"/>
      <w:lvlJc w:val="left"/>
      <w:pPr>
        <w:ind w:left="361" w:hanging="250"/>
      </w:pPr>
      <w:rPr>
        <w:sz w:val="24"/>
        <w:szCs w:val="24"/>
        <w:vertAlign w:val="baseline"/>
      </w:rPr>
    </w:lvl>
    <w:lvl w:ilvl="1" w:tentative="0">
      <w:start w:val="1"/>
      <w:numFmt w:val="bullet"/>
      <w:lvlText w:val="●"/>
      <w:lvlJc w:val="left"/>
      <w:pPr>
        <w:ind w:left="1191" w:hanging="250"/>
      </w:pPr>
      <w:rPr>
        <w:rFonts w:ascii="Noto Sans Symbols" w:hAnsi="Noto Sans Symbols" w:eastAsia="Noto Sans Symbols" w:cs="Noto Sans Symbols"/>
        <w:vertAlign w:val="baseline"/>
      </w:rPr>
    </w:lvl>
    <w:lvl w:ilvl="2" w:tentative="0">
      <w:start w:val="1"/>
      <w:numFmt w:val="bullet"/>
      <w:lvlText w:val="●"/>
      <w:lvlJc w:val="left"/>
      <w:pPr>
        <w:ind w:left="2023" w:hanging="250"/>
      </w:pPr>
      <w:rPr>
        <w:rFonts w:ascii="Noto Sans Symbols" w:hAnsi="Noto Sans Symbols" w:eastAsia="Noto Sans Symbols" w:cs="Noto Sans Symbols"/>
        <w:vertAlign w:val="baseline"/>
      </w:rPr>
    </w:lvl>
    <w:lvl w:ilvl="3" w:tentative="0">
      <w:start w:val="1"/>
      <w:numFmt w:val="bullet"/>
      <w:lvlText w:val="●"/>
      <w:lvlJc w:val="left"/>
      <w:pPr>
        <w:ind w:left="2854" w:hanging="250"/>
      </w:pPr>
      <w:rPr>
        <w:rFonts w:ascii="Noto Sans Symbols" w:hAnsi="Noto Sans Symbols" w:eastAsia="Noto Sans Symbols" w:cs="Noto Sans Symbols"/>
        <w:vertAlign w:val="baseline"/>
      </w:rPr>
    </w:lvl>
    <w:lvl w:ilvl="4" w:tentative="0">
      <w:start w:val="1"/>
      <w:numFmt w:val="bullet"/>
      <w:lvlText w:val="●"/>
      <w:lvlJc w:val="left"/>
      <w:pPr>
        <w:ind w:left="3686" w:hanging="250"/>
      </w:pPr>
      <w:rPr>
        <w:rFonts w:ascii="Noto Sans Symbols" w:hAnsi="Noto Sans Symbols" w:eastAsia="Noto Sans Symbols" w:cs="Noto Sans Symbols"/>
        <w:vertAlign w:val="baseline"/>
      </w:rPr>
    </w:lvl>
    <w:lvl w:ilvl="5" w:tentative="0">
      <w:start w:val="1"/>
      <w:numFmt w:val="bullet"/>
      <w:lvlText w:val="●"/>
      <w:lvlJc w:val="left"/>
      <w:pPr>
        <w:ind w:left="4517" w:hanging="250"/>
      </w:pPr>
      <w:rPr>
        <w:rFonts w:ascii="Noto Sans Symbols" w:hAnsi="Noto Sans Symbols" w:eastAsia="Noto Sans Symbols" w:cs="Noto Sans Symbols"/>
        <w:vertAlign w:val="baseline"/>
      </w:rPr>
    </w:lvl>
    <w:lvl w:ilvl="6" w:tentative="0">
      <w:start w:val="1"/>
      <w:numFmt w:val="bullet"/>
      <w:lvlText w:val="●"/>
      <w:lvlJc w:val="left"/>
      <w:pPr>
        <w:ind w:left="5349" w:hanging="250"/>
      </w:pPr>
      <w:rPr>
        <w:rFonts w:ascii="Noto Sans Symbols" w:hAnsi="Noto Sans Symbols" w:eastAsia="Noto Sans Symbols" w:cs="Noto Sans Symbols"/>
        <w:vertAlign w:val="baseline"/>
      </w:rPr>
    </w:lvl>
    <w:lvl w:ilvl="7" w:tentative="0">
      <w:start w:val="1"/>
      <w:numFmt w:val="bullet"/>
      <w:lvlText w:val="●"/>
      <w:lvlJc w:val="left"/>
      <w:pPr>
        <w:ind w:left="6180" w:hanging="250"/>
      </w:pPr>
      <w:rPr>
        <w:rFonts w:ascii="Noto Sans Symbols" w:hAnsi="Noto Sans Symbols" w:eastAsia="Noto Sans Symbols" w:cs="Noto Sans Symbols"/>
        <w:vertAlign w:val="baseline"/>
      </w:rPr>
    </w:lvl>
    <w:lvl w:ilvl="8" w:tentative="0">
      <w:start w:val="1"/>
      <w:numFmt w:val="bullet"/>
      <w:lvlText w:val="●"/>
      <w:lvlJc w:val="left"/>
      <w:pPr>
        <w:ind w:left="7012" w:hanging="250"/>
      </w:pPr>
      <w:rPr>
        <w:rFonts w:ascii="Noto Sans Symbols" w:hAnsi="Noto Sans Symbols" w:eastAsia="Noto Sans Symbols" w:cs="Noto Sans Symbols"/>
        <w:vertAlign w:val="baseline"/>
      </w:rPr>
    </w:lvl>
  </w:abstractNum>
  <w:num w:numId="1">
    <w:abstractNumId w:val="100"/>
  </w:num>
  <w:num w:numId="2">
    <w:abstractNumId w:val="91"/>
  </w:num>
  <w:num w:numId="3">
    <w:abstractNumId w:val="17"/>
  </w:num>
  <w:num w:numId="4">
    <w:abstractNumId w:val="10"/>
  </w:num>
  <w:num w:numId="5">
    <w:abstractNumId w:val="59"/>
  </w:num>
  <w:num w:numId="6">
    <w:abstractNumId w:val="64"/>
  </w:num>
  <w:num w:numId="7">
    <w:abstractNumId w:val="72"/>
  </w:num>
  <w:num w:numId="8">
    <w:abstractNumId w:val="1"/>
  </w:num>
  <w:num w:numId="9">
    <w:abstractNumId w:val="123"/>
  </w:num>
  <w:num w:numId="10">
    <w:abstractNumId w:val="102"/>
  </w:num>
  <w:num w:numId="11">
    <w:abstractNumId w:val="13"/>
  </w:num>
  <w:num w:numId="12">
    <w:abstractNumId w:val="116"/>
  </w:num>
  <w:num w:numId="13">
    <w:abstractNumId w:val="63"/>
  </w:num>
  <w:num w:numId="14">
    <w:abstractNumId w:val="2"/>
  </w:num>
  <w:num w:numId="15">
    <w:abstractNumId w:val="113"/>
  </w:num>
  <w:num w:numId="16">
    <w:abstractNumId w:val="50"/>
  </w:num>
  <w:num w:numId="17">
    <w:abstractNumId w:val="74"/>
  </w:num>
  <w:num w:numId="18">
    <w:abstractNumId w:val="23"/>
  </w:num>
  <w:num w:numId="19">
    <w:abstractNumId w:val="32"/>
  </w:num>
  <w:num w:numId="20">
    <w:abstractNumId w:val="54"/>
  </w:num>
  <w:num w:numId="21">
    <w:abstractNumId w:val="38"/>
  </w:num>
  <w:num w:numId="22">
    <w:abstractNumId w:val="57"/>
  </w:num>
  <w:num w:numId="23">
    <w:abstractNumId w:val="129"/>
  </w:num>
  <w:num w:numId="24">
    <w:abstractNumId w:val="35"/>
  </w:num>
  <w:num w:numId="25">
    <w:abstractNumId w:val="79"/>
  </w:num>
  <w:num w:numId="26">
    <w:abstractNumId w:val="60"/>
  </w:num>
  <w:num w:numId="27">
    <w:abstractNumId w:val="37"/>
  </w:num>
  <w:num w:numId="28">
    <w:abstractNumId w:val="92"/>
  </w:num>
  <w:num w:numId="29">
    <w:abstractNumId w:val="86"/>
  </w:num>
  <w:num w:numId="30">
    <w:abstractNumId w:val="5"/>
  </w:num>
  <w:num w:numId="31">
    <w:abstractNumId w:val="111"/>
  </w:num>
  <w:num w:numId="32">
    <w:abstractNumId w:val="65"/>
  </w:num>
  <w:num w:numId="33">
    <w:abstractNumId w:val="26"/>
  </w:num>
  <w:num w:numId="34">
    <w:abstractNumId w:val="21"/>
  </w:num>
  <w:num w:numId="35">
    <w:abstractNumId w:val="39"/>
  </w:num>
  <w:num w:numId="36">
    <w:abstractNumId w:val="121"/>
  </w:num>
  <w:num w:numId="37">
    <w:abstractNumId w:val="51"/>
  </w:num>
  <w:num w:numId="38">
    <w:abstractNumId w:val="124"/>
  </w:num>
  <w:num w:numId="39">
    <w:abstractNumId w:val="24"/>
  </w:num>
  <w:num w:numId="40">
    <w:abstractNumId w:val="27"/>
  </w:num>
  <w:num w:numId="41">
    <w:abstractNumId w:val="52"/>
  </w:num>
  <w:num w:numId="42">
    <w:abstractNumId w:val="84"/>
  </w:num>
  <w:num w:numId="43">
    <w:abstractNumId w:val="93"/>
  </w:num>
  <w:num w:numId="44">
    <w:abstractNumId w:val="77"/>
  </w:num>
  <w:num w:numId="45">
    <w:abstractNumId w:val="48"/>
  </w:num>
  <w:num w:numId="46">
    <w:abstractNumId w:val="3"/>
  </w:num>
  <w:num w:numId="47">
    <w:abstractNumId w:val="41"/>
  </w:num>
  <w:num w:numId="48">
    <w:abstractNumId w:val="70"/>
  </w:num>
  <w:num w:numId="49">
    <w:abstractNumId w:val="45"/>
  </w:num>
  <w:num w:numId="50">
    <w:abstractNumId w:val="108"/>
  </w:num>
  <w:num w:numId="51">
    <w:abstractNumId w:val="97"/>
  </w:num>
  <w:num w:numId="52">
    <w:abstractNumId w:val="29"/>
  </w:num>
  <w:num w:numId="53">
    <w:abstractNumId w:val="4"/>
  </w:num>
  <w:num w:numId="54">
    <w:abstractNumId w:val="117"/>
  </w:num>
  <w:num w:numId="55">
    <w:abstractNumId w:val="67"/>
  </w:num>
  <w:num w:numId="56">
    <w:abstractNumId w:val="107"/>
  </w:num>
  <w:num w:numId="57">
    <w:abstractNumId w:val="7"/>
  </w:num>
  <w:num w:numId="58">
    <w:abstractNumId w:val="46"/>
  </w:num>
  <w:num w:numId="59">
    <w:abstractNumId w:val="71"/>
  </w:num>
  <w:num w:numId="60">
    <w:abstractNumId w:val="43"/>
  </w:num>
  <w:num w:numId="61">
    <w:abstractNumId w:val="109"/>
  </w:num>
  <w:num w:numId="62">
    <w:abstractNumId w:val="9"/>
  </w:num>
  <w:num w:numId="63">
    <w:abstractNumId w:val="104"/>
  </w:num>
  <w:num w:numId="64">
    <w:abstractNumId w:val="112"/>
  </w:num>
  <w:num w:numId="65">
    <w:abstractNumId w:val="40"/>
  </w:num>
  <w:num w:numId="66">
    <w:abstractNumId w:val="56"/>
  </w:num>
  <w:num w:numId="67">
    <w:abstractNumId w:val="33"/>
  </w:num>
  <w:num w:numId="68">
    <w:abstractNumId w:val="128"/>
  </w:num>
  <w:num w:numId="69">
    <w:abstractNumId w:val="122"/>
  </w:num>
  <w:num w:numId="70">
    <w:abstractNumId w:val="101"/>
  </w:num>
  <w:num w:numId="71">
    <w:abstractNumId w:val="36"/>
  </w:num>
  <w:num w:numId="72">
    <w:abstractNumId w:val="89"/>
  </w:num>
  <w:num w:numId="73">
    <w:abstractNumId w:val="44"/>
  </w:num>
  <w:num w:numId="74">
    <w:abstractNumId w:val="115"/>
  </w:num>
  <w:num w:numId="75">
    <w:abstractNumId w:val="103"/>
  </w:num>
  <w:num w:numId="76">
    <w:abstractNumId w:val="85"/>
  </w:num>
  <w:num w:numId="77">
    <w:abstractNumId w:val="12"/>
  </w:num>
  <w:num w:numId="78">
    <w:abstractNumId w:val="11"/>
  </w:num>
  <w:num w:numId="79">
    <w:abstractNumId w:val="61"/>
  </w:num>
  <w:num w:numId="80">
    <w:abstractNumId w:val="0"/>
  </w:num>
  <w:num w:numId="81">
    <w:abstractNumId w:val="126"/>
  </w:num>
  <w:num w:numId="82">
    <w:abstractNumId w:val="6"/>
  </w:num>
  <w:num w:numId="83">
    <w:abstractNumId w:val="25"/>
  </w:num>
  <w:num w:numId="84">
    <w:abstractNumId w:val="68"/>
  </w:num>
  <w:num w:numId="85">
    <w:abstractNumId w:val="31"/>
  </w:num>
  <w:num w:numId="86">
    <w:abstractNumId w:val="78"/>
  </w:num>
  <w:num w:numId="87">
    <w:abstractNumId w:val="82"/>
  </w:num>
  <w:num w:numId="88">
    <w:abstractNumId w:val="114"/>
  </w:num>
  <w:num w:numId="89">
    <w:abstractNumId w:val="88"/>
  </w:num>
  <w:num w:numId="90">
    <w:abstractNumId w:val="42"/>
  </w:num>
  <w:num w:numId="91">
    <w:abstractNumId w:val="118"/>
  </w:num>
  <w:num w:numId="92">
    <w:abstractNumId w:val="69"/>
  </w:num>
  <w:num w:numId="93">
    <w:abstractNumId w:val="15"/>
  </w:num>
  <w:num w:numId="94">
    <w:abstractNumId w:val="34"/>
  </w:num>
  <w:num w:numId="95">
    <w:abstractNumId w:val="30"/>
  </w:num>
  <w:num w:numId="96">
    <w:abstractNumId w:val="98"/>
  </w:num>
  <w:num w:numId="97">
    <w:abstractNumId w:val="14"/>
  </w:num>
  <w:num w:numId="98">
    <w:abstractNumId w:val="83"/>
  </w:num>
  <w:num w:numId="99">
    <w:abstractNumId w:val="49"/>
  </w:num>
  <w:num w:numId="100">
    <w:abstractNumId w:val="105"/>
  </w:num>
  <w:num w:numId="101">
    <w:abstractNumId w:val="28"/>
  </w:num>
  <w:num w:numId="102">
    <w:abstractNumId w:val="62"/>
  </w:num>
  <w:num w:numId="103">
    <w:abstractNumId w:val="8"/>
  </w:num>
  <w:num w:numId="104">
    <w:abstractNumId w:val="20"/>
  </w:num>
  <w:num w:numId="105">
    <w:abstractNumId w:val="53"/>
  </w:num>
  <w:num w:numId="106">
    <w:abstractNumId w:val="94"/>
  </w:num>
  <w:num w:numId="107">
    <w:abstractNumId w:val="47"/>
  </w:num>
  <w:num w:numId="108">
    <w:abstractNumId w:val="120"/>
  </w:num>
  <w:num w:numId="109">
    <w:abstractNumId w:val="95"/>
  </w:num>
  <w:num w:numId="110">
    <w:abstractNumId w:val="81"/>
  </w:num>
  <w:num w:numId="111">
    <w:abstractNumId w:val="66"/>
  </w:num>
  <w:num w:numId="112">
    <w:abstractNumId w:val="75"/>
  </w:num>
  <w:num w:numId="113">
    <w:abstractNumId w:val="22"/>
  </w:num>
  <w:num w:numId="114">
    <w:abstractNumId w:val="19"/>
  </w:num>
  <w:num w:numId="115">
    <w:abstractNumId w:val="73"/>
  </w:num>
  <w:num w:numId="116">
    <w:abstractNumId w:val="125"/>
  </w:num>
  <w:num w:numId="117">
    <w:abstractNumId w:val="110"/>
  </w:num>
  <w:num w:numId="118">
    <w:abstractNumId w:val="76"/>
  </w:num>
  <w:num w:numId="119">
    <w:abstractNumId w:val="119"/>
  </w:num>
  <w:num w:numId="120">
    <w:abstractNumId w:val="18"/>
  </w:num>
  <w:num w:numId="121">
    <w:abstractNumId w:val="80"/>
  </w:num>
  <w:num w:numId="122">
    <w:abstractNumId w:val="127"/>
  </w:num>
  <w:num w:numId="123">
    <w:abstractNumId w:val="99"/>
  </w:num>
  <w:num w:numId="124">
    <w:abstractNumId w:val="16"/>
  </w:num>
  <w:num w:numId="125">
    <w:abstractNumId w:val="87"/>
  </w:num>
  <w:num w:numId="126">
    <w:abstractNumId w:val="55"/>
  </w:num>
  <w:num w:numId="127">
    <w:abstractNumId w:val="58"/>
  </w:num>
  <w:num w:numId="128">
    <w:abstractNumId w:val="90"/>
  </w:num>
  <w:num w:numId="129">
    <w:abstractNumId w:val="106"/>
  </w:num>
  <w:num w:numId="130">
    <w:abstractNumId w:val="9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720"/>
  <w:hyphenationZone w:val="425"/>
  <w:characterSpacingControl w:val="doNotCompress"/>
  <w:footnotePr>
    <w:footnote w:id="112"/>
    <w:footnote w:id="113"/>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D44"/>
    <w:rsid w:val="000815D2"/>
    <w:rsid w:val="000A0FF3"/>
    <w:rsid w:val="00195E41"/>
    <w:rsid w:val="0019644F"/>
    <w:rsid w:val="001B274B"/>
    <w:rsid w:val="002645E0"/>
    <w:rsid w:val="00273FE4"/>
    <w:rsid w:val="002A11C6"/>
    <w:rsid w:val="003516DF"/>
    <w:rsid w:val="003E3983"/>
    <w:rsid w:val="0047419B"/>
    <w:rsid w:val="004D7524"/>
    <w:rsid w:val="0050226E"/>
    <w:rsid w:val="005D44B8"/>
    <w:rsid w:val="0061424E"/>
    <w:rsid w:val="0067496B"/>
    <w:rsid w:val="006B5043"/>
    <w:rsid w:val="00706C64"/>
    <w:rsid w:val="00713951"/>
    <w:rsid w:val="00722D10"/>
    <w:rsid w:val="00791677"/>
    <w:rsid w:val="007C4B07"/>
    <w:rsid w:val="007E3F34"/>
    <w:rsid w:val="007F7088"/>
    <w:rsid w:val="008A0337"/>
    <w:rsid w:val="008A7443"/>
    <w:rsid w:val="00902A68"/>
    <w:rsid w:val="00965DF0"/>
    <w:rsid w:val="00B50B70"/>
    <w:rsid w:val="00B82302"/>
    <w:rsid w:val="00B93DC2"/>
    <w:rsid w:val="00BE742B"/>
    <w:rsid w:val="00CB5041"/>
    <w:rsid w:val="00CE5D44"/>
    <w:rsid w:val="00D341B1"/>
    <w:rsid w:val="00D9494D"/>
    <w:rsid w:val="00DB7250"/>
    <w:rsid w:val="00DD5E0A"/>
    <w:rsid w:val="00DD68D0"/>
    <w:rsid w:val="00E17790"/>
    <w:rsid w:val="00E641EA"/>
    <w:rsid w:val="00E952EF"/>
    <w:rsid w:val="00EA4C6C"/>
    <w:rsid w:val="00F33C3D"/>
    <w:rsid w:val="00FC0AE3"/>
    <w:rsid w:val="0BC9474A"/>
    <w:rsid w:val="13E96481"/>
    <w:rsid w:val="322D770C"/>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Liberation Serif" w:cs="Liberation Serif"/>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qFormat="1" w:unhideWhenUsed="0" w:uiPriority="0" w:semiHidden="0" w:name="heading 6"/>
    <w:lsdException w:unhideWhenUsed="0" w:uiPriority="0"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59" w:semiHidden="0" w:name="Table Grid"/>
    <w:lsdException w:uiPriority="99" w:name="Table Theme"/>
    <w:lsdException w:unhideWhenUsed="0" w:uiPriority="0" w:semiHidden="0" w:name="No Spacing"/>
    <w:lsdException w:unhideWhenUsed="0" w:uiPriority="0" w:semiHidden="0" w:name="List Paragraph"/>
  </w:latentStyles>
  <w:style w:type="paragraph" w:default="1" w:styleId="1">
    <w:name w:val="Normal"/>
    <w:uiPriority w:val="0"/>
    <w:pPr>
      <w:spacing w:line="1" w:lineRule="atLeast"/>
      <w:ind w:left="-1" w:leftChars="-1" w:hanging="1" w:hangingChars="1"/>
      <w:textAlignment w:val="baseline"/>
      <w:outlineLvl w:val="0"/>
    </w:pPr>
    <w:rPr>
      <w:rFonts w:ascii="Liberation Serif" w:hAnsi="Liberation Serif" w:eastAsia="Noto Sans CJK SC" w:cs="Lohit Devanagari"/>
      <w:kern w:val="2"/>
      <w:position w:val="-1"/>
      <w:sz w:val="24"/>
      <w:szCs w:val="24"/>
      <w:lang w:val="pt-BR" w:eastAsia="zh-CN" w:bidi="hi-IN"/>
    </w:rPr>
  </w:style>
  <w:style w:type="paragraph" w:styleId="2">
    <w:name w:val="heading 1"/>
    <w:basedOn w:val="1"/>
    <w:next w:val="1"/>
    <w:qFormat/>
    <w:uiPriority w:val="0"/>
    <w:pPr>
      <w:widowControl w:val="0"/>
      <w:tabs>
        <w:tab w:val="left" w:pos="0"/>
      </w:tabs>
      <w:suppressAutoHyphens/>
      <w:spacing w:before="90"/>
      <w:ind w:left="279" w:firstLine="0"/>
      <w:textAlignment w:val="auto"/>
    </w:pPr>
    <w:rPr>
      <w:rFonts w:ascii="Times New Roman" w:hAnsi="Times New Roman" w:eastAsia="Times New Roman" w:cs="Times New Roman"/>
      <w:b/>
      <w:bCs/>
      <w:kern w:val="0"/>
      <w:lang w:val="pt-PT" w:bidi="pt-PT"/>
    </w:rPr>
  </w:style>
  <w:style w:type="paragraph" w:styleId="3">
    <w:name w:val="heading 2"/>
    <w:basedOn w:val="1"/>
    <w:next w:val="1"/>
    <w:uiPriority w:val="0"/>
    <w:pPr>
      <w:keepNext/>
      <w:keepLines/>
      <w:spacing w:before="360" w:after="80"/>
      <w:outlineLvl w:val="1"/>
    </w:pPr>
    <w:rPr>
      <w:b/>
      <w:sz w:val="36"/>
      <w:szCs w:val="36"/>
    </w:rPr>
  </w:style>
  <w:style w:type="paragraph" w:styleId="4">
    <w:name w:val="heading 3"/>
    <w:basedOn w:val="1"/>
    <w:next w:val="1"/>
    <w:uiPriority w:val="0"/>
    <w:pPr>
      <w:keepNext/>
      <w:keepLines/>
      <w:spacing w:before="280" w:after="80"/>
      <w:outlineLvl w:val="2"/>
    </w:pPr>
    <w:rPr>
      <w:b/>
      <w:sz w:val="28"/>
      <w:szCs w:val="28"/>
    </w:rPr>
  </w:style>
  <w:style w:type="paragraph" w:styleId="5">
    <w:name w:val="heading 4"/>
    <w:basedOn w:val="1"/>
    <w:next w:val="1"/>
    <w:uiPriority w:val="0"/>
    <w:pPr>
      <w:keepNext/>
      <w:keepLines/>
      <w:spacing w:before="240" w:after="40"/>
      <w:outlineLvl w:val="3"/>
    </w:pPr>
    <w:rPr>
      <w:b/>
    </w:rPr>
  </w:style>
  <w:style w:type="paragraph" w:styleId="6">
    <w:name w:val="heading 5"/>
    <w:basedOn w:val="1"/>
    <w:next w:val="1"/>
    <w:uiPriority w:val="0"/>
    <w:pPr>
      <w:tabs>
        <w:tab w:val="left" w:pos="0"/>
      </w:tabs>
      <w:spacing w:before="240" w:after="60"/>
      <w:outlineLvl w:val="4"/>
    </w:pPr>
    <w:rPr>
      <w:rFonts w:ascii="Calibri" w:hAnsi="Calibri" w:cs="Calibri"/>
      <w:b/>
      <w:bCs/>
      <w:i/>
      <w:iCs/>
      <w:sz w:val="26"/>
      <w:szCs w:val="26"/>
    </w:rPr>
  </w:style>
  <w:style w:type="paragraph" w:styleId="7">
    <w:name w:val="heading 6"/>
    <w:basedOn w:val="1"/>
    <w:next w:val="1"/>
    <w:qFormat/>
    <w:uiPriority w:val="0"/>
    <w:pPr>
      <w:tabs>
        <w:tab w:val="left" w:pos="0"/>
      </w:tabs>
      <w:spacing w:before="240" w:after="60"/>
      <w:outlineLvl w:val="5"/>
    </w:pPr>
    <w:rPr>
      <w:rFonts w:ascii="Calibri" w:hAnsi="Calibri" w:cs="Calibri"/>
      <w:b/>
      <w:bCs/>
      <w:sz w:val="22"/>
      <w:szCs w:val="22"/>
    </w:rPr>
  </w:style>
  <w:style w:type="paragraph" w:styleId="8">
    <w:name w:val="heading 7"/>
    <w:basedOn w:val="1"/>
    <w:next w:val="1"/>
    <w:uiPriority w:val="0"/>
    <w:pPr>
      <w:tabs>
        <w:tab w:val="left" w:pos="0"/>
      </w:tabs>
      <w:spacing w:before="240" w:after="60"/>
      <w:outlineLvl w:val="6"/>
    </w:pPr>
    <w:rPr>
      <w:rFonts w:ascii="Calibri" w:hAnsi="Calibri" w:cs="Calibri"/>
    </w:rPr>
  </w:style>
  <w:style w:type="character" w:default="1" w:styleId="9">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character" w:styleId="11">
    <w:name w:val="endnote reference"/>
    <w:qFormat/>
    <w:uiPriority w:val="0"/>
    <w:rPr>
      <w:w w:val="100"/>
      <w:position w:val="-1"/>
      <w:vertAlign w:val="superscript"/>
      <w:cs w:val="0"/>
    </w:rPr>
  </w:style>
  <w:style w:type="character" w:styleId="12">
    <w:name w:val="Strong"/>
    <w:qFormat/>
    <w:uiPriority w:val="0"/>
    <w:rPr>
      <w:b/>
      <w:bCs/>
      <w:w w:val="100"/>
      <w:position w:val="-1"/>
      <w:vertAlign w:val="baseline"/>
      <w:cs w:val="0"/>
    </w:rPr>
  </w:style>
  <w:style w:type="character" w:styleId="13">
    <w:name w:val="annotation reference"/>
    <w:qFormat/>
    <w:uiPriority w:val="0"/>
    <w:rPr>
      <w:w w:val="100"/>
      <w:position w:val="-1"/>
      <w:sz w:val="16"/>
      <w:szCs w:val="16"/>
      <w:vertAlign w:val="baseline"/>
      <w:cs w:val="0"/>
    </w:rPr>
  </w:style>
  <w:style w:type="character" w:styleId="14">
    <w:name w:val="FollowedHyperlink"/>
    <w:qFormat/>
    <w:uiPriority w:val="0"/>
    <w:rPr>
      <w:color w:val="954F72"/>
      <w:w w:val="100"/>
      <w:position w:val="-1"/>
      <w:u w:val="single"/>
      <w:vertAlign w:val="baseline"/>
      <w:cs w:val="0"/>
    </w:rPr>
  </w:style>
  <w:style w:type="character" w:styleId="15">
    <w:name w:val="footnote reference"/>
    <w:qFormat/>
    <w:uiPriority w:val="0"/>
    <w:rPr>
      <w:w w:val="100"/>
      <w:position w:val="-1"/>
      <w:vertAlign w:val="superscript"/>
      <w:cs w:val="0"/>
    </w:rPr>
  </w:style>
  <w:style w:type="character" w:styleId="16">
    <w:name w:val="Hyperlink"/>
    <w:qFormat/>
    <w:uiPriority w:val="0"/>
    <w:rPr>
      <w:color w:val="0000FF"/>
      <w:w w:val="100"/>
      <w:position w:val="-1"/>
      <w:u w:val="single"/>
      <w:vertAlign w:val="baseline"/>
      <w:cs w:val="0"/>
    </w:rPr>
  </w:style>
  <w:style w:type="character" w:styleId="17">
    <w:name w:val="page number"/>
    <w:qFormat/>
    <w:uiPriority w:val="0"/>
    <w:rPr>
      <w:w w:val="100"/>
      <w:position w:val="-1"/>
      <w:vertAlign w:val="baseline"/>
      <w:cs w:val="0"/>
    </w:rPr>
  </w:style>
  <w:style w:type="paragraph" w:styleId="18">
    <w:name w:val="List"/>
    <w:qFormat/>
    <w:uiPriority w:val="0"/>
    <w:pPr>
      <w:widowControl w:val="0"/>
      <w:spacing w:line="1" w:lineRule="atLeast"/>
      <w:ind w:left="-1" w:leftChars="-1" w:hanging="1" w:hangingChars="1"/>
      <w:textAlignment w:val="top"/>
      <w:outlineLvl w:val="0"/>
    </w:pPr>
    <w:rPr>
      <w:rFonts w:ascii="Calibri" w:hAnsi="Calibri" w:eastAsia="Calibri" w:cs="Liberation Serif"/>
      <w:position w:val="-1"/>
      <w:sz w:val="24"/>
      <w:szCs w:val="22"/>
      <w:lang w:val="pt-BR" w:eastAsia="en-US" w:bidi="ar-SA"/>
    </w:rPr>
  </w:style>
  <w:style w:type="paragraph" w:styleId="19">
    <w:name w:val="Body Text"/>
    <w:basedOn w:val="1"/>
    <w:qFormat/>
    <w:uiPriority w:val="0"/>
    <w:pPr>
      <w:spacing w:after="120" w:line="288" w:lineRule="auto"/>
      <w:textAlignment w:val="auto"/>
    </w:pPr>
    <w:rPr>
      <w:rFonts w:ascii="Times New Roman" w:hAnsi="Times New Roman" w:eastAsia="Times New Roman" w:cs="Times New Roman"/>
      <w:kern w:val="0"/>
      <w:lang w:bidi="ar-SA"/>
    </w:rPr>
  </w:style>
  <w:style w:type="paragraph" w:styleId="20">
    <w:name w:val="annotation text"/>
    <w:basedOn w:val="1"/>
    <w:qFormat/>
    <w:uiPriority w:val="0"/>
    <w:rPr>
      <w:rFonts w:cs="Mangal"/>
      <w:sz w:val="20"/>
      <w:szCs w:val="18"/>
    </w:rPr>
  </w:style>
  <w:style w:type="paragraph" w:styleId="21">
    <w:name w:val="Title"/>
    <w:basedOn w:val="1"/>
    <w:next w:val="1"/>
    <w:uiPriority w:val="0"/>
    <w:pPr>
      <w:keepNext/>
      <w:keepLines/>
      <w:spacing w:before="480" w:after="120"/>
    </w:pPr>
    <w:rPr>
      <w:b/>
      <w:sz w:val="72"/>
      <w:szCs w:val="72"/>
    </w:rPr>
  </w:style>
  <w:style w:type="paragraph" w:styleId="22">
    <w:name w:val="header"/>
    <w:basedOn w:val="1"/>
    <w:qFormat/>
    <w:uiPriority w:val="0"/>
    <w:pPr>
      <w:tabs>
        <w:tab w:val="center" w:pos="4252"/>
        <w:tab w:val="right" w:pos="8504"/>
      </w:tabs>
    </w:pPr>
    <w:rPr>
      <w:rFonts w:cs="Mangal"/>
      <w:szCs w:val="21"/>
    </w:rPr>
  </w:style>
  <w:style w:type="paragraph" w:styleId="23">
    <w:name w:val="annotation subject"/>
    <w:basedOn w:val="20"/>
    <w:next w:val="20"/>
    <w:uiPriority w:val="0"/>
    <w:rPr>
      <w:b/>
      <w:bCs/>
    </w:rPr>
  </w:style>
  <w:style w:type="paragraph" w:styleId="24">
    <w:name w:val="footer"/>
    <w:basedOn w:val="1"/>
    <w:qFormat/>
    <w:uiPriority w:val="0"/>
    <w:pPr>
      <w:tabs>
        <w:tab w:val="center" w:pos="4252"/>
        <w:tab w:val="right" w:pos="8504"/>
      </w:tabs>
    </w:pPr>
    <w:rPr>
      <w:rFonts w:cs="Mangal"/>
      <w:szCs w:val="21"/>
    </w:rPr>
  </w:style>
  <w:style w:type="paragraph" w:styleId="25">
    <w:name w:val="caption"/>
    <w:basedOn w:val="1"/>
    <w:next w:val="1"/>
    <w:qFormat/>
    <w:uiPriority w:val="0"/>
    <w:pPr>
      <w:suppressLineNumbers/>
      <w:spacing w:before="120" w:after="120"/>
    </w:pPr>
    <w:rPr>
      <w:i/>
      <w:iCs/>
    </w:rPr>
  </w:style>
  <w:style w:type="paragraph" w:styleId="26">
    <w:name w:val="Balloon Text"/>
    <w:basedOn w:val="1"/>
    <w:qFormat/>
    <w:uiPriority w:val="0"/>
    <w:rPr>
      <w:rFonts w:ascii="Segoe UI" w:hAnsi="Segoe UI" w:cs="Mangal"/>
      <w:sz w:val="18"/>
      <w:szCs w:val="16"/>
    </w:rPr>
  </w:style>
  <w:style w:type="paragraph" w:styleId="27">
    <w:name w:val="Subtitle"/>
    <w:basedOn w:val="1"/>
    <w:next w:val="1"/>
    <w:qFormat/>
    <w:uiPriority w:val="0"/>
    <w:pPr>
      <w:keepNext/>
      <w:keepLines/>
      <w:spacing w:before="360" w:after="80"/>
    </w:pPr>
    <w:rPr>
      <w:rFonts w:ascii="Georgia" w:hAnsi="Georgia" w:eastAsia="Georgia" w:cs="Georgia"/>
      <w:i/>
      <w:color w:val="666666"/>
      <w:sz w:val="48"/>
      <w:szCs w:val="48"/>
    </w:rPr>
  </w:style>
  <w:style w:type="paragraph" w:styleId="28">
    <w:name w:val="footnote text"/>
    <w:basedOn w:val="1"/>
    <w:qFormat/>
    <w:uiPriority w:val="0"/>
  </w:style>
  <w:style w:type="paragraph" w:styleId="29">
    <w:name w:val="Body Text Indent"/>
    <w:basedOn w:val="1"/>
    <w:qFormat/>
    <w:uiPriority w:val="0"/>
    <w:pPr>
      <w:suppressAutoHyphens/>
      <w:spacing w:after="200" w:line="276" w:lineRule="auto"/>
      <w:ind w:left="709" w:hanging="709"/>
      <w:textAlignment w:val="auto"/>
    </w:pPr>
    <w:rPr>
      <w:rFonts w:ascii="Calibri" w:hAnsi="Calibri" w:eastAsia="SimSun" w:cs="Times New Roman"/>
      <w:kern w:val="0"/>
      <w:szCs w:val="22"/>
      <w:lang w:bidi="ar-SA"/>
    </w:rPr>
  </w:style>
  <w:style w:type="table" w:customStyle="1" w:styleId="30">
    <w:name w:val="Table Normal"/>
    <w:qFormat/>
    <w:uiPriority w:val="0"/>
    <w:tblPr>
      <w:tblCellMar>
        <w:top w:w="0" w:type="dxa"/>
        <w:left w:w="0" w:type="dxa"/>
        <w:bottom w:w="0" w:type="dxa"/>
        <w:right w:w="0" w:type="dxa"/>
      </w:tblCellMar>
    </w:tblPr>
  </w:style>
  <w:style w:type="character" w:customStyle="1" w:styleId="31">
    <w:name w:val="Fonte parág. padrão1"/>
    <w:qFormat/>
    <w:uiPriority w:val="0"/>
    <w:rPr>
      <w:w w:val="100"/>
      <w:position w:val="-1"/>
      <w:vertAlign w:val="baseline"/>
      <w:cs w:val="0"/>
    </w:rPr>
  </w:style>
  <w:style w:type="character" w:customStyle="1" w:styleId="32">
    <w:name w:val="WW8Num1z0"/>
    <w:qFormat/>
    <w:uiPriority w:val="0"/>
    <w:rPr>
      <w:w w:val="100"/>
      <w:position w:val="-1"/>
      <w:vertAlign w:val="baseline"/>
      <w:cs w:val="0"/>
    </w:rPr>
  </w:style>
  <w:style w:type="character" w:customStyle="1" w:styleId="33">
    <w:name w:val="WW8Num1z1"/>
    <w:qFormat/>
    <w:uiPriority w:val="0"/>
    <w:rPr>
      <w:w w:val="100"/>
      <w:position w:val="-1"/>
      <w:vertAlign w:val="baseline"/>
      <w:cs w:val="0"/>
    </w:rPr>
  </w:style>
  <w:style w:type="character" w:customStyle="1" w:styleId="34">
    <w:name w:val="WW8Num1z2"/>
    <w:qFormat/>
    <w:uiPriority w:val="0"/>
    <w:rPr>
      <w:w w:val="100"/>
      <w:position w:val="-1"/>
      <w:vertAlign w:val="baseline"/>
      <w:cs w:val="0"/>
    </w:rPr>
  </w:style>
  <w:style w:type="character" w:customStyle="1" w:styleId="35">
    <w:name w:val="WW8Num1z3"/>
    <w:qFormat/>
    <w:uiPriority w:val="0"/>
    <w:rPr>
      <w:w w:val="100"/>
      <w:position w:val="-1"/>
      <w:vertAlign w:val="baseline"/>
      <w:cs w:val="0"/>
    </w:rPr>
  </w:style>
  <w:style w:type="character" w:customStyle="1" w:styleId="36">
    <w:name w:val="WW8Num1z4"/>
    <w:qFormat/>
    <w:uiPriority w:val="0"/>
    <w:rPr>
      <w:w w:val="100"/>
      <w:position w:val="-1"/>
      <w:vertAlign w:val="baseline"/>
      <w:cs w:val="0"/>
    </w:rPr>
  </w:style>
  <w:style w:type="character" w:customStyle="1" w:styleId="37">
    <w:name w:val="WW8Num1z5"/>
    <w:qFormat/>
    <w:uiPriority w:val="0"/>
    <w:rPr>
      <w:w w:val="100"/>
      <w:position w:val="-1"/>
      <w:vertAlign w:val="baseline"/>
      <w:cs w:val="0"/>
    </w:rPr>
  </w:style>
  <w:style w:type="character" w:customStyle="1" w:styleId="38">
    <w:name w:val="WW8Num1z6"/>
    <w:qFormat/>
    <w:uiPriority w:val="0"/>
    <w:rPr>
      <w:w w:val="100"/>
      <w:position w:val="-1"/>
      <w:vertAlign w:val="baseline"/>
      <w:cs w:val="0"/>
    </w:rPr>
  </w:style>
  <w:style w:type="character" w:customStyle="1" w:styleId="39">
    <w:name w:val="WW8Num1z7"/>
    <w:qFormat/>
    <w:uiPriority w:val="0"/>
    <w:rPr>
      <w:w w:val="100"/>
      <w:position w:val="-1"/>
      <w:vertAlign w:val="baseline"/>
      <w:cs w:val="0"/>
    </w:rPr>
  </w:style>
  <w:style w:type="character" w:customStyle="1" w:styleId="40">
    <w:name w:val="WW8Num1z8"/>
    <w:qFormat/>
    <w:uiPriority w:val="0"/>
    <w:rPr>
      <w:w w:val="100"/>
      <w:position w:val="-1"/>
      <w:vertAlign w:val="baseline"/>
      <w:cs w:val="0"/>
    </w:rPr>
  </w:style>
  <w:style w:type="character" w:customStyle="1" w:styleId="41">
    <w:name w:val="WW8Num2z0"/>
    <w:qFormat/>
    <w:uiPriority w:val="0"/>
    <w:rPr>
      <w:w w:val="100"/>
      <w:position w:val="-1"/>
      <w:sz w:val="24"/>
      <w:szCs w:val="24"/>
      <w:vertAlign w:val="baseline"/>
      <w:cs w:val="0"/>
      <w:lang w:val="pt-PT" w:eastAsia="pt-PT" w:bidi="pt-PT"/>
    </w:rPr>
  </w:style>
  <w:style w:type="character" w:customStyle="1" w:styleId="42">
    <w:name w:val="WW8Num2z1"/>
    <w:qFormat/>
    <w:uiPriority w:val="0"/>
    <w:rPr>
      <w:rFonts w:hint="default" w:ascii="Symbol" w:hAnsi="Symbol" w:cs="Symbol"/>
      <w:w w:val="100"/>
      <w:position w:val="-1"/>
      <w:vertAlign w:val="baseline"/>
      <w:cs w:val="0"/>
    </w:rPr>
  </w:style>
  <w:style w:type="character" w:customStyle="1" w:styleId="43">
    <w:name w:val="WW8Num3z0"/>
    <w:qFormat/>
    <w:uiPriority w:val="0"/>
    <w:rPr>
      <w:w w:val="100"/>
      <w:position w:val="-1"/>
      <w:sz w:val="24"/>
      <w:szCs w:val="24"/>
      <w:vertAlign w:val="baseline"/>
      <w:cs w:val="0"/>
      <w:lang w:val="pt-PT" w:eastAsia="pt-PT" w:bidi="pt-PT"/>
    </w:rPr>
  </w:style>
  <w:style w:type="character" w:customStyle="1" w:styleId="44">
    <w:name w:val="WW8Num3z1"/>
    <w:qFormat/>
    <w:uiPriority w:val="0"/>
    <w:rPr>
      <w:rFonts w:hint="default" w:ascii="Symbol" w:hAnsi="Symbol" w:cs="Symbol"/>
      <w:w w:val="100"/>
      <w:position w:val="-1"/>
      <w:vertAlign w:val="baseline"/>
      <w:cs w:val="0"/>
    </w:rPr>
  </w:style>
  <w:style w:type="character" w:customStyle="1" w:styleId="45">
    <w:name w:val="WW8Num4z0"/>
    <w:qFormat/>
    <w:uiPriority w:val="0"/>
    <w:rPr>
      <w:w w:val="100"/>
      <w:position w:val="-1"/>
      <w:sz w:val="24"/>
      <w:szCs w:val="24"/>
      <w:vertAlign w:val="baseline"/>
      <w:cs w:val="0"/>
      <w:lang w:val="pt-PT" w:eastAsia="pt-PT" w:bidi="pt-PT"/>
    </w:rPr>
  </w:style>
  <w:style w:type="character" w:customStyle="1" w:styleId="46">
    <w:name w:val="WW8Num4z1"/>
    <w:qFormat/>
    <w:uiPriority w:val="0"/>
    <w:rPr>
      <w:rFonts w:hint="default" w:ascii="Symbol" w:hAnsi="Symbol" w:cs="Symbol"/>
      <w:w w:val="100"/>
      <w:position w:val="-1"/>
      <w:vertAlign w:val="baseline"/>
      <w:cs w:val="0"/>
    </w:rPr>
  </w:style>
  <w:style w:type="character" w:customStyle="1" w:styleId="47">
    <w:name w:val="WW8Num5z0"/>
    <w:qFormat/>
    <w:uiPriority w:val="0"/>
    <w:rPr>
      <w:w w:val="100"/>
      <w:position w:val="-1"/>
      <w:sz w:val="24"/>
      <w:szCs w:val="24"/>
      <w:vertAlign w:val="baseline"/>
      <w:cs w:val="0"/>
      <w:lang w:val="pt-PT" w:eastAsia="pt-PT" w:bidi="pt-PT"/>
    </w:rPr>
  </w:style>
  <w:style w:type="character" w:customStyle="1" w:styleId="48">
    <w:name w:val="WW8Num5z1"/>
    <w:qFormat/>
    <w:uiPriority w:val="0"/>
    <w:rPr>
      <w:rFonts w:hint="default" w:ascii="Symbol" w:hAnsi="Symbol" w:cs="Symbol"/>
      <w:w w:val="100"/>
      <w:position w:val="-1"/>
      <w:vertAlign w:val="baseline"/>
      <w:cs w:val="0"/>
    </w:rPr>
  </w:style>
  <w:style w:type="character" w:customStyle="1" w:styleId="49">
    <w:name w:val="WW8Num6z0"/>
    <w:qFormat/>
    <w:uiPriority w:val="0"/>
    <w:rPr>
      <w:spacing w:val="-10"/>
      <w:w w:val="99"/>
      <w:position w:val="-1"/>
      <w:sz w:val="24"/>
      <w:szCs w:val="24"/>
      <w:vertAlign w:val="baseline"/>
      <w:cs w:val="0"/>
      <w:lang w:val="pt-PT" w:eastAsia="pt-PT" w:bidi="pt-PT"/>
    </w:rPr>
  </w:style>
  <w:style w:type="character" w:customStyle="1" w:styleId="50">
    <w:name w:val="WW8Num6z1"/>
    <w:qFormat/>
    <w:uiPriority w:val="0"/>
    <w:rPr>
      <w:rFonts w:hint="default" w:ascii="Symbol" w:hAnsi="Symbol" w:cs="Symbol"/>
      <w:w w:val="100"/>
      <w:position w:val="-1"/>
      <w:vertAlign w:val="baseline"/>
      <w:cs w:val="0"/>
    </w:rPr>
  </w:style>
  <w:style w:type="character" w:customStyle="1" w:styleId="51">
    <w:name w:val="WW8Num7z0"/>
    <w:qFormat/>
    <w:uiPriority w:val="0"/>
    <w:rPr>
      <w:w w:val="100"/>
      <w:position w:val="-1"/>
      <w:vertAlign w:val="baseline"/>
      <w:cs w:val="0"/>
    </w:rPr>
  </w:style>
  <w:style w:type="character" w:customStyle="1" w:styleId="52">
    <w:name w:val="WW8Num7z1"/>
    <w:qFormat/>
    <w:uiPriority w:val="0"/>
    <w:rPr>
      <w:w w:val="100"/>
      <w:position w:val="-1"/>
      <w:vertAlign w:val="baseline"/>
      <w:cs w:val="0"/>
    </w:rPr>
  </w:style>
  <w:style w:type="character" w:customStyle="1" w:styleId="53">
    <w:name w:val="WW8Num7z2"/>
    <w:qFormat/>
    <w:uiPriority w:val="0"/>
    <w:rPr>
      <w:w w:val="100"/>
      <w:position w:val="-1"/>
      <w:vertAlign w:val="baseline"/>
      <w:cs w:val="0"/>
    </w:rPr>
  </w:style>
  <w:style w:type="character" w:customStyle="1" w:styleId="54">
    <w:name w:val="WW8Num7z3"/>
    <w:qFormat/>
    <w:uiPriority w:val="0"/>
    <w:rPr>
      <w:w w:val="100"/>
      <w:position w:val="-1"/>
      <w:vertAlign w:val="baseline"/>
      <w:cs w:val="0"/>
    </w:rPr>
  </w:style>
  <w:style w:type="character" w:customStyle="1" w:styleId="55">
    <w:name w:val="WW8Num7z4"/>
    <w:qFormat/>
    <w:uiPriority w:val="0"/>
    <w:rPr>
      <w:w w:val="100"/>
      <w:position w:val="-1"/>
      <w:vertAlign w:val="baseline"/>
      <w:cs w:val="0"/>
    </w:rPr>
  </w:style>
  <w:style w:type="character" w:customStyle="1" w:styleId="56">
    <w:name w:val="WW8Num7z5"/>
    <w:qFormat/>
    <w:uiPriority w:val="0"/>
    <w:rPr>
      <w:w w:val="100"/>
      <w:position w:val="-1"/>
      <w:vertAlign w:val="baseline"/>
      <w:cs w:val="0"/>
    </w:rPr>
  </w:style>
  <w:style w:type="character" w:customStyle="1" w:styleId="57">
    <w:name w:val="WW8Num7z6"/>
    <w:qFormat/>
    <w:uiPriority w:val="0"/>
    <w:rPr>
      <w:w w:val="100"/>
      <w:position w:val="-1"/>
      <w:vertAlign w:val="baseline"/>
      <w:cs w:val="0"/>
    </w:rPr>
  </w:style>
  <w:style w:type="character" w:customStyle="1" w:styleId="58">
    <w:name w:val="WW8Num7z7"/>
    <w:qFormat/>
    <w:uiPriority w:val="0"/>
    <w:rPr>
      <w:w w:val="100"/>
      <w:position w:val="-1"/>
      <w:vertAlign w:val="baseline"/>
      <w:cs w:val="0"/>
    </w:rPr>
  </w:style>
  <w:style w:type="character" w:customStyle="1" w:styleId="59">
    <w:name w:val="WW8Num7z8"/>
    <w:qFormat/>
    <w:uiPriority w:val="0"/>
    <w:rPr>
      <w:w w:val="100"/>
      <w:position w:val="-1"/>
      <w:vertAlign w:val="baseline"/>
      <w:cs w:val="0"/>
    </w:rPr>
  </w:style>
  <w:style w:type="character" w:customStyle="1" w:styleId="60">
    <w:name w:val="WW8Num8z0"/>
    <w:qFormat/>
    <w:uiPriority w:val="0"/>
    <w:rPr>
      <w:spacing w:val="-10"/>
      <w:w w:val="99"/>
      <w:position w:val="-1"/>
      <w:sz w:val="24"/>
      <w:szCs w:val="24"/>
      <w:vertAlign w:val="baseline"/>
      <w:cs w:val="0"/>
      <w:lang w:val="pt-PT" w:eastAsia="pt-PT" w:bidi="pt-PT"/>
    </w:rPr>
  </w:style>
  <w:style w:type="character" w:customStyle="1" w:styleId="61">
    <w:name w:val="WW8Num8z1"/>
    <w:qFormat/>
    <w:uiPriority w:val="0"/>
    <w:rPr>
      <w:rFonts w:hint="default" w:ascii="Symbol" w:hAnsi="Symbol" w:cs="Symbol"/>
      <w:w w:val="100"/>
      <w:position w:val="-1"/>
      <w:vertAlign w:val="baseline"/>
      <w:cs w:val="0"/>
    </w:rPr>
  </w:style>
  <w:style w:type="character" w:customStyle="1" w:styleId="62">
    <w:name w:val="WW8Num9z0"/>
    <w:qFormat/>
    <w:uiPriority w:val="0"/>
    <w:rPr>
      <w:w w:val="100"/>
      <w:position w:val="-1"/>
      <w:sz w:val="24"/>
      <w:szCs w:val="24"/>
      <w:vertAlign w:val="baseline"/>
      <w:cs w:val="0"/>
      <w:lang w:val="pt-PT" w:eastAsia="pt-PT" w:bidi="pt-PT"/>
    </w:rPr>
  </w:style>
  <w:style w:type="character" w:customStyle="1" w:styleId="63">
    <w:name w:val="WW8Num9z1"/>
    <w:qFormat/>
    <w:uiPriority w:val="0"/>
    <w:rPr>
      <w:rFonts w:hint="default" w:ascii="Symbol" w:hAnsi="Symbol" w:cs="Symbol"/>
      <w:w w:val="100"/>
      <w:position w:val="-1"/>
      <w:vertAlign w:val="baseline"/>
      <w:cs w:val="0"/>
    </w:rPr>
  </w:style>
  <w:style w:type="character" w:customStyle="1" w:styleId="64">
    <w:name w:val="WW8Num10z0"/>
    <w:qFormat/>
    <w:uiPriority w:val="0"/>
    <w:rPr>
      <w:w w:val="100"/>
      <w:position w:val="-1"/>
      <w:vertAlign w:val="baseline"/>
      <w:cs w:val="0"/>
    </w:rPr>
  </w:style>
  <w:style w:type="character" w:customStyle="1" w:styleId="65">
    <w:name w:val="WW8Num10z1"/>
    <w:qFormat/>
    <w:uiPriority w:val="0"/>
    <w:rPr>
      <w:w w:val="100"/>
      <w:position w:val="-1"/>
      <w:vertAlign w:val="baseline"/>
      <w:cs w:val="0"/>
    </w:rPr>
  </w:style>
  <w:style w:type="character" w:customStyle="1" w:styleId="66">
    <w:name w:val="WW8Num10z2"/>
    <w:qFormat/>
    <w:uiPriority w:val="0"/>
    <w:rPr>
      <w:w w:val="100"/>
      <w:position w:val="-1"/>
      <w:vertAlign w:val="baseline"/>
      <w:cs w:val="0"/>
    </w:rPr>
  </w:style>
  <w:style w:type="character" w:customStyle="1" w:styleId="67">
    <w:name w:val="WW8Num10z3"/>
    <w:qFormat/>
    <w:uiPriority w:val="0"/>
    <w:rPr>
      <w:w w:val="100"/>
      <w:position w:val="-1"/>
      <w:vertAlign w:val="baseline"/>
      <w:cs w:val="0"/>
    </w:rPr>
  </w:style>
  <w:style w:type="character" w:customStyle="1" w:styleId="68">
    <w:name w:val="WW8Num10z4"/>
    <w:qFormat/>
    <w:uiPriority w:val="0"/>
    <w:rPr>
      <w:w w:val="100"/>
      <w:position w:val="-1"/>
      <w:vertAlign w:val="baseline"/>
      <w:cs w:val="0"/>
    </w:rPr>
  </w:style>
  <w:style w:type="character" w:customStyle="1" w:styleId="69">
    <w:name w:val="WW8Num10z5"/>
    <w:qFormat/>
    <w:uiPriority w:val="0"/>
    <w:rPr>
      <w:w w:val="100"/>
      <w:position w:val="-1"/>
      <w:vertAlign w:val="baseline"/>
      <w:cs w:val="0"/>
    </w:rPr>
  </w:style>
  <w:style w:type="character" w:customStyle="1" w:styleId="70">
    <w:name w:val="WW8Num10z6"/>
    <w:qFormat/>
    <w:uiPriority w:val="0"/>
    <w:rPr>
      <w:w w:val="100"/>
      <w:position w:val="-1"/>
      <w:vertAlign w:val="baseline"/>
      <w:cs w:val="0"/>
    </w:rPr>
  </w:style>
  <w:style w:type="character" w:customStyle="1" w:styleId="71">
    <w:name w:val="WW8Num10z7"/>
    <w:qFormat/>
    <w:uiPriority w:val="0"/>
    <w:rPr>
      <w:w w:val="100"/>
      <w:position w:val="-1"/>
      <w:vertAlign w:val="baseline"/>
      <w:cs w:val="0"/>
    </w:rPr>
  </w:style>
  <w:style w:type="character" w:customStyle="1" w:styleId="72">
    <w:name w:val="WW8Num10z8"/>
    <w:qFormat/>
    <w:uiPriority w:val="0"/>
    <w:rPr>
      <w:w w:val="100"/>
      <w:position w:val="-1"/>
      <w:vertAlign w:val="baseline"/>
      <w:cs w:val="0"/>
    </w:rPr>
  </w:style>
  <w:style w:type="character" w:customStyle="1" w:styleId="73">
    <w:name w:val="WW8Num11z0"/>
    <w:qFormat/>
    <w:uiPriority w:val="0"/>
    <w:rPr>
      <w:w w:val="100"/>
      <w:position w:val="-1"/>
      <w:vertAlign w:val="baseline"/>
      <w:cs w:val="0"/>
    </w:rPr>
  </w:style>
  <w:style w:type="character" w:customStyle="1" w:styleId="74">
    <w:name w:val="WW8Num11z1"/>
    <w:qFormat/>
    <w:uiPriority w:val="0"/>
    <w:rPr>
      <w:w w:val="100"/>
      <w:position w:val="-1"/>
      <w:vertAlign w:val="baseline"/>
      <w:cs w:val="0"/>
    </w:rPr>
  </w:style>
  <w:style w:type="character" w:customStyle="1" w:styleId="75">
    <w:name w:val="WW8Num11z2"/>
    <w:qFormat/>
    <w:uiPriority w:val="0"/>
    <w:rPr>
      <w:w w:val="100"/>
      <w:position w:val="-1"/>
      <w:vertAlign w:val="baseline"/>
      <w:cs w:val="0"/>
    </w:rPr>
  </w:style>
  <w:style w:type="character" w:customStyle="1" w:styleId="76">
    <w:name w:val="WW8Num11z3"/>
    <w:qFormat/>
    <w:uiPriority w:val="0"/>
    <w:rPr>
      <w:w w:val="100"/>
      <w:position w:val="-1"/>
      <w:vertAlign w:val="baseline"/>
      <w:cs w:val="0"/>
    </w:rPr>
  </w:style>
  <w:style w:type="character" w:customStyle="1" w:styleId="77">
    <w:name w:val="WW8Num11z4"/>
    <w:uiPriority w:val="0"/>
    <w:rPr>
      <w:w w:val="100"/>
      <w:position w:val="-1"/>
      <w:vertAlign w:val="baseline"/>
      <w:cs w:val="0"/>
    </w:rPr>
  </w:style>
  <w:style w:type="character" w:customStyle="1" w:styleId="78">
    <w:name w:val="WW8Num11z5"/>
    <w:uiPriority w:val="0"/>
    <w:rPr>
      <w:w w:val="100"/>
      <w:position w:val="-1"/>
      <w:vertAlign w:val="baseline"/>
      <w:cs w:val="0"/>
    </w:rPr>
  </w:style>
  <w:style w:type="character" w:customStyle="1" w:styleId="79">
    <w:name w:val="WW8Num11z6"/>
    <w:uiPriority w:val="0"/>
    <w:rPr>
      <w:w w:val="100"/>
      <w:position w:val="-1"/>
      <w:vertAlign w:val="baseline"/>
      <w:cs w:val="0"/>
    </w:rPr>
  </w:style>
  <w:style w:type="character" w:customStyle="1" w:styleId="80">
    <w:name w:val="WW8Num11z7"/>
    <w:uiPriority w:val="0"/>
    <w:rPr>
      <w:w w:val="100"/>
      <w:position w:val="-1"/>
      <w:vertAlign w:val="baseline"/>
      <w:cs w:val="0"/>
    </w:rPr>
  </w:style>
  <w:style w:type="character" w:customStyle="1" w:styleId="81">
    <w:name w:val="WW8Num11z8"/>
    <w:uiPriority w:val="0"/>
    <w:rPr>
      <w:w w:val="100"/>
      <w:position w:val="-1"/>
      <w:vertAlign w:val="baseline"/>
      <w:cs w:val="0"/>
    </w:rPr>
  </w:style>
  <w:style w:type="character" w:customStyle="1" w:styleId="82">
    <w:name w:val="WW8Num12z0"/>
    <w:uiPriority w:val="0"/>
    <w:rPr>
      <w:w w:val="100"/>
      <w:position w:val="-1"/>
      <w:sz w:val="24"/>
      <w:szCs w:val="24"/>
      <w:vertAlign w:val="baseline"/>
      <w:cs w:val="0"/>
      <w:lang w:val="pt-PT" w:eastAsia="pt-PT" w:bidi="pt-PT"/>
    </w:rPr>
  </w:style>
  <w:style w:type="character" w:customStyle="1" w:styleId="83">
    <w:name w:val="WW8Num12z1"/>
    <w:uiPriority w:val="0"/>
    <w:rPr>
      <w:rFonts w:hint="default" w:ascii="Symbol" w:hAnsi="Symbol" w:cs="Symbol"/>
      <w:w w:val="100"/>
      <w:position w:val="-1"/>
      <w:vertAlign w:val="baseline"/>
      <w:cs w:val="0"/>
    </w:rPr>
  </w:style>
  <w:style w:type="character" w:customStyle="1" w:styleId="84">
    <w:name w:val="WW8Num13z0"/>
    <w:uiPriority w:val="0"/>
    <w:rPr>
      <w:w w:val="100"/>
      <w:position w:val="-1"/>
      <w:vertAlign w:val="baseline"/>
      <w:cs w:val="0"/>
    </w:rPr>
  </w:style>
  <w:style w:type="character" w:customStyle="1" w:styleId="85">
    <w:name w:val="WW8Num13z1"/>
    <w:uiPriority w:val="0"/>
    <w:rPr>
      <w:w w:val="100"/>
      <w:position w:val="-1"/>
      <w:vertAlign w:val="baseline"/>
      <w:cs w:val="0"/>
    </w:rPr>
  </w:style>
  <w:style w:type="character" w:customStyle="1" w:styleId="86">
    <w:name w:val="WW8Num13z2"/>
    <w:uiPriority w:val="0"/>
    <w:rPr>
      <w:w w:val="100"/>
      <w:position w:val="-1"/>
      <w:vertAlign w:val="baseline"/>
      <w:cs w:val="0"/>
    </w:rPr>
  </w:style>
  <w:style w:type="character" w:customStyle="1" w:styleId="87">
    <w:name w:val="WW8Num13z3"/>
    <w:uiPriority w:val="0"/>
    <w:rPr>
      <w:w w:val="100"/>
      <w:position w:val="-1"/>
      <w:vertAlign w:val="baseline"/>
      <w:cs w:val="0"/>
    </w:rPr>
  </w:style>
  <w:style w:type="character" w:customStyle="1" w:styleId="88">
    <w:name w:val="WW8Num13z4"/>
    <w:uiPriority w:val="0"/>
    <w:rPr>
      <w:w w:val="100"/>
      <w:position w:val="-1"/>
      <w:vertAlign w:val="baseline"/>
      <w:cs w:val="0"/>
    </w:rPr>
  </w:style>
  <w:style w:type="character" w:customStyle="1" w:styleId="89">
    <w:name w:val="WW8Num13z5"/>
    <w:uiPriority w:val="0"/>
    <w:rPr>
      <w:w w:val="100"/>
      <w:position w:val="-1"/>
      <w:vertAlign w:val="baseline"/>
      <w:cs w:val="0"/>
    </w:rPr>
  </w:style>
  <w:style w:type="character" w:customStyle="1" w:styleId="90">
    <w:name w:val="WW8Num13z6"/>
    <w:uiPriority w:val="0"/>
    <w:rPr>
      <w:w w:val="100"/>
      <w:position w:val="-1"/>
      <w:vertAlign w:val="baseline"/>
      <w:cs w:val="0"/>
    </w:rPr>
  </w:style>
  <w:style w:type="character" w:customStyle="1" w:styleId="91">
    <w:name w:val="WW8Num13z7"/>
    <w:uiPriority w:val="0"/>
    <w:rPr>
      <w:w w:val="100"/>
      <w:position w:val="-1"/>
      <w:vertAlign w:val="baseline"/>
      <w:cs w:val="0"/>
    </w:rPr>
  </w:style>
  <w:style w:type="character" w:customStyle="1" w:styleId="92">
    <w:name w:val="WW8Num13z8"/>
    <w:uiPriority w:val="0"/>
    <w:rPr>
      <w:w w:val="100"/>
      <w:position w:val="-1"/>
      <w:vertAlign w:val="baseline"/>
      <w:cs w:val="0"/>
    </w:rPr>
  </w:style>
  <w:style w:type="character" w:customStyle="1" w:styleId="93">
    <w:name w:val="WW8Num14z0"/>
    <w:uiPriority w:val="0"/>
    <w:rPr>
      <w:spacing w:val="-10"/>
      <w:w w:val="99"/>
      <w:position w:val="-1"/>
      <w:sz w:val="24"/>
      <w:szCs w:val="24"/>
      <w:vertAlign w:val="baseline"/>
      <w:cs w:val="0"/>
      <w:lang w:val="pt-PT" w:eastAsia="pt-PT" w:bidi="pt-PT"/>
    </w:rPr>
  </w:style>
  <w:style w:type="character" w:customStyle="1" w:styleId="94">
    <w:name w:val="WW8Num14z1"/>
    <w:uiPriority w:val="0"/>
    <w:rPr>
      <w:rFonts w:hint="default" w:ascii="Symbol" w:hAnsi="Symbol" w:cs="Symbol"/>
      <w:w w:val="100"/>
      <w:position w:val="-1"/>
      <w:vertAlign w:val="baseline"/>
      <w:cs w:val="0"/>
    </w:rPr>
  </w:style>
  <w:style w:type="character" w:customStyle="1" w:styleId="95">
    <w:name w:val="WW8Num15z0"/>
    <w:uiPriority w:val="0"/>
    <w:rPr>
      <w:spacing w:val="-20"/>
      <w:w w:val="99"/>
      <w:position w:val="-1"/>
      <w:sz w:val="24"/>
      <w:szCs w:val="24"/>
      <w:vertAlign w:val="baseline"/>
      <w:cs w:val="0"/>
      <w:lang w:val="pt-PT" w:eastAsia="pt-PT" w:bidi="pt-PT"/>
    </w:rPr>
  </w:style>
  <w:style w:type="character" w:customStyle="1" w:styleId="96">
    <w:name w:val="WW8Num15z1"/>
    <w:uiPriority w:val="0"/>
    <w:rPr>
      <w:rFonts w:hint="default" w:ascii="Symbol" w:hAnsi="Symbol" w:cs="Symbol"/>
      <w:w w:val="100"/>
      <w:position w:val="-1"/>
      <w:vertAlign w:val="baseline"/>
      <w:cs w:val="0"/>
    </w:rPr>
  </w:style>
  <w:style w:type="character" w:customStyle="1" w:styleId="97">
    <w:name w:val="WW8Num16z0"/>
    <w:uiPriority w:val="0"/>
    <w:rPr>
      <w:w w:val="100"/>
      <w:position w:val="-1"/>
      <w:vertAlign w:val="baseline"/>
      <w:cs w:val="0"/>
    </w:rPr>
  </w:style>
  <w:style w:type="character" w:customStyle="1" w:styleId="98">
    <w:name w:val="WW8Num17z0"/>
    <w:uiPriority w:val="0"/>
    <w:rPr>
      <w:w w:val="100"/>
      <w:position w:val="-1"/>
      <w:vertAlign w:val="baseline"/>
      <w:cs w:val="0"/>
    </w:rPr>
  </w:style>
  <w:style w:type="character" w:customStyle="1" w:styleId="99">
    <w:name w:val="WW8Num17z1"/>
    <w:uiPriority w:val="0"/>
    <w:rPr>
      <w:w w:val="100"/>
      <w:position w:val="-1"/>
      <w:vertAlign w:val="baseline"/>
      <w:cs w:val="0"/>
    </w:rPr>
  </w:style>
  <w:style w:type="character" w:customStyle="1" w:styleId="100">
    <w:name w:val="WW8Num17z2"/>
    <w:uiPriority w:val="0"/>
    <w:rPr>
      <w:w w:val="100"/>
      <w:position w:val="-1"/>
      <w:vertAlign w:val="baseline"/>
      <w:cs w:val="0"/>
    </w:rPr>
  </w:style>
  <w:style w:type="character" w:customStyle="1" w:styleId="101">
    <w:name w:val="WW8Num17z3"/>
    <w:uiPriority w:val="0"/>
    <w:rPr>
      <w:w w:val="100"/>
      <w:position w:val="-1"/>
      <w:vertAlign w:val="baseline"/>
      <w:cs w:val="0"/>
    </w:rPr>
  </w:style>
  <w:style w:type="character" w:customStyle="1" w:styleId="102">
    <w:name w:val="WW8Num17z4"/>
    <w:uiPriority w:val="0"/>
    <w:rPr>
      <w:w w:val="100"/>
      <w:position w:val="-1"/>
      <w:vertAlign w:val="baseline"/>
      <w:cs w:val="0"/>
    </w:rPr>
  </w:style>
  <w:style w:type="character" w:customStyle="1" w:styleId="103">
    <w:name w:val="WW8Num17z5"/>
    <w:uiPriority w:val="0"/>
    <w:rPr>
      <w:w w:val="100"/>
      <w:position w:val="-1"/>
      <w:vertAlign w:val="baseline"/>
      <w:cs w:val="0"/>
    </w:rPr>
  </w:style>
  <w:style w:type="character" w:customStyle="1" w:styleId="104">
    <w:name w:val="WW8Num17z6"/>
    <w:uiPriority w:val="0"/>
    <w:rPr>
      <w:w w:val="100"/>
      <w:position w:val="-1"/>
      <w:vertAlign w:val="baseline"/>
      <w:cs w:val="0"/>
    </w:rPr>
  </w:style>
  <w:style w:type="character" w:customStyle="1" w:styleId="105">
    <w:name w:val="WW8Num17z7"/>
    <w:uiPriority w:val="0"/>
    <w:rPr>
      <w:w w:val="100"/>
      <w:position w:val="-1"/>
      <w:vertAlign w:val="baseline"/>
      <w:cs w:val="0"/>
    </w:rPr>
  </w:style>
  <w:style w:type="character" w:customStyle="1" w:styleId="106">
    <w:name w:val="WW8Num17z8"/>
    <w:uiPriority w:val="0"/>
    <w:rPr>
      <w:w w:val="100"/>
      <w:position w:val="-1"/>
      <w:vertAlign w:val="baseline"/>
      <w:cs w:val="0"/>
    </w:rPr>
  </w:style>
  <w:style w:type="character" w:customStyle="1" w:styleId="107">
    <w:name w:val="WW8Num18z0"/>
    <w:uiPriority w:val="0"/>
    <w:rPr>
      <w:w w:val="100"/>
      <w:position w:val="-1"/>
      <w:vertAlign w:val="baseline"/>
      <w:cs w:val="0"/>
    </w:rPr>
  </w:style>
  <w:style w:type="character" w:customStyle="1" w:styleId="108">
    <w:name w:val="WW8Num18z1"/>
    <w:uiPriority w:val="0"/>
    <w:rPr>
      <w:w w:val="100"/>
      <w:position w:val="-1"/>
      <w:vertAlign w:val="baseline"/>
      <w:cs w:val="0"/>
    </w:rPr>
  </w:style>
  <w:style w:type="character" w:customStyle="1" w:styleId="109">
    <w:name w:val="WW8Num18z2"/>
    <w:uiPriority w:val="0"/>
    <w:rPr>
      <w:w w:val="100"/>
      <w:position w:val="-1"/>
      <w:vertAlign w:val="baseline"/>
      <w:cs w:val="0"/>
    </w:rPr>
  </w:style>
  <w:style w:type="character" w:customStyle="1" w:styleId="110">
    <w:name w:val="WW8Num18z3"/>
    <w:uiPriority w:val="0"/>
    <w:rPr>
      <w:w w:val="100"/>
      <w:position w:val="-1"/>
      <w:vertAlign w:val="baseline"/>
      <w:cs w:val="0"/>
    </w:rPr>
  </w:style>
  <w:style w:type="character" w:customStyle="1" w:styleId="111">
    <w:name w:val="WW8Num18z4"/>
    <w:uiPriority w:val="0"/>
    <w:rPr>
      <w:w w:val="100"/>
      <w:position w:val="-1"/>
      <w:vertAlign w:val="baseline"/>
      <w:cs w:val="0"/>
    </w:rPr>
  </w:style>
  <w:style w:type="character" w:customStyle="1" w:styleId="112">
    <w:name w:val="WW8Num18z5"/>
    <w:uiPriority w:val="0"/>
    <w:rPr>
      <w:w w:val="100"/>
      <w:position w:val="-1"/>
      <w:vertAlign w:val="baseline"/>
      <w:cs w:val="0"/>
    </w:rPr>
  </w:style>
  <w:style w:type="character" w:customStyle="1" w:styleId="113">
    <w:name w:val="WW8Num18z6"/>
    <w:uiPriority w:val="0"/>
    <w:rPr>
      <w:w w:val="100"/>
      <w:position w:val="-1"/>
      <w:vertAlign w:val="baseline"/>
      <w:cs w:val="0"/>
    </w:rPr>
  </w:style>
  <w:style w:type="character" w:customStyle="1" w:styleId="114">
    <w:name w:val="WW8Num18z7"/>
    <w:uiPriority w:val="0"/>
    <w:rPr>
      <w:w w:val="100"/>
      <w:position w:val="-1"/>
      <w:vertAlign w:val="baseline"/>
      <w:cs w:val="0"/>
    </w:rPr>
  </w:style>
  <w:style w:type="character" w:customStyle="1" w:styleId="115">
    <w:name w:val="WW8Num18z8"/>
    <w:uiPriority w:val="0"/>
    <w:rPr>
      <w:w w:val="100"/>
      <w:position w:val="-1"/>
      <w:vertAlign w:val="baseline"/>
      <w:cs w:val="0"/>
    </w:rPr>
  </w:style>
  <w:style w:type="character" w:customStyle="1" w:styleId="116">
    <w:name w:val="WW8Num19z0"/>
    <w:uiPriority w:val="0"/>
    <w:rPr>
      <w:w w:val="100"/>
      <w:position w:val="-1"/>
      <w:sz w:val="24"/>
      <w:szCs w:val="24"/>
      <w:vertAlign w:val="baseline"/>
      <w:cs w:val="0"/>
      <w:lang w:val="pt-PT" w:eastAsia="pt-PT" w:bidi="pt-PT"/>
    </w:rPr>
  </w:style>
  <w:style w:type="character" w:customStyle="1" w:styleId="117">
    <w:name w:val="WW8Num19z1"/>
    <w:uiPriority w:val="0"/>
    <w:rPr>
      <w:rFonts w:hint="default" w:ascii="Symbol" w:hAnsi="Symbol" w:cs="Symbol"/>
      <w:w w:val="100"/>
      <w:position w:val="-1"/>
      <w:vertAlign w:val="baseline"/>
      <w:cs w:val="0"/>
    </w:rPr>
  </w:style>
  <w:style w:type="character" w:customStyle="1" w:styleId="118">
    <w:name w:val="WW8Num20z0"/>
    <w:uiPriority w:val="0"/>
    <w:rPr>
      <w:rFonts w:hint="default" w:ascii="Symbol" w:hAnsi="Symbol" w:cs="Symbol"/>
      <w:w w:val="100"/>
      <w:position w:val="-1"/>
      <w:vertAlign w:val="baseline"/>
      <w:cs w:val="0"/>
    </w:rPr>
  </w:style>
  <w:style w:type="character" w:customStyle="1" w:styleId="119">
    <w:name w:val="WW8Num21z0"/>
    <w:uiPriority w:val="0"/>
    <w:rPr>
      <w:rFonts w:hint="default" w:ascii="Times New Roman" w:hAnsi="Times New Roman" w:cs="Times New Roman"/>
      <w:w w:val="100"/>
      <w:position w:val="-1"/>
      <w:vertAlign w:val="baseline"/>
      <w:cs w:val="0"/>
    </w:rPr>
  </w:style>
  <w:style w:type="character" w:customStyle="1" w:styleId="120">
    <w:name w:val="WW8Num21z1"/>
    <w:uiPriority w:val="0"/>
    <w:rPr>
      <w:rFonts w:hint="default" w:ascii="Symbol" w:hAnsi="Symbol" w:cs="Symbol"/>
      <w:w w:val="100"/>
      <w:position w:val="-1"/>
      <w:vertAlign w:val="baseline"/>
      <w:cs w:val="0"/>
    </w:rPr>
  </w:style>
  <w:style w:type="character" w:customStyle="1" w:styleId="121">
    <w:name w:val="WW8Num22z0"/>
    <w:uiPriority w:val="0"/>
    <w:rPr>
      <w:spacing w:val="-10"/>
      <w:w w:val="99"/>
      <w:position w:val="-1"/>
      <w:sz w:val="24"/>
      <w:szCs w:val="24"/>
      <w:vertAlign w:val="baseline"/>
      <w:cs w:val="0"/>
      <w:lang w:val="pt-PT" w:eastAsia="pt-PT" w:bidi="pt-PT"/>
    </w:rPr>
  </w:style>
  <w:style w:type="character" w:customStyle="1" w:styleId="122">
    <w:name w:val="WW8Num22z1"/>
    <w:uiPriority w:val="0"/>
    <w:rPr>
      <w:w w:val="100"/>
      <w:position w:val="-1"/>
      <w:sz w:val="24"/>
      <w:szCs w:val="24"/>
      <w:vertAlign w:val="baseline"/>
      <w:cs w:val="0"/>
      <w:lang w:val="pt-PT" w:eastAsia="pt-PT" w:bidi="pt-PT"/>
    </w:rPr>
  </w:style>
  <w:style w:type="character" w:customStyle="1" w:styleId="123">
    <w:name w:val="WW8Num22z2"/>
    <w:uiPriority w:val="0"/>
    <w:rPr>
      <w:rFonts w:hint="default" w:ascii="Symbol" w:hAnsi="Symbol" w:cs="Symbol"/>
      <w:w w:val="100"/>
      <w:position w:val="-1"/>
      <w:vertAlign w:val="baseline"/>
      <w:cs w:val="0"/>
    </w:rPr>
  </w:style>
  <w:style w:type="character" w:customStyle="1" w:styleId="124">
    <w:name w:val="WW8Num23z0"/>
    <w:uiPriority w:val="0"/>
    <w:rPr>
      <w:w w:val="100"/>
      <w:position w:val="-1"/>
      <w:vertAlign w:val="baseline"/>
      <w:cs w:val="0"/>
    </w:rPr>
  </w:style>
  <w:style w:type="character" w:customStyle="1" w:styleId="125">
    <w:name w:val="WW8Num23z1"/>
    <w:uiPriority w:val="0"/>
    <w:rPr>
      <w:w w:val="100"/>
      <w:position w:val="-1"/>
      <w:vertAlign w:val="baseline"/>
      <w:cs w:val="0"/>
    </w:rPr>
  </w:style>
  <w:style w:type="character" w:customStyle="1" w:styleId="126">
    <w:name w:val="WW8Num23z2"/>
    <w:uiPriority w:val="0"/>
    <w:rPr>
      <w:w w:val="100"/>
      <w:position w:val="-1"/>
      <w:vertAlign w:val="baseline"/>
      <w:cs w:val="0"/>
    </w:rPr>
  </w:style>
  <w:style w:type="character" w:customStyle="1" w:styleId="127">
    <w:name w:val="WW8Num23z3"/>
    <w:uiPriority w:val="0"/>
    <w:rPr>
      <w:w w:val="100"/>
      <w:position w:val="-1"/>
      <w:vertAlign w:val="baseline"/>
      <w:cs w:val="0"/>
    </w:rPr>
  </w:style>
  <w:style w:type="character" w:customStyle="1" w:styleId="128">
    <w:name w:val="WW8Num23z4"/>
    <w:uiPriority w:val="0"/>
    <w:rPr>
      <w:w w:val="100"/>
      <w:position w:val="-1"/>
      <w:vertAlign w:val="baseline"/>
      <w:cs w:val="0"/>
    </w:rPr>
  </w:style>
  <w:style w:type="character" w:customStyle="1" w:styleId="129">
    <w:name w:val="WW8Num23z5"/>
    <w:uiPriority w:val="0"/>
    <w:rPr>
      <w:w w:val="100"/>
      <w:position w:val="-1"/>
      <w:vertAlign w:val="baseline"/>
      <w:cs w:val="0"/>
    </w:rPr>
  </w:style>
  <w:style w:type="character" w:customStyle="1" w:styleId="130">
    <w:name w:val="WW8Num23z6"/>
    <w:uiPriority w:val="0"/>
    <w:rPr>
      <w:w w:val="100"/>
      <w:position w:val="-1"/>
      <w:vertAlign w:val="baseline"/>
      <w:cs w:val="0"/>
    </w:rPr>
  </w:style>
  <w:style w:type="character" w:customStyle="1" w:styleId="131">
    <w:name w:val="WW8Num23z7"/>
    <w:uiPriority w:val="0"/>
    <w:rPr>
      <w:w w:val="100"/>
      <w:position w:val="-1"/>
      <w:vertAlign w:val="baseline"/>
      <w:cs w:val="0"/>
    </w:rPr>
  </w:style>
  <w:style w:type="character" w:customStyle="1" w:styleId="132">
    <w:name w:val="WW8Num23z8"/>
    <w:uiPriority w:val="0"/>
    <w:rPr>
      <w:w w:val="100"/>
      <w:position w:val="-1"/>
      <w:vertAlign w:val="baseline"/>
      <w:cs w:val="0"/>
    </w:rPr>
  </w:style>
  <w:style w:type="character" w:customStyle="1" w:styleId="133">
    <w:name w:val="WW8Num24z0"/>
    <w:uiPriority w:val="0"/>
    <w:rPr>
      <w:spacing w:val="-10"/>
      <w:w w:val="99"/>
      <w:position w:val="-1"/>
      <w:sz w:val="24"/>
      <w:szCs w:val="24"/>
      <w:vertAlign w:val="baseline"/>
      <w:cs w:val="0"/>
      <w:lang w:val="pt-PT" w:eastAsia="pt-PT" w:bidi="pt-PT"/>
    </w:rPr>
  </w:style>
  <w:style w:type="character" w:customStyle="1" w:styleId="134">
    <w:name w:val="WW8Num24z1"/>
    <w:uiPriority w:val="0"/>
    <w:rPr>
      <w:rFonts w:hint="default" w:ascii="Symbol" w:hAnsi="Symbol" w:cs="Symbol"/>
      <w:w w:val="100"/>
      <w:position w:val="-1"/>
      <w:vertAlign w:val="baseline"/>
      <w:cs w:val="0"/>
    </w:rPr>
  </w:style>
  <w:style w:type="character" w:customStyle="1" w:styleId="135">
    <w:name w:val="WW8Num25z0"/>
    <w:uiPriority w:val="0"/>
    <w:rPr>
      <w:rFonts w:hint="default" w:ascii="Times New Roman" w:hAnsi="Times New Roman" w:cs="Times New Roman"/>
      <w:w w:val="100"/>
      <w:position w:val="-1"/>
      <w:vertAlign w:val="baseline"/>
      <w:cs w:val="0"/>
    </w:rPr>
  </w:style>
  <w:style w:type="character" w:customStyle="1" w:styleId="136">
    <w:name w:val="WW8Num25z1"/>
    <w:uiPriority w:val="0"/>
    <w:rPr>
      <w:rFonts w:hint="default" w:ascii="Symbol" w:hAnsi="Symbol" w:cs="Symbol"/>
      <w:w w:val="100"/>
      <w:position w:val="-1"/>
      <w:vertAlign w:val="baseline"/>
      <w:cs w:val="0"/>
    </w:rPr>
  </w:style>
  <w:style w:type="character" w:customStyle="1" w:styleId="137">
    <w:name w:val="WW8Num26z0"/>
    <w:uiPriority w:val="0"/>
    <w:rPr>
      <w:color w:val="000000"/>
      <w:w w:val="100"/>
      <w:position w:val="-1"/>
      <w:vertAlign w:val="baseline"/>
      <w:cs w:val="0"/>
    </w:rPr>
  </w:style>
  <w:style w:type="character" w:customStyle="1" w:styleId="138">
    <w:name w:val="WW8Num26z1"/>
    <w:uiPriority w:val="0"/>
    <w:rPr>
      <w:w w:val="100"/>
      <w:position w:val="-1"/>
      <w:vertAlign w:val="baseline"/>
      <w:cs w:val="0"/>
    </w:rPr>
  </w:style>
  <w:style w:type="character" w:customStyle="1" w:styleId="139">
    <w:name w:val="WW8Num26z2"/>
    <w:uiPriority w:val="0"/>
    <w:rPr>
      <w:w w:val="100"/>
      <w:position w:val="-1"/>
      <w:vertAlign w:val="baseline"/>
      <w:cs w:val="0"/>
    </w:rPr>
  </w:style>
  <w:style w:type="character" w:customStyle="1" w:styleId="140">
    <w:name w:val="WW8Num26z3"/>
    <w:uiPriority w:val="0"/>
    <w:rPr>
      <w:w w:val="100"/>
      <w:position w:val="-1"/>
      <w:vertAlign w:val="baseline"/>
      <w:cs w:val="0"/>
    </w:rPr>
  </w:style>
  <w:style w:type="character" w:customStyle="1" w:styleId="141">
    <w:name w:val="WW8Num26z4"/>
    <w:uiPriority w:val="0"/>
    <w:rPr>
      <w:w w:val="100"/>
      <w:position w:val="-1"/>
      <w:vertAlign w:val="baseline"/>
      <w:cs w:val="0"/>
    </w:rPr>
  </w:style>
  <w:style w:type="character" w:customStyle="1" w:styleId="142">
    <w:name w:val="WW8Num26z5"/>
    <w:uiPriority w:val="0"/>
    <w:rPr>
      <w:w w:val="100"/>
      <w:position w:val="-1"/>
      <w:vertAlign w:val="baseline"/>
      <w:cs w:val="0"/>
    </w:rPr>
  </w:style>
  <w:style w:type="character" w:customStyle="1" w:styleId="143">
    <w:name w:val="WW8Num26z6"/>
    <w:uiPriority w:val="0"/>
    <w:rPr>
      <w:w w:val="100"/>
      <w:position w:val="-1"/>
      <w:vertAlign w:val="baseline"/>
      <w:cs w:val="0"/>
    </w:rPr>
  </w:style>
  <w:style w:type="character" w:customStyle="1" w:styleId="144">
    <w:name w:val="WW8Num26z7"/>
    <w:uiPriority w:val="0"/>
    <w:rPr>
      <w:w w:val="100"/>
      <w:position w:val="-1"/>
      <w:vertAlign w:val="baseline"/>
      <w:cs w:val="0"/>
    </w:rPr>
  </w:style>
  <w:style w:type="character" w:customStyle="1" w:styleId="145">
    <w:name w:val="WW8Num26z8"/>
    <w:uiPriority w:val="0"/>
    <w:rPr>
      <w:w w:val="100"/>
      <w:position w:val="-1"/>
      <w:vertAlign w:val="baseline"/>
      <w:cs w:val="0"/>
    </w:rPr>
  </w:style>
  <w:style w:type="character" w:customStyle="1" w:styleId="146">
    <w:name w:val="WW8Num27z0"/>
    <w:uiPriority w:val="0"/>
    <w:rPr>
      <w:w w:val="100"/>
      <w:position w:val="-1"/>
      <w:vertAlign w:val="baseline"/>
      <w:cs w:val="0"/>
    </w:rPr>
  </w:style>
  <w:style w:type="character" w:customStyle="1" w:styleId="147">
    <w:name w:val="WW8Num27z1"/>
    <w:uiPriority w:val="0"/>
    <w:rPr>
      <w:w w:val="100"/>
      <w:position w:val="-1"/>
      <w:vertAlign w:val="baseline"/>
      <w:cs w:val="0"/>
    </w:rPr>
  </w:style>
  <w:style w:type="character" w:customStyle="1" w:styleId="148">
    <w:name w:val="WW8Num27z2"/>
    <w:uiPriority w:val="0"/>
    <w:rPr>
      <w:w w:val="100"/>
      <w:position w:val="-1"/>
      <w:vertAlign w:val="baseline"/>
      <w:cs w:val="0"/>
    </w:rPr>
  </w:style>
  <w:style w:type="character" w:customStyle="1" w:styleId="149">
    <w:name w:val="WW8Num27z3"/>
    <w:uiPriority w:val="0"/>
    <w:rPr>
      <w:w w:val="100"/>
      <w:position w:val="-1"/>
      <w:vertAlign w:val="baseline"/>
      <w:cs w:val="0"/>
    </w:rPr>
  </w:style>
  <w:style w:type="character" w:customStyle="1" w:styleId="150">
    <w:name w:val="WW8Num27z4"/>
    <w:uiPriority w:val="0"/>
    <w:rPr>
      <w:w w:val="100"/>
      <w:position w:val="-1"/>
      <w:vertAlign w:val="baseline"/>
      <w:cs w:val="0"/>
    </w:rPr>
  </w:style>
  <w:style w:type="character" w:customStyle="1" w:styleId="151">
    <w:name w:val="WW8Num27z5"/>
    <w:uiPriority w:val="0"/>
    <w:rPr>
      <w:w w:val="100"/>
      <w:position w:val="-1"/>
      <w:vertAlign w:val="baseline"/>
      <w:cs w:val="0"/>
    </w:rPr>
  </w:style>
  <w:style w:type="character" w:customStyle="1" w:styleId="152">
    <w:name w:val="WW8Num27z6"/>
    <w:uiPriority w:val="0"/>
    <w:rPr>
      <w:w w:val="100"/>
      <w:position w:val="-1"/>
      <w:vertAlign w:val="baseline"/>
      <w:cs w:val="0"/>
    </w:rPr>
  </w:style>
  <w:style w:type="character" w:customStyle="1" w:styleId="153">
    <w:name w:val="WW8Num27z7"/>
    <w:uiPriority w:val="0"/>
    <w:rPr>
      <w:w w:val="100"/>
      <w:position w:val="-1"/>
      <w:vertAlign w:val="baseline"/>
      <w:cs w:val="0"/>
    </w:rPr>
  </w:style>
  <w:style w:type="character" w:customStyle="1" w:styleId="154">
    <w:name w:val="WW8Num27z8"/>
    <w:uiPriority w:val="0"/>
    <w:rPr>
      <w:w w:val="100"/>
      <w:position w:val="-1"/>
      <w:vertAlign w:val="baseline"/>
      <w:cs w:val="0"/>
    </w:rPr>
  </w:style>
  <w:style w:type="character" w:customStyle="1" w:styleId="155">
    <w:name w:val="WW8Num28z0"/>
    <w:uiPriority w:val="0"/>
    <w:rPr>
      <w:rFonts w:hint="default" w:ascii="Symbol" w:hAnsi="Symbol" w:cs="Symbol"/>
      <w:w w:val="100"/>
      <w:position w:val="-1"/>
      <w:vertAlign w:val="baseline"/>
      <w:cs w:val="0"/>
    </w:rPr>
  </w:style>
  <w:style w:type="character" w:customStyle="1" w:styleId="156">
    <w:name w:val="WW8Num29z0"/>
    <w:uiPriority w:val="0"/>
    <w:rPr>
      <w:w w:val="100"/>
      <w:position w:val="-1"/>
      <w:vertAlign w:val="baseline"/>
      <w:cs w:val="0"/>
      <w:lang w:val="pt-PT" w:eastAsia="pt-PT" w:bidi="pt-PT"/>
    </w:rPr>
  </w:style>
  <w:style w:type="character" w:customStyle="1" w:styleId="157">
    <w:name w:val="WW8Num29z1"/>
    <w:uiPriority w:val="0"/>
    <w:rPr>
      <w:w w:val="100"/>
      <w:position w:val="-1"/>
      <w:sz w:val="24"/>
      <w:szCs w:val="24"/>
      <w:vertAlign w:val="baseline"/>
      <w:cs w:val="0"/>
      <w:lang w:val="pt-PT" w:eastAsia="pt-PT" w:bidi="pt-PT"/>
    </w:rPr>
  </w:style>
  <w:style w:type="character" w:customStyle="1" w:styleId="158">
    <w:name w:val="WW8Num29z2"/>
    <w:uiPriority w:val="0"/>
    <w:rPr>
      <w:rFonts w:hint="default" w:ascii="Symbol" w:hAnsi="Symbol" w:cs="Symbol"/>
      <w:w w:val="100"/>
      <w:position w:val="-1"/>
      <w:vertAlign w:val="baseline"/>
      <w:cs w:val="0"/>
    </w:rPr>
  </w:style>
  <w:style w:type="character" w:customStyle="1" w:styleId="159">
    <w:name w:val="WW8Num30z0"/>
    <w:uiPriority w:val="0"/>
    <w:rPr>
      <w:rFonts w:hint="default" w:ascii="Symbol" w:hAnsi="Symbol" w:cs="Symbol"/>
      <w:w w:val="100"/>
      <w:position w:val="-1"/>
      <w:vertAlign w:val="baseline"/>
      <w:cs w:val="0"/>
    </w:rPr>
  </w:style>
  <w:style w:type="character" w:customStyle="1" w:styleId="160">
    <w:name w:val="WW8Num31z0"/>
    <w:uiPriority w:val="0"/>
    <w:rPr>
      <w:spacing w:val="-10"/>
      <w:w w:val="99"/>
      <w:position w:val="-1"/>
      <w:sz w:val="24"/>
      <w:szCs w:val="24"/>
      <w:vertAlign w:val="baseline"/>
      <w:cs w:val="0"/>
      <w:lang w:val="pt-PT" w:eastAsia="pt-PT" w:bidi="pt-PT"/>
    </w:rPr>
  </w:style>
  <w:style w:type="character" w:customStyle="1" w:styleId="161">
    <w:name w:val="WW8Num31z1"/>
    <w:uiPriority w:val="0"/>
    <w:rPr>
      <w:rFonts w:hint="default" w:ascii="Symbol" w:hAnsi="Symbol" w:cs="Symbol"/>
      <w:w w:val="100"/>
      <w:position w:val="-1"/>
      <w:vertAlign w:val="baseline"/>
      <w:cs w:val="0"/>
    </w:rPr>
  </w:style>
  <w:style w:type="character" w:customStyle="1" w:styleId="162">
    <w:name w:val="WW8Num32z0"/>
    <w:uiPriority w:val="0"/>
    <w:rPr>
      <w:w w:val="99"/>
      <w:position w:val="-1"/>
      <w:sz w:val="24"/>
      <w:szCs w:val="24"/>
      <w:vertAlign w:val="baseline"/>
      <w:cs w:val="0"/>
      <w:lang w:val="pt-PT" w:eastAsia="pt-PT" w:bidi="pt-PT"/>
    </w:rPr>
  </w:style>
  <w:style w:type="character" w:customStyle="1" w:styleId="163">
    <w:name w:val="WW8Num32z1"/>
    <w:uiPriority w:val="0"/>
    <w:rPr>
      <w:rFonts w:hint="default" w:ascii="Symbol" w:hAnsi="Symbol" w:cs="Symbol"/>
      <w:w w:val="100"/>
      <w:position w:val="-1"/>
      <w:vertAlign w:val="baseline"/>
      <w:cs w:val="0"/>
    </w:rPr>
  </w:style>
  <w:style w:type="character" w:customStyle="1" w:styleId="164">
    <w:name w:val="WW8Num33z0"/>
    <w:uiPriority w:val="0"/>
    <w:rPr>
      <w:w w:val="100"/>
      <w:position w:val="-1"/>
      <w:vertAlign w:val="baseline"/>
      <w:cs w:val="0"/>
    </w:rPr>
  </w:style>
  <w:style w:type="character" w:customStyle="1" w:styleId="165">
    <w:name w:val="WW8Num33z1"/>
    <w:uiPriority w:val="0"/>
    <w:rPr>
      <w:w w:val="100"/>
      <w:position w:val="-1"/>
      <w:vertAlign w:val="baseline"/>
      <w:cs w:val="0"/>
    </w:rPr>
  </w:style>
  <w:style w:type="character" w:customStyle="1" w:styleId="166">
    <w:name w:val="WW8Num33z2"/>
    <w:uiPriority w:val="0"/>
    <w:rPr>
      <w:w w:val="100"/>
      <w:position w:val="-1"/>
      <w:vertAlign w:val="baseline"/>
      <w:cs w:val="0"/>
    </w:rPr>
  </w:style>
  <w:style w:type="character" w:customStyle="1" w:styleId="167">
    <w:name w:val="WW8Num33z3"/>
    <w:uiPriority w:val="0"/>
    <w:rPr>
      <w:w w:val="100"/>
      <w:position w:val="-1"/>
      <w:vertAlign w:val="baseline"/>
      <w:cs w:val="0"/>
    </w:rPr>
  </w:style>
  <w:style w:type="character" w:customStyle="1" w:styleId="168">
    <w:name w:val="WW8Num33z4"/>
    <w:uiPriority w:val="0"/>
    <w:rPr>
      <w:w w:val="100"/>
      <w:position w:val="-1"/>
      <w:vertAlign w:val="baseline"/>
      <w:cs w:val="0"/>
    </w:rPr>
  </w:style>
  <w:style w:type="character" w:customStyle="1" w:styleId="169">
    <w:name w:val="WW8Num33z5"/>
    <w:uiPriority w:val="0"/>
    <w:rPr>
      <w:w w:val="100"/>
      <w:position w:val="-1"/>
      <w:vertAlign w:val="baseline"/>
      <w:cs w:val="0"/>
    </w:rPr>
  </w:style>
  <w:style w:type="character" w:customStyle="1" w:styleId="170">
    <w:name w:val="WW8Num33z6"/>
    <w:uiPriority w:val="0"/>
    <w:rPr>
      <w:w w:val="100"/>
      <w:position w:val="-1"/>
      <w:vertAlign w:val="baseline"/>
      <w:cs w:val="0"/>
    </w:rPr>
  </w:style>
  <w:style w:type="character" w:customStyle="1" w:styleId="171">
    <w:name w:val="WW8Num33z7"/>
    <w:uiPriority w:val="0"/>
    <w:rPr>
      <w:w w:val="100"/>
      <w:position w:val="-1"/>
      <w:vertAlign w:val="baseline"/>
      <w:cs w:val="0"/>
    </w:rPr>
  </w:style>
  <w:style w:type="character" w:customStyle="1" w:styleId="172">
    <w:name w:val="WW8Num33z8"/>
    <w:uiPriority w:val="0"/>
    <w:rPr>
      <w:w w:val="100"/>
      <w:position w:val="-1"/>
      <w:vertAlign w:val="baseline"/>
      <w:cs w:val="0"/>
    </w:rPr>
  </w:style>
  <w:style w:type="character" w:customStyle="1" w:styleId="173">
    <w:name w:val="WW8Num34z0"/>
    <w:uiPriority w:val="0"/>
    <w:rPr>
      <w:rFonts w:hint="default" w:ascii="Times New Roman" w:hAnsi="Times New Roman" w:cs="Times New Roman"/>
      <w:w w:val="100"/>
      <w:position w:val="-1"/>
      <w:vertAlign w:val="baseline"/>
      <w:cs w:val="0"/>
    </w:rPr>
  </w:style>
  <w:style w:type="character" w:customStyle="1" w:styleId="174">
    <w:name w:val="WW8Num34z1"/>
    <w:uiPriority w:val="0"/>
    <w:rPr>
      <w:rFonts w:hint="default" w:ascii="Symbol" w:hAnsi="Symbol" w:cs="Symbol"/>
      <w:w w:val="100"/>
      <w:position w:val="-1"/>
      <w:vertAlign w:val="baseline"/>
      <w:cs w:val="0"/>
    </w:rPr>
  </w:style>
  <w:style w:type="character" w:customStyle="1" w:styleId="175">
    <w:name w:val="WW8Num35z0"/>
    <w:uiPriority w:val="0"/>
    <w:rPr>
      <w:w w:val="100"/>
      <w:position w:val="-1"/>
      <w:sz w:val="24"/>
      <w:szCs w:val="24"/>
      <w:vertAlign w:val="baseline"/>
      <w:cs w:val="0"/>
      <w:lang w:val="pt-PT" w:eastAsia="pt-PT" w:bidi="pt-PT"/>
    </w:rPr>
  </w:style>
  <w:style w:type="character" w:customStyle="1" w:styleId="176">
    <w:name w:val="WW8Num35z1"/>
    <w:uiPriority w:val="0"/>
    <w:rPr>
      <w:rFonts w:hint="default" w:ascii="Symbol" w:hAnsi="Symbol" w:cs="Symbol"/>
      <w:w w:val="100"/>
      <w:position w:val="-1"/>
      <w:vertAlign w:val="baseline"/>
      <w:cs w:val="0"/>
    </w:rPr>
  </w:style>
  <w:style w:type="character" w:customStyle="1" w:styleId="177">
    <w:name w:val="WW8Num36z0"/>
    <w:uiPriority w:val="0"/>
    <w:rPr>
      <w:w w:val="100"/>
      <w:position w:val="-1"/>
      <w:vertAlign w:val="baseline"/>
      <w:cs w:val="0"/>
    </w:rPr>
  </w:style>
  <w:style w:type="character" w:customStyle="1" w:styleId="178">
    <w:name w:val="WW8Num36z1"/>
    <w:uiPriority w:val="0"/>
    <w:rPr>
      <w:w w:val="100"/>
      <w:position w:val="-1"/>
      <w:vertAlign w:val="baseline"/>
      <w:cs w:val="0"/>
    </w:rPr>
  </w:style>
  <w:style w:type="character" w:customStyle="1" w:styleId="179">
    <w:name w:val="WW8Num36z2"/>
    <w:uiPriority w:val="0"/>
    <w:rPr>
      <w:w w:val="100"/>
      <w:position w:val="-1"/>
      <w:vertAlign w:val="baseline"/>
      <w:cs w:val="0"/>
    </w:rPr>
  </w:style>
  <w:style w:type="character" w:customStyle="1" w:styleId="180">
    <w:name w:val="WW8Num36z3"/>
    <w:uiPriority w:val="0"/>
    <w:rPr>
      <w:w w:val="100"/>
      <w:position w:val="-1"/>
      <w:vertAlign w:val="baseline"/>
      <w:cs w:val="0"/>
    </w:rPr>
  </w:style>
  <w:style w:type="character" w:customStyle="1" w:styleId="181">
    <w:name w:val="WW8Num36z4"/>
    <w:uiPriority w:val="0"/>
    <w:rPr>
      <w:w w:val="100"/>
      <w:position w:val="-1"/>
      <w:vertAlign w:val="baseline"/>
      <w:cs w:val="0"/>
    </w:rPr>
  </w:style>
  <w:style w:type="character" w:customStyle="1" w:styleId="182">
    <w:name w:val="WW8Num36z5"/>
    <w:uiPriority w:val="0"/>
    <w:rPr>
      <w:w w:val="100"/>
      <w:position w:val="-1"/>
      <w:vertAlign w:val="baseline"/>
      <w:cs w:val="0"/>
    </w:rPr>
  </w:style>
  <w:style w:type="character" w:customStyle="1" w:styleId="183">
    <w:name w:val="WW8Num36z6"/>
    <w:uiPriority w:val="0"/>
    <w:rPr>
      <w:w w:val="100"/>
      <w:position w:val="-1"/>
      <w:vertAlign w:val="baseline"/>
      <w:cs w:val="0"/>
    </w:rPr>
  </w:style>
  <w:style w:type="character" w:customStyle="1" w:styleId="184">
    <w:name w:val="WW8Num36z7"/>
    <w:uiPriority w:val="0"/>
    <w:rPr>
      <w:w w:val="100"/>
      <w:position w:val="-1"/>
      <w:vertAlign w:val="baseline"/>
      <w:cs w:val="0"/>
    </w:rPr>
  </w:style>
  <w:style w:type="character" w:customStyle="1" w:styleId="185">
    <w:name w:val="WW8Num36z8"/>
    <w:uiPriority w:val="0"/>
    <w:rPr>
      <w:w w:val="100"/>
      <w:position w:val="-1"/>
      <w:vertAlign w:val="baseline"/>
      <w:cs w:val="0"/>
    </w:rPr>
  </w:style>
  <w:style w:type="character" w:customStyle="1" w:styleId="186">
    <w:name w:val="WW8Num37z0"/>
    <w:uiPriority w:val="0"/>
    <w:rPr>
      <w:w w:val="100"/>
      <w:position w:val="-1"/>
      <w:sz w:val="24"/>
      <w:szCs w:val="24"/>
      <w:vertAlign w:val="baseline"/>
      <w:cs w:val="0"/>
      <w:lang w:val="pt-PT" w:eastAsia="pt-PT" w:bidi="pt-PT"/>
    </w:rPr>
  </w:style>
  <w:style w:type="character" w:customStyle="1" w:styleId="187">
    <w:name w:val="WW8Num37z1"/>
    <w:uiPriority w:val="0"/>
    <w:rPr>
      <w:rFonts w:hint="default" w:ascii="Symbol" w:hAnsi="Symbol" w:cs="Symbol"/>
      <w:w w:val="100"/>
      <w:position w:val="-1"/>
      <w:vertAlign w:val="baseline"/>
      <w:cs w:val="0"/>
    </w:rPr>
  </w:style>
  <w:style w:type="character" w:customStyle="1" w:styleId="188">
    <w:name w:val="WW8Num38z0"/>
    <w:uiPriority w:val="0"/>
    <w:rPr>
      <w:spacing w:val="-10"/>
      <w:w w:val="100"/>
      <w:position w:val="-1"/>
      <w:sz w:val="24"/>
      <w:szCs w:val="24"/>
      <w:vertAlign w:val="baseline"/>
      <w:cs w:val="0"/>
      <w:lang w:val="pt-PT" w:eastAsia="pt-PT" w:bidi="pt-PT"/>
    </w:rPr>
  </w:style>
  <w:style w:type="character" w:customStyle="1" w:styleId="189">
    <w:name w:val="WW8Num38z1"/>
    <w:uiPriority w:val="0"/>
    <w:rPr>
      <w:rFonts w:hint="default" w:ascii="Symbol" w:hAnsi="Symbol" w:cs="Symbol"/>
      <w:w w:val="100"/>
      <w:position w:val="-1"/>
      <w:vertAlign w:val="baseline"/>
      <w:cs w:val="0"/>
    </w:rPr>
  </w:style>
  <w:style w:type="character" w:customStyle="1" w:styleId="190">
    <w:name w:val="WW8Num39z0"/>
    <w:uiPriority w:val="0"/>
    <w:rPr>
      <w:spacing w:val="-20"/>
      <w:w w:val="99"/>
      <w:position w:val="-1"/>
      <w:sz w:val="24"/>
      <w:szCs w:val="24"/>
      <w:vertAlign w:val="baseline"/>
      <w:cs w:val="0"/>
      <w:lang w:val="pt-PT" w:eastAsia="pt-PT" w:bidi="pt-PT"/>
    </w:rPr>
  </w:style>
  <w:style w:type="character" w:customStyle="1" w:styleId="191">
    <w:name w:val="WW8Num39z1"/>
    <w:uiPriority w:val="0"/>
    <w:rPr>
      <w:rFonts w:hint="default" w:ascii="Symbol" w:hAnsi="Symbol" w:cs="Symbol"/>
      <w:w w:val="100"/>
      <w:position w:val="-1"/>
      <w:vertAlign w:val="baseline"/>
      <w:cs w:val="0"/>
    </w:rPr>
  </w:style>
  <w:style w:type="character" w:customStyle="1" w:styleId="192">
    <w:name w:val="WW8Num40z0"/>
    <w:uiPriority w:val="0"/>
    <w:rPr>
      <w:color w:val="auto"/>
      <w:w w:val="100"/>
      <w:position w:val="-1"/>
      <w:vertAlign w:val="baseline"/>
      <w:cs w:val="0"/>
    </w:rPr>
  </w:style>
  <w:style w:type="character" w:customStyle="1" w:styleId="193">
    <w:name w:val="WW8Num40z1"/>
    <w:uiPriority w:val="0"/>
    <w:rPr>
      <w:w w:val="100"/>
      <w:position w:val="-1"/>
      <w:vertAlign w:val="baseline"/>
      <w:cs w:val="0"/>
    </w:rPr>
  </w:style>
  <w:style w:type="character" w:customStyle="1" w:styleId="194">
    <w:name w:val="WW8Num40z2"/>
    <w:uiPriority w:val="0"/>
    <w:rPr>
      <w:w w:val="100"/>
      <w:position w:val="-1"/>
      <w:vertAlign w:val="baseline"/>
      <w:cs w:val="0"/>
    </w:rPr>
  </w:style>
  <w:style w:type="character" w:customStyle="1" w:styleId="195">
    <w:name w:val="WW8Num40z3"/>
    <w:uiPriority w:val="0"/>
    <w:rPr>
      <w:w w:val="100"/>
      <w:position w:val="-1"/>
      <w:vertAlign w:val="baseline"/>
      <w:cs w:val="0"/>
    </w:rPr>
  </w:style>
  <w:style w:type="character" w:customStyle="1" w:styleId="196">
    <w:name w:val="WW8Num40z4"/>
    <w:uiPriority w:val="0"/>
    <w:rPr>
      <w:w w:val="100"/>
      <w:position w:val="-1"/>
      <w:vertAlign w:val="baseline"/>
      <w:cs w:val="0"/>
    </w:rPr>
  </w:style>
  <w:style w:type="character" w:customStyle="1" w:styleId="197">
    <w:name w:val="WW8Num40z5"/>
    <w:uiPriority w:val="0"/>
    <w:rPr>
      <w:w w:val="100"/>
      <w:position w:val="-1"/>
      <w:vertAlign w:val="baseline"/>
      <w:cs w:val="0"/>
    </w:rPr>
  </w:style>
  <w:style w:type="character" w:customStyle="1" w:styleId="198">
    <w:name w:val="WW8Num40z6"/>
    <w:uiPriority w:val="0"/>
    <w:rPr>
      <w:w w:val="100"/>
      <w:position w:val="-1"/>
      <w:vertAlign w:val="baseline"/>
      <w:cs w:val="0"/>
    </w:rPr>
  </w:style>
  <w:style w:type="character" w:customStyle="1" w:styleId="199">
    <w:name w:val="WW8Num40z7"/>
    <w:uiPriority w:val="0"/>
    <w:rPr>
      <w:w w:val="100"/>
      <w:position w:val="-1"/>
      <w:vertAlign w:val="baseline"/>
      <w:cs w:val="0"/>
    </w:rPr>
  </w:style>
  <w:style w:type="character" w:customStyle="1" w:styleId="200">
    <w:name w:val="WW8Num40z8"/>
    <w:uiPriority w:val="0"/>
    <w:rPr>
      <w:w w:val="100"/>
      <w:position w:val="-1"/>
      <w:vertAlign w:val="baseline"/>
      <w:cs w:val="0"/>
    </w:rPr>
  </w:style>
  <w:style w:type="character" w:customStyle="1" w:styleId="201">
    <w:name w:val="WW8Num41z0"/>
    <w:uiPriority w:val="0"/>
    <w:rPr>
      <w:rFonts w:hint="default" w:ascii="Times New Roman" w:hAnsi="Times New Roman" w:cs="Times New Roman"/>
      <w:w w:val="100"/>
      <w:position w:val="-1"/>
      <w:vertAlign w:val="baseline"/>
      <w:cs w:val="0"/>
    </w:rPr>
  </w:style>
  <w:style w:type="character" w:customStyle="1" w:styleId="202">
    <w:name w:val="WW8Num41z1"/>
    <w:uiPriority w:val="0"/>
    <w:rPr>
      <w:rFonts w:hint="default" w:ascii="Symbol" w:hAnsi="Symbol" w:cs="Symbol"/>
      <w:w w:val="100"/>
      <w:position w:val="-1"/>
      <w:vertAlign w:val="baseline"/>
      <w:cs w:val="0"/>
    </w:rPr>
  </w:style>
  <w:style w:type="character" w:customStyle="1" w:styleId="203">
    <w:name w:val="WW8Num42z0"/>
    <w:uiPriority w:val="0"/>
    <w:rPr>
      <w:spacing w:val="0"/>
      <w:w w:val="99"/>
      <w:position w:val="-1"/>
      <w:sz w:val="24"/>
      <w:szCs w:val="24"/>
      <w:vertAlign w:val="baseline"/>
      <w:cs w:val="0"/>
      <w:lang w:val="pt-PT" w:eastAsia="pt-PT" w:bidi="pt-PT"/>
    </w:rPr>
  </w:style>
  <w:style w:type="character" w:customStyle="1" w:styleId="204">
    <w:name w:val="WW8Num42z1"/>
    <w:uiPriority w:val="0"/>
    <w:rPr>
      <w:rFonts w:hint="default" w:ascii="Symbol" w:hAnsi="Symbol" w:cs="Symbol"/>
      <w:w w:val="100"/>
      <w:position w:val="-1"/>
      <w:vertAlign w:val="baseline"/>
      <w:cs w:val="0"/>
    </w:rPr>
  </w:style>
  <w:style w:type="character" w:customStyle="1" w:styleId="205">
    <w:name w:val="WW8Num43z0"/>
    <w:uiPriority w:val="0"/>
    <w:rPr>
      <w:spacing w:val="-20"/>
      <w:w w:val="99"/>
      <w:position w:val="-1"/>
      <w:sz w:val="24"/>
      <w:szCs w:val="24"/>
      <w:vertAlign w:val="baseline"/>
      <w:cs w:val="0"/>
      <w:lang w:val="pt-PT" w:eastAsia="pt-PT" w:bidi="pt-PT"/>
    </w:rPr>
  </w:style>
  <w:style w:type="character" w:customStyle="1" w:styleId="206">
    <w:name w:val="WW8Num43z1"/>
    <w:uiPriority w:val="0"/>
    <w:rPr>
      <w:rFonts w:hint="default" w:ascii="Symbol" w:hAnsi="Symbol" w:cs="Symbol"/>
      <w:w w:val="100"/>
      <w:position w:val="-1"/>
      <w:vertAlign w:val="baseline"/>
      <w:cs w:val="0"/>
    </w:rPr>
  </w:style>
  <w:style w:type="character" w:customStyle="1" w:styleId="207">
    <w:name w:val="WW8Num44z0"/>
    <w:uiPriority w:val="0"/>
    <w:rPr>
      <w:spacing w:val="-10"/>
      <w:w w:val="99"/>
      <w:position w:val="-1"/>
      <w:sz w:val="24"/>
      <w:szCs w:val="24"/>
      <w:vertAlign w:val="baseline"/>
      <w:cs w:val="0"/>
      <w:lang w:val="pt-PT" w:eastAsia="pt-PT" w:bidi="pt-PT"/>
    </w:rPr>
  </w:style>
  <w:style w:type="character" w:customStyle="1" w:styleId="208">
    <w:name w:val="WW8Num44z1"/>
    <w:uiPriority w:val="0"/>
    <w:rPr>
      <w:rFonts w:hint="default" w:ascii="Symbol" w:hAnsi="Symbol" w:cs="Symbol"/>
      <w:w w:val="100"/>
      <w:position w:val="-1"/>
      <w:vertAlign w:val="baseline"/>
      <w:cs w:val="0"/>
    </w:rPr>
  </w:style>
  <w:style w:type="character" w:customStyle="1" w:styleId="209">
    <w:name w:val="WW8Num45z0"/>
    <w:uiPriority w:val="0"/>
    <w:rPr>
      <w:w w:val="100"/>
      <w:position w:val="-1"/>
      <w:sz w:val="24"/>
      <w:szCs w:val="24"/>
      <w:vertAlign w:val="baseline"/>
      <w:cs w:val="0"/>
      <w:lang w:val="pt-PT" w:eastAsia="pt-PT" w:bidi="pt-PT"/>
    </w:rPr>
  </w:style>
  <w:style w:type="character" w:customStyle="1" w:styleId="210">
    <w:name w:val="WW8Num45z1"/>
    <w:uiPriority w:val="0"/>
    <w:rPr>
      <w:rFonts w:hint="default" w:ascii="Symbol" w:hAnsi="Symbol" w:cs="Symbol"/>
      <w:w w:val="100"/>
      <w:position w:val="-1"/>
      <w:vertAlign w:val="baseline"/>
      <w:cs w:val="0"/>
    </w:rPr>
  </w:style>
  <w:style w:type="character" w:customStyle="1" w:styleId="211">
    <w:name w:val="WW8Num46z0"/>
    <w:uiPriority w:val="0"/>
    <w:rPr>
      <w:rFonts w:hint="default" w:ascii="Symbol" w:hAnsi="Symbol" w:cs="Symbol"/>
      <w:w w:val="100"/>
      <w:position w:val="-1"/>
      <w:vertAlign w:val="baseline"/>
      <w:cs w:val="0"/>
    </w:rPr>
  </w:style>
  <w:style w:type="character" w:customStyle="1" w:styleId="212">
    <w:name w:val="WW8Num46z1"/>
    <w:uiPriority w:val="0"/>
    <w:rPr>
      <w:rFonts w:hint="default" w:ascii="OpenSymbol" w:hAnsi="OpenSymbol" w:cs="OpenSymbol"/>
      <w:w w:val="100"/>
      <w:position w:val="-1"/>
      <w:vertAlign w:val="baseline"/>
      <w:cs w:val="0"/>
    </w:rPr>
  </w:style>
  <w:style w:type="character" w:customStyle="1" w:styleId="213">
    <w:name w:val="WW8Num47z0"/>
    <w:uiPriority w:val="0"/>
    <w:rPr>
      <w:w w:val="100"/>
      <w:position w:val="-1"/>
      <w:sz w:val="24"/>
      <w:szCs w:val="24"/>
      <w:vertAlign w:val="baseline"/>
      <w:cs w:val="0"/>
      <w:lang w:val="pt-PT" w:eastAsia="pt-PT" w:bidi="pt-PT"/>
    </w:rPr>
  </w:style>
  <w:style w:type="character" w:customStyle="1" w:styleId="214">
    <w:name w:val="WW8Num47z1"/>
    <w:uiPriority w:val="0"/>
    <w:rPr>
      <w:rFonts w:hint="default" w:ascii="Symbol" w:hAnsi="Symbol" w:cs="Symbol"/>
      <w:w w:val="100"/>
      <w:position w:val="-1"/>
      <w:vertAlign w:val="baseline"/>
      <w:cs w:val="0"/>
    </w:rPr>
  </w:style>
  <w:style w:type="character" w:customStyle="1" w:styleId="215">
    <w:name w:val="WW8Num48z0"/>
    <w:uiPriority w:val="0"/>
    <w:rPr>
      <w:rFonts w:hint="default" w:ascii="Symbol" w:hAnsi="Symbol" w:cs="Symbol"/>
      <w:w w:val="100"/>
      <w:position w:val="-1"/>
      <w:vertAlign w:val="baseline"/>
      <w:cs w:val="0"/>
    </w:rPr>
  </w:style>
  <w:style w:type="character" w:customStyle="1" w:styleId="216">
    <w:name w:val="WW8Num49z0"/>
    <w:uiPriority w:val="0"/>
    <w:rPr>
      <w:spacing w:val="0"/>
      <w:w w:val="99"/>
      <w:position w:val="-1"/>
      <w:sz w:val="24"/>
      <w:szCs w:val="24"/>
      <w:vertAlign w:val="baseline"/>
      <w:cs w:val="0"/>
      <w:lang w:val="pt-PT" w:eastAsia="pt-PT" w:bidi="pt-PT"/>
    </w:rPr>
  </w:style>
  <w:style w:type="character" w:customStyle="1" w:styleId="217">
    <w:name w:val="WW8Num49z1"/>
    <w:uiPriority w:val="0"/>
    <w:rPr>
      <w:w w:val="100"/>
      <w:position w:val="-1"/>
      <w:sz w:val="24"/>
      <w:szCs w:val="24"/>
      <w:vertAlign w:val="baseline"/>
      <w:cs w:val="0"/>
      <w:lang w:val="pt-PT" w:eastAsia="pt-PT" w:bidi="pt-PT"/>
    </w:rPr>
  </w:style>
  <w:style w:type="character" w:customStyle="1" w:styleId="218">
    <w:name w:val="WW8Num49z2"/>
    <w:uiPriority w:val="0"/>
    <w:rPr>
      <w:rFonts w:hint="default" w:ascii="Symbol" w:hAnsi="Symbol" w:cs="Symbol"/>
      <w:w w:val="100"/>
      <w:position w:val="-1"/>
      <w:vertAlign w:val="baseline"/>
      <w:cs w:val="0"/>
    </w:rPr>
  </w:style>
  <w:style w:type="character" w:customStyle="1" w:styleId="219">
    <w:name w:val="WW8Num50z0"/>
    <w:uiPriority w:val="0"/>
    <w:rPr>
      <w:spacing w:val="-20"/>
      <w:w w:val="99"/>
      <w:position w:val="-1"/>
      <w:sz w:val="24"/>
      <w:szCs w:val="24"/>
      <w:vertAlign w:val="baseline"/>
      <w:cs w:val="0"/>
      <w:lang w:val="pt-PT" w:eastAsia="pt-PT" w:bidi="pt-PT"/>
    </w:rPr>
  </w:style>
  <w:style w:type="character" w:customStyle="1" w:styleId="220">
    <w:name w:val="WW8Num50z1"/>
    <w:uiPriority w:val="0"/>
    <w:rPr>
      <w:rFonts w:hint="default" w:ascii="Symbol" w:hAnsi="Symbol" w:cs="Symbol"/>
      <w:w w:val="100"/>
      <w:position w:val="-1"/>
      <w:vertAlign w:val="baseline"/>
      <w:cs w:val="0"/>
    </w:rPr>
  </w:style>
  <w:style w:type="character" w:customStyle="1" w:styleId="221">
    <w:name w:val="WW8Num51z0"/>
    <w:uiPriority w:val="0"/>
    <w:rPr>
      <w:spacing w:val="-20"/>
      <w:w w:val="99"/>
      <w:position w:val="-1"/>
      <w:sz w:val="24"/>
      <w:szCs w:val="24"/>
      <w:vertAlign w:val="baseline"/>
      <w:cs w:val="0"/>
      <w:lang w:val="pt-PT" w:eastAsia="pt-PT" w:bidi="pt-PT"/>
    </w:rPr>
  </w:style>
  <w:style w:type="character" w:customStyle="1" w:styleId="222">
    <w:name w:val="WW8Num51z1"/>
    <w:uiPriority w:val="0"/>
    <w:rPr>
      <w:rFonts w:hint="default" w:ascii="Symbol" w:hAnsi="Symbol" w:cs="Symbol"/>
      <w:w w:val="100"/>
      <w:position w:val="-1"/>
      <w:vertAlign w:val="baseline"/>
      <w:cs w:val="0"/>
    </w:rPr>
  </w:style>
  <w:style w:type="character" w:customStyle="1" w:styleId="223">
    <w:name w:val="WW8Num52z0"/>
    <w:uiPriority w:val="0"/>
    <w:rPr>
      <w:w w:val="100"/>
      <w:position w:val="-1"/>
      <w:sz w:val="24"/>
      <w:szCs w:val="24"/>
      <w:vertAlign w:val="baseline"/>
      <w:cs w:val="0"/>
      <w:lang w:val="pt-PT" w:eastAsia="pt-PT" w:bidi="pt-PT"/>
    </w:rPr>
  </w:style>
  <w:style w:type="character" w:customStyle="1" w:styleId="224">
    <w:name w:val="WW8Num52z1"/>
    <w:uiPriority w:val="0"/>
    <w:rPr>
      <w:rFonts w:hint="default" w:ascii="Symbol" w:hAnsi="Symbol" w:cs="Symbol"/>
      <w:w w:val="100"/>
      <w:position w:val="-1"/>
      <w:vertAlign w:val="baseline"/>
      <w:cs w:val="0"/>
    </w:rPr>
  </w:style>
  <w:style w:type="character" w:customStyle="1" w:styleId="225">
    <w:name w:val="WW8Num53z0"/>
    <w:uiPriority w:val="0"/>
    <w:rPr>
      <w:rFonts w:hint="default" w:ascii="Symbol" w:hAnsi="Symbol" w:cs="Symbol"/>
      <w:w w:val="100"/>
      <w:position w:val="-1"/>
      <w:vertAlign w:val="baseline"/>
      <w:cs w:val="0"/>
    </w:rPr>
  </w:style>
  <w:style w:type="character" w:customStyle="1" w:styleId="226">
    <w:name w:val="WW8Num54z0"/>
    <w:uiPriority w:val="0"/>
    <w:rPr>
      <w:rFonts w:hint="default" w:ascii="Symbol" w:hAnsi="Symbol" w:cs="Symbol"/>
      <w:w w:val="100"/>
      <w:position w:val="-1"/>
      <w:vertAlign w:val="baseline"/>
      <w:cs w:val="0"/>
    </w:rPr>
  </w:style>
  <w:style w:type="character" w:customStyle="1" w:styleId="227">
    <w:name w:val="WW8Num55z0"/>
    <w:uiPriority w:val="0"/>
    <w:rPr>
      <w:spacing w:val="-20"/>
      <w:w w:val="99"/>
      <w:position w:val="-1"/>
      <w:sz w:val="24"/>
      <w:szCs w:val="24"/>
      <w:vertAlign w:val="baseline"/>
      <w:cs w:val="0"/>
      <w:lang w:val="pt-PT" w:eastAsia="pt-PT" w:bidi="pt-PT"/>
    </w:rPr>
  </w:style>
  <w:style w:type="character" w:customStyle="1" w:styleId="228">
    <w:name w:val="WW8Num55z1"/>
    <w:uiPriority w:val="0"/>
    <w:rPr>
      <w:rFonts w:hint="default" w:ascii="Symbol" w:hAnsi="Symbol" w:cs="Symbol"/>
      <w:w w:val="100"/>
      <w:position w:val="-1"/>
      <w:vertAlign w:val="baseline"/>
      <w:cs w:val="0"/>
    </w:rPr>
  </w:style>
  <w:style w:type="character" w:customStyle="1" w:styleId="229">
    <w:name w:val="WW8Num56z0"/>
    <w:uiPriority w:val="0"/>
    <w:rPr>
      <w:w w:val="100"/>
      <w:position w:val="-1"/>
      <w:sz w:val="24"/>
      <w:szCs w:val="24"/>
      <w:vertAlign w:val="baseline"/>
      <w:cs w:val="0"/>
      <w:lang w:val="pt-PT" w:eastAsia="pt-PT" w:bidi="pt-PT"/>
    </w:rPr>
  </w:style>
  <w:style w:type="character" w:customStyle="1" w:styleId="230">
    <w:name w:val="WW8Num56z1"/>
    <w:uiPriority w:val="0"/>
    <w:rPr>
      <w:rFonts w:hint="default" w:ascii="Symbol" w:hAnsi="Symbol" w:cs="Symbol"/>
      <w:w w:val="100"/>
      <w:position w:val="-1"/>
      <w:vertAlign w:val="baseline"/>
      <w:cs w:val="0"/>
    </w:rPr>
  </w:style>
  <w:style w:type="character" w:customStyle="1" w:styleId="231">
    <w:name w:val="WW8Num57z0"/>
    <w:uiPriority w:val="0"/>
    <w:rPr>
      <w:rFonts w:hint="default" w:ascii="Symbol" w:hAnsi="Symbol" w:cs="Symbol"/>
      <w:w w:val="100"/>
      <w:position w:val="-1"/>
      <w:vertAlign w:val="baseline"/>
      <w:cs w:val="0"/>
    </w:rPr>
  </w:style>
  <w:style w:type="character" w:customStyle="1" w:styleId="232">
    <w:name w:val="WW8Num58z0"/>
    <w:uiPriority w:val="0"/>
    <w:rPr>
      <w:w w:val="99"/>
      <w:position w:val="-1"/>
      <w:sz w:val="24"/>
      <w:szCs w:val="24"/>
      <w:vertAlign w:val="baseline"/>
      <w:cs w:val="0"/>
      <w:lang w:val="pt-PT" w:eastAsia="pt-PT" w:bidi="pt-PT"/>
    </w:rPr>
  </w:style>
  <w:style w:type="character" w:customStyle="1" w:styleId="233">
    <w:name w:val="WW8Num58z1"/>
    <w:uiPriority w:val="0"/>
    <w:rPr>
      <w:rFonts w:hint="default" w:ascii="Symbol" w:hAnsi="Symbol" w:cs="Symbol"/>
      <w:w w:val="100"/>
      <w:position w:val="-1"/>
      <w:vertAlign w:val="baseline"/>
      <w:cs w:val="0"/>
    </w:rPr>
  </w:style>
  <w:style w:type="character" w:customStyle="1" w:styleId="234">
    <w:name w:val="WW8Num59z0"/>
    <w:uiPriority w:val="0"/>
    <w:rPr>
      <w:rFonts w:hint="default" w:ascii="Times New Roman" w:hAnsi="Times New Roman" w:cs="Times New Roman"/>
      <w:w w:val="100"/>
      <w:position w:val="-1"/>
      <w:vertAlign w:val="baseline"/>
      <w:cs w:val="0"/>
    </w:rPr>
  </w:style>
  <w:style w:type="character" w:customStyle="1" w:styleId="235">
    <w:name w:val="WW8Num59z1"/>
    <w:uiPriority w:val="0"/>
    <w:rPr>
      <w:rFonts w:hint="default" w:ascii="Symbol" w:hAnsi="Symbol" w:cs="Symbol"/>
      <w:w w:val="100"/>
      <w:position w:val="-1"/>
      <w:vertAlign w:val="baseline"/>
      <w:cs w:val="0"/>
    </w:rPr>
  </w:style>
  <w:style w:type="character" w:customStyle="1" w:styleId="236">
    <w:name w:val="WW8Num60z0"/>
    <w:uiPriority w:val="0"/>
    <w:rPr>
      <w:w w:val="100"/>
      <w:position w:val="-1"/>
      <w:sz w:val="24"/>
      <w:szCs w:val="24"/>
      <w:vertAlign w:val="baseline"/>
      <w:cs w:val="0"/>
      <w:lang w:val="pt-PT" w:eastAsia="pt-PT" w:bidi="pt-PT"/>
    </w:rPr>
  </w:style>
  <w:style w:type="character" w:customStyle="1" w:styleId="237">
    <w:name w:val="WW8Num60z1"/>
    <w:uiPriority w:val="0"/>
    <w:rPr>
      <w:rFonts w:hint="default" w:ascii="Symbol" w:hAnsi="Symbol" w:cs="Symbol"/>
      <w:w w:val="100"/>
      <w:position w:val="-1"/>
      <w:vertAlign w:val="baseline"/>
      <w:cs w:val="0"/>
    </w:rPr>
  </w:style>
  <w:style w:type="character" w:customStyle="1" w:styleId="238">
    <w:name w:val="WW8Num61z0"/>
    <w:uiPriority w:val="0"/>
    <w:rPr>
      <w:w w:val="100"/>
      <w:position w:val="-1"/>
      <w:sz w:val="24"/>
      <w:szCs w:val="24"/>
      <w:vertAlign w:val="baseline"/>
      <w:cs w:val="0"/>
      <w:lang w:val="pt-PT" w:eastAsia="pt-PT" w:bidi="pt-PT"/>
    </w:rPr>
  </w:style>
  <w:style w:type="character" w:customStyle="1" w:styleId="239">
    <w:name w:val="WW8Num61z1"/>
    <w:uiPriority w:val="0"/>
    <w:rPr>
      <w:rFonts w:hint="default" w:ascii="Symbol" w:hAnsi="Symbol" w:cs="Symbol"/>
      <w:w w:val="100"/>
      <w:position w:val="-1"/>
      <w:vertAlign w:val="baseline"/>
      <w:cs w:val="0"/>
    </w:rPr>
  </w:style>
  <w:style w:type="character" w:customStyle="1" w:styleId="240">
    <w:name w:val="WW8Num62z0"/>
    <w:uiPriority w:val="0"/>
    <w:rPr>
      <w:spacing w:val="0"/>
      <w:w w:val="99"/>
      <w:position w:val="-1"/>
      <w:sz w:val="24"/>
      <w:szCs w:val="24"/>
      <w:vertAlign w:val="baseline"/>
      <w:cs w:val="0"/>
      <w:lang w:val="pt-PT" w:eastAsia="pt-PT" w:bidi="pt-PT"/>
    </w:rPr>
  </w:style>
  <w:style w:type="character" w:customStyle="1" w:styleId="241">
    <w:name w:val="WW8Num62z1"/>
    <w:uiPriority w:val="0"/>
    <w:rPr>
      <w:w w:val="100"/>
      <w:position w:val="-1"/>
      <w:sz w:val="24"/>
      <w:szCs w:val="24"/>
      <w:vertAlign w:val="baseline"/>
      <w:cs w:val="0"/>
      <w:lang w:val="pt-PT" w:eastAsia="pt-PT" w:bidi="pt-PT"/>
    </w:rPr>
  </w:style>
  <w:style w:type="character" w:customStyle="1" w:styleId="242">
    <w:name w:val="WW8Num62z2"/>
    <w:uiPriority w:val="0"/>
    <w:rPr>
      <w:rFonts w:hint="default" w:ascii="Symbol" w:hAnsi="Symbol" w:cs="Symbol"/>
      <w:w w:val="100"/>
      <w:position w:val="-1"/>
      <w:vertAlign w:val="baseline"/>
      <w:cs w:val="0"/>
    </w:rPr>
  </w:style>
  <w:style w:type="character" w:customStyle="1" w:styleId="243">
    <w:name w:val="WW8Num63z0"/>
    <w:uiPriority w:val="0"/>
    <w:rPr>
      <w:rFonts w:hint="default" w:ascii="Times New Roman" w:hAnsi="Times New Roman" w:cs="Times New Roman"/>
      <w:w w:val="100"/>
      <w:position w:val="-1"/>
      <w:vertAlign w:val="baseline"/>
      <w:cs w:val="0"/>
    </w:rPr>
  </w:style>
  <w:style w:type="character" w:customStyle="1" w:styleId="244">
    <w:name w:val="WW8Num63z1"/>
    <w:uiPriority w:val="0"/>
    <w:rPr>
      <w:rFonts w:hint="default" w:ascii="Symbol" w:hAnsi="Symbol" w:cs="Symbol"/>
      <w:w w:val="100"/>
      <w:position w:val="-1"/>
      <w:vertAlign w:val="baseline"/>
      <w:cs w:val="0"/>
    </w:rPr>
  </w:style>
  <w:style w:type="character" w:customStyle="1" w:styleId="245">
    <w:name w:val="WW8Num64z0"/>
    <w:uiPriority w:val="0"/>
    <w:rPr>
      <w:w w:val="100"/>
      <w:position w:val="-1"/>
      <w:vertAlign w:val="baseline"/>
      <w:cs w:val="0"/>
    </w:rPr>
  </w:style>
  <w:style w:type="character" w:customStyle="1" w:styleId="246">
    <w:name w:val="WW8Num64z1"/>
    <w:uiPriority w:val="0"/>
    <w:rPr>
      <w:rFonts w:hint="default" w:ascii="Courier New" w:hAnsi="Courier New" w:cs="Courier New"/>
      <w:w w:val="100"/>
      <w:position w:val="-1"/>
      <w:vertAlign w:val="baseline"/>
      <w:cs w:val="0"/>
    </w:rPr>
  </w:style>
  <w:style w:type="character" w:customStyle="1" w:styleId="247">
    <w:name w:val="WW8Num64z2"/>
    <w:uiPriority w:val="0"/>
    <w:rPr>
      <w:rFonts w:hint="default" w:ascii="Wingdings" w:hAnsi="Wingdings" w:cs="Wingdings"/>
      <w:w w:val="100"/>
      <w:position w:val="-1"/>
      <w:vertAlign w:val="baseline"/>
      <w:cs w:val="0"/>
    </w:rPr>
  </w:style>
  <w:style w:type="character" w:customStyle="1" w:styleId="248">
    <w:name w:val="WW8Num64z3"/>
    <w:uiPriority w:val="0"/>
    <w:rPr>
      <w:rFonts w:hint="default" w:ascii="Symbol" w:hAnsi="Symbol" w:cs="Symbol"/>
      <w:w w:val="100"/>
      <w:position w:val="-1"/>
      <w:vertAlign w:val="baseline"/>
      <w:cs w:val="0"/>
    </w:rPr>
  </w:style>
  <w:style w:type="character" w:customStyle="1" w:styleId="249">
    <w:name w:val="WW8Num65z0"/>
    <w:uiPriority w:val="0"/>
    <w:rPr>
      <w:spacing w:val="-10"/>
      <w:w w:val="99"/>
      <w:position w:val="-1"/>
      <w:sz w:val="24"/>
      <w:szCs w:val="24"/>
      <w:vertAlign w:val="baseline"/>
      <w:cs w:val="0"/>
      <w:lang w:val="pt-PT" w:eastAsia="pt-PT" w:bidi="pt-PT"/>
    </w:rPr>
  </w:style>
  <w:style w:type="character" w:customStyle="1" w:styleId="250">
    <w:name w:val="WW8Num65z1"/>
    <w:uiPriority w:val="0"/>
    <w:rPr>
      <w:rFonts w:hint="default" w:ascii="Symbol" w:hAnsi="Symbol" w:cs="Symbol"/>
      <w:w w:val="100"/>
      <w:position w:val="-1"/>
      <w:vertAlign w:val="baseline"/>
      <w:cs w:val="0"/>
    </w:rPr>
  </w:style>
  <w:style w:type="character" w:customStyle="1" w:styleId="251">
    <w:name w:val="WW8Num66z0"/>
    <w:uiPriority w:val="0"/>
    <w:rPr>
      <w:w w:val="100"/>
      <w:position w:val="-1"/>
      <w:sz w:val="24"/>
      <w:szCs w:val="24"/>
      <w:vertAlign w:val="baseline"/>
      <w:cs w:val="0"/>
      <w:lang w:val="pt-PT" w:eastAsia="pt-PT" w:bidi="pt-PT"/>
    </w:rPr>
  </w:style>
  <w:style w:type="character" w:customStyle="1" w:styleId="252">
    <w:name w:val="WW8Num66z1"/>
    <w:uiPriority w:val="0"/>
    <w:rPr>
      <w:rFonts w:hint="default" w:ascii="Symbol" w:hAnsi="Symbol" w:cs="Symbol"/>
      <w:w w:val="100"/>
      <w:position w:val="-1"/>
      <w:vertAlign w:val="baseline"/>
      <w:cs w:val="0"/>
    </w:rPr>
  </w:style>
  <w:style w:type="character" w:customStyle="1" w:styleId="253">
    <w:name w:val="WW8Num67z0"/>
    <w:uiPriority w:val="0"/>
    <w:rPr>
      <w:w w:val="100"/>
      <w:position w:val="-1"/>
      <w:sz w:val="24"/>
      <w:szCs w:val="24"/>
      <w:vertAlign w:val="baseline"/>
      <w:cs w:val="0"/>
      <w:lang w:val="pt-PT" w:eastAsia="pt-PT" w:bidi="pt-PT"/>
    </w:rPr>
  </w:style>
  <w:style w:type="character" w:customStyle="1" w:styleId="254">
    <w:name w:val="WW8Num67z1"/>
    <w:uiPriority w:val="0"/>
    <w:rPr>
      <w:rFonts w:hint="default" w:ascii="Symbol" w:hAnsi="Symbol" w:cs="Symbol"/>
      <w:w w:val="100"/>
      <w:position w:val="-1"/>
      <w:vertAlign w:val="baseline"/>
      <w:cs w:val="0"/>
    </w:rPr>
  </w:style>
  <w:style w:type="character" w:customStyle="1" w:styleId="255">
    <w:name w:val="WW8Num68z0"/>
    <w:uiPriority w:val="0"/>
    <w:rPr>
      <w:rFonts w:hint="default" w:ascii="Times New Roman" w:hAnsi="Times New Roman" w:cs="Times New Roman"/>
      <w:w w:val="100"/>
      <w:position w:val="-1"/>
      <w:vertAlign w:val="baseline"/>
      <w:cs w:val="0"/>
    </w:rPr>
  </w:style>
  <w:style w:type="character" w:customStyle="1" w:styleId="256">
    <w:name w:val="WW8Num68z1"/>
    <w:uiPriority w:val="0"/>
    <w:rPr>
      <w:rFonts w:hint="default" w:ascii="Symbol" w:hAnsi="Symbol" w:cs="Symbol"/>
      <w:w w:val="100"/>
      <w:position w:val="-1"/>
      <w:vertAlign w:val="baseline"/>
      <w:cs w:val="0"/>
    </w:rPr>
  </w:style>
  <w:style w:type="character" w:customStyle="1" w:styleId="257">
    <w:name w:val="WW8Num69z0"/>
    <w:uiPriority w:val="0"/>
    <w:rPr>
      <w:rFonts w:hint="default" w:ascii="Symbol" w:hAnsi="Symbol" w:cs="Symbol"/>
      <w:w w:val="100"/>
      <w:position w:val="-1"/>
      <w:vertAlign w:val="baseline"/>
      <w:cs w:val="0"/>
    </w:rPr>
  </w:style>
  <w:style w:type="character" w:customStyle="1" w:styleId="258">
    <w:name w:val="WW8Num70z0"/>
    <w:uiPriority w:val="0"/>
    <w:rPr>
      <w:w w:val="100"/>
      <w:position w:val="-1"/>
      <w:sz w:val="24"/>
      <w:szCs w:val="24"/>
      <w:vertAlign w:val="baseline"/>
      <w:cs w:val="0"/>
      <w:lang w:val="pt-PT" w:eastAsia="pt-PT" w:bidi="pt-PT"/>
    </w:rPr>
  </w:style>
  <w:style w:type="character" w:customStyle="1" w:styleId="259">
    <w:name w:val="WW8Num70z1"/>
    <w:uiPriority w:val="0"/>
    <w:rPr>
      <w:rFonts w:hint="default" w:ascii="Symbol" w:hAnsi="Symbol" w:cs="Symbol"/>
      <w:w w:val="100"/>
      <w:position w:val="-1"/>
      <w:vertAlign w:val="baseline"/>
      <w:cs w:val="0"/>
    </w:rPr>
  </w:style>
  <w:style w:type="character" w:customStyle="1" w:styleId="260">
    <w:name w:val="WW8Num71z0"/>
    <w:uiPriority w:val="0"/>
    <w:rPr>
      <w:b/>
      <w:bCs/>
      <w:w w:val="100"/>
      <w:position w:val="-1"/>
      <w:sz w:val="22"/>
      <w:szCs w:val="22"/>
      <w:vertAlign w:val="baseline"/>
      <w:cs w:val="0"/>
      <w:lang w:val="pt-PT" w:eastAsia="pt-PT" w:bidi="pt-PT"/>
    </w:rPr>
  </w:style>
  <w:style w:type="character" w:customStyle="1" w:styleId="261">
    <w:name w:val="WW8Num71z1"/>
    <w:uiPriority w:val="0"/>
    <w:rPr>
      <w:rFonts w:hint="default" w:ascii="Symbol" w:hAnsi="Symbol" w:cs="Symbol"/>
      <w:w w:val="100"/>
      <w:position w:val="-1"/>
      <w:vertAlign w:val="baseline"/>
      <w:cs w:val="0"/>
    </w:rPr>
  </w:style>
  <w:style w:type="character" w:customStyle="1" w:styleId="262">
    <w:name w:val="WW8Num72z0"/>
    <w:uiPriority w:val="0"/>
    <w:rPr>
      <w:rFonts w:hint="default" w:ascii="Symbol" w:hAnsi="Symbol" w:cs="Symbol"/>
      <w:w w:val="100"/>
      <w:position w:val="-1"/>
      <w:vertAlign w:val="baseline"/>
      <w:cs w:val="0"/>
    </w:rPr>
  </w:style>
  <w:style w:type="character" w:customStyle="1" w:styleId="263">
    <w:name w:val="WW8Num73z0"/>
    <w:uiPriority w:val="0"/>
    <w:rPr>
      <w:rFonts w:hint="default" w:ascii="Symbol" w:hAnsi="Symbol" w:cs="Symbol"/>
      <w:w w:val="100"/>
      <w:position w:val="-1"/>
      <w:vertAlign w:val="baseline"/>
      <w:cs w:val="0"/>
    </w:rPr>
  </w:style>
  <w:style w:type="character" w:customStyle="1" w:styleId="264">
    <w:name w:val="WW8Num74z0"/>
    <w:uiPriority w:val="0"/>
    <w:rPr>
      <w:w w:val="100"/>
      <w:position w:val="-1"/>
      <w:sz w:val="24"/>
      <w:szCs w:val="24"/>
      <w:vertAlign w:val="baseline"/>
      <w:cs w:val="0"/>
      <w:lang w:val="pt-PT" w:eastAsia="pt-PT" w:bidi="pt-PT"/>
    </w:rPr>
  </w:style>
  <w:style w:type="character" w:customStyle="1" w:styleId="265">
    <w:name w:val="WW8Num74z1"/>
    <w:uiPriority w:val="0"/>
    <w:rPr>
      <w:rFonts w:hint="default" w:ascii="Symbol" w:hAnsi="Symbol" w:cs="Symbol"/>
      <w:w w:val="100"/>
      <w:position w:val="-1"/>
      <w:vertAlign w:val="baseline"/>
      <w:cs w:val="0"/>
    </w:rPr>
  </w:style>
  <w:style w:type="character" w:customStyle="1" w:styleId="266">
    <w:name w:val="WW8Num75z0"/>
    <w:uiPriority w:val="0"/>
    <w:rPr>
      <w:w w:val="100"/>
      <w:position w:val="-1"/>
      <w:sz w:val="24"/>
      <w:szCs w:val="24"/>
      <w:vertAlign w:val="baseline"/>
      <w:cs w:val="0"/>
      <w:lang w:val="pt-PT" w:eastAsia="pt-PT" w:bidi="pt-PT"/>
    </w:rPr>
  </w:style>
  <w:style w:type="character" w:customStyle="1" w:styleId="267">
    <w:name w:val="WW8Num75z1"/>
    <w:uiPriority w:val="0"/>
    <w:rPr>
      <w:rFonts w:hint="default" w:ascii="Symbol" w:hAnsi="Symbol" w:cs="Symbol"/>
      <w:w w:val="100"/>
      <w:position w:val="-1"/>
      <w:vertAlign w:val="baseline"/>
      <w:cs w:val="0"/>
    </w:rPr>
  </w:style>
  <w:style w:type="character" w:customStyle="1" w:styleId="268">
    <w:name w:val="WW8Num76z0"/>
    <w:uiPriority w:val="0"/>
    <w:rPr>
      <w:spacing w:val="-10"/>
      <w:w w:val="99"/>
      <w:position w:val="-1"/>
      <w:sz w:val="24"/>
      <w:szCs w:val="24"/>
      <w:vertAlign w:val="baseline"/>
      <w:cs w:val="0"/>
      <w:lang w:val="pt-PT" w:eastAsia="pt-PT" w:bidi="pt-PT"/>
    </w:rPr>
  </w:style>
  <w:style w:type="character" w:customStyle="1" w:styleId="269">
    <w:name w:val="WW8Num76z1"/>
    <w:uiPriority w:val="0"/>
    <w:rPr>
      <w:rFonts w:hint="default" w:ascii="Symbol" w:hAnsi="Symbol" w:cs="Symbol"/>
      <w:w w:val="100"/>
      <w:position w:val="-1"/>
      <w:vertAlign w:val="baseline"/>
      <w:cs w:val="0"/>
    </w:rPr>
  </w:style>
  <w:style w:type="character" w:customStyle="1" w:styleId="270">
    <w:name w:val="WW8Num77z0"/>
    <w:uiPriority w:val="0"/>
    <w:rPr>
      <w:spacing w:val="-10"/>
      <w:w w:val="99"/>
      <w:position w:val="-1"/>
      <w:sz w:val="24"/>
      <w:szCs w:val="24"/>
      <w:vertAlign w:val="baseline"/>
      <w:cs w:val="0"/>
      <w:lang w:val="pt-PT" w:eastAsia="pt-PT" w:bidi="pt-PT"/>
    </w:rPr>
  </w:style>
  <w:style w:type="character" w:customStyle="1" w:styleId="271">
    <w:name w:val="WW8Num77z1"/>
    <w:uiPriority w:val="0"/>
    <w:rPr>
      <w:rFonts w:hint="default" w:ascii="Symbol" w:hAnsi="Symbol" w:cs="Symbol"/>
      <w:w w:val="100"/>
      <w:position w:val="-1"/>
      <w:vertAlign w:val="baseline"/>
      <w:cs w:val="0"/>
    </w:rPr>
  </w:style>
  <w:style w:type="character" w:customStyle="1" w:styleId="272">
    <w:name w:val="WW8Num78z0"/>
    <w:uiPriority w:val="0"/>
    <w:rPr>
      <w:w w:val="100"/>
      <w:position w:val="-1"/>
      <w:sz w:val="24"/>
      <w:szCs w:val="24"/>
      <w:vertAlign w:val="baseline"/>
      <w:cs w:val="0"/>
      <w:lang w:val="pt-PT" w:eastAsia="pt-PT" w:bidi="pt-PT"/>
    </w:rPr>
  </w:style>
  <w:style w:type="character" w:customStyle="1" w:styleId="273">
    <w:name w:val="WW8Num78z1"/>
    <w:uiPriority w:val="0"/>
    <w:rPr>
      <w:rFonts w:hint="default" w:ascii="Symbol" w:hAnsi="Symbol" w:cs="Symbol"/>
      <w:w w:val="100"/>
      <w:position w:val="-1"/>
      <w:vertAlign w:val="baseline"/>
      <w:cs w:val="0"/>
    </w:rPr>
  </w:style>
  <w:style w:type="character" w:customStyle="1" w:styleId="274">
    <w:name w:val="WW8Num79z0"/>
    <w:uiPriority w:val="0"/>
    <w:rPr>
      <w:spacing w:val="-24"/>
      <w:w w:val="99"/>
      <w:position w:val="-1"/>
      <w:sz w:val="24"/>
      <w:szCs w:val="24"/>
      <w:vertAlign w:val="baseline"/>
      <w:cs w:val="0"/>
      <w:lang w:val="pt-PT" w:eastAsia="pt-PT" w:bidi="pt-PT"/>
    </w:rPr>
  </w:style>
  <w:style w:type="character" w:customStyle="1" w:styleId="275">
    <w:name w:val="WW8Num79z1"/>
    <w:uiPriority w:val="0"/>
    <w:rPr>
      <w:w w:val="100"/>
      <w:position w:val="-1"/>
      <w:sz w:val="24"/>
      <w:szCs w:val="24"/>
      <w:vertAlign w:val="baseline"/>
      <w:cs w:val="0"/>
      <w:lang w:val="pt-PT" w:eastAsia="pt-PT" w:bidi="pt-PT"/>
    </w:rPr>
  </w:style>
  <w:style w:type="character" w:customStyle="1" w:styleId="276">
    <w:name w:val="WW8Num79z2"/>
    <w:uiPriority w:val="0"/>
    <w:rPr>
      <w:rFonts w:hint="default" w:ascii="Symbol" w:hAnsi="Symbol" w:cs="Symbol"/>
      <w:w w:val="100"/>
      <w:position w:val="-1"/>
      <w:vertAlign w:val="baseline"/>
      <w:cs w:val="0"/>
    </w:rPr>
  </w:style>
  <w:style w:type="character" w:customStyle="1" w:styleId="277">
    <w:name w:val="WW8Num80z0"/>
    <w:uiPriority w:val="0"/>
    <w:rPr>
      <w:w w:val="100"/>
      <w:position w:val="-1"/>
      <w:vertAlign w:val="baseline"/>
      <w:cs w:val="0"/>
    </w:rPr>
  </w:style>
  <w:style w:type="character" w:customStyle="1" w:styleId="278">
    <w:name w:val="WW8Num80z1"/>
    <w:uiPriority w:val="0"/>
    <w:rPr>
      <w:w w:val="100"/>
      <w:position w:val="-1"/>
      <w:vertAlign w:val="baseline"/>
      <w:cs w:val="0"/>
    </w:rPr>
  </w:style>
  <w:style w:type="character" w:customStyle="1" w:styleId="279">
    <w:name w:val="WW8Num80z2"/>
    <w:uiPriority w:val="0"/>
    <w:rPr>
      <w:w w:val="100"/>
      <w:position w:val="-1"/>
      <w:vertAlign w:val="baseline"/>
      <w:cs w:val="0"/>
    </w:rPr>
  </w:style>
  <w:style w:type="character" w:customStyle="1" w:styleId="280">
    <w:name w:val="WW8Num80z3"/>
    <w:uiPriority w:val="0"/>
    <w:rPr>
      <w:w w:val="100"/>
      <w:position w:val="-1"/>
      <w:vertAlign w:val="baseline"/>
      <w:cs w:val="0"/>
    </w:rPr>
  </w:style>
  <w:style w:type="character" w:customStyle="1" w:styleId="281">
    <w:name w:val="WW8Num80z4"/>
    <w:uiPriority w:val="0"/>
    <w:rPr>
      <w:w w:val="100"/>
      <w:position w:val="-1"/>
      <w:vertAlign w:val="baseline"/>
      <w:cs w:val="0"/>
    </w:rPr>
  </w:style>
  <w:style w:type="character" w:customStyle="1" w:styleId="282">
    <w:name w:val="WW8Num80z5"/>
    <w:uiPriority w:val="0"/>
    <w:rPr>
      <w:w w:val="100"/>
      <w:position w:val="-1"/>
      <w:vertAlign w:val="baseline"/>
      <w:cs w:val="0"/>
    </w:rPr>
  </w:style>
  <w:style w:type="character" w:customStyle="1" w:styleId="283">
    <w:name w:val="WW8Num80z6"/>
    <w:uiPriority w:val="0"/>
    <w:rPr>
      <w:w w:val="100"/>
      <w:position w:val="-1"/>
      <w:vertAlign w:val="baseline"/>
      <w:cs w:val="0"/>
    </w:rPr>
  </w:style>
  <w:style w:type="character" w:customStyle="1" w:styleId="284">
    <w:name w:val="WW8Num80z7"/>
    <w:uiPriority w:val="0"/>
    <w:rPr>
      <w:w w:val="100"/>
      <w:position w:val="-1"/>
      <w:vertAlign w:val="baseline"/>
      <w:cs w:val="0"/>
    </w:rPr>
  </w:style>
  <w:style w:type="character" w:customStyle="1" w:styleId="285">
    <w:name w:val="WW8Num80z8"/>
    <w:uiPriority w:val="0"/>
    <w:rPr>
      <w:w w:val="100"/>
      <w:position w:val="-1"/>
      <w:vertAlign w:val="baseline"/>
      <w:cs w:val="0"/>
    </w:rPr>
  </w:style>
  <w:style w:type="character" w:customStyle="1" w:styleId="286">
    <w:name w:val="WW8Num81z0"/>
    <w:uiPriority w:val="0"/>
    <w:rPr>
      <w:spacing w:val="0"/>
      <w:w w:val="99"/>
      <w:position w:val="-1"/>
      <w:sz w:val="24"/>
      <w:szCs w:val="24"/>
      <w:vertAlign w:val="baseline"/>
      <w:cs w:val="0"/>
      <w:lang w:val="pt-PT" w:eastAsia="pt-PT" w:bidi="pt-PT"/>
    </w:rPr>
  </w:style>
  <w:style w:type="character" w:customStyle="1" w:styleId="287">
    <w:name w:val="WW8Num81z1"/>
    <w:uiPriority w:val="0"/>
    <w:rPr>
      <w:rFonts w:hint="default" w:ascii="Symbol" w:hAnsi="Symbol" w:cs="Symbol"/>
      <w:w w:val="100"/>
      <w:position w:val="-1"/>
      <w:vertAlign w:val="baseline"/>
      <w:cs w:val="0"/>
    </w:rPr>
  </w:style>
  <w:style w:type="character" w:customStyle="1" w:styleId="288">
    <w:name w:val="WW8Num82z0"/>
    <w:uiPriority w:val="0"/>
    <w:rPr>
      <w:w w:val="100"/>
      <w:position w:val="-1"/>
      <w:sz w:val="24"/>
      <w:szCs w:val="24"/>
      <w:vertAlign w:val="baseline"/>
      <w:cs w:val="0"/>
      <w:lang w:val="pt-PT" w:eastAsia="pt-PT" w:bidi="pt-PT"/>
    </w:rPr>
  </w:style>
  <w:style w:type="character" w:customStyle="1" w:styleId="289">
    <w:name w:val="WW8Num82z1"/>
    <w:uiPriority w:val="0"/>
    <w:rPr>
      <w:rFonts w:hint="default" w:ascii="Symbol" w:hAnsi="Symbol" w:cs="Symbol"/>
      <w:w w:val="100"/>
      <w:position w:val="-1"/>
      <w:vertAlign w:val="baseline"/>
      <w:cs w:val="0"/>
    </w:rPr>
  </w:style>
  <w:style w:type="character" w:customStyle="1" w:styleId="290">
    <w:name w:val="WW8Num83z0"/>
    <w:uiPriority w:val="0"/>
    <w:rPr>
      <w:spacing w:val="-20"/>
      <w:w w:val="99"/>
      <w:position w:val="-1"/>
      <w:sz w:val="24"/>
      <w:szCs w:val="24"/>
      <w:vertAlign w:val="baseline"/>
      <w:cs w:val="0"/>
      <w:lang w:val="pt-PT" w:eastAsia="pt-PT" w:bidi="pt-PT"/>
    </w:rPr>
  </w:style>
  <w:style w:type="character" w:customStyle="1" w:styleId="291">
    <w:name w:val="WW8Num83z1"/>
    <w:uiPriority w:val="0"/>
    <w:rPr>
      <w:rFonts w:hint="default" w:ascii="Symbol" w:hAnsi="Symbol" w:cs="Symbol"/>
      <w:w w:val="100"/>
      <w:position w:val="-1"/>
      <w:vertAlign w:val="baseline"/>
      <w:cs w:val="0"/>
    </w:rPr>
  </w:style>
  <w:style w:type="character" w:customStyle="1" w:styleId="292">
    <w:name w:val="WW8Num84z0"/>
    <w:uiPriority w:val="0"/>
    <w:rPr>
      <w:w w:val="100"/>
      <w:position w:val="-1"/>
      <w:sz w:val="24"/>
      <w:szCs w:val="24"/>
      <w:vertAlign w:val="baseline"/>
      <w:cs w:val="0"/>
      <w:lang w:val="pt-PT" w:eastAsia="pt-PT" w:bidi="pt-PT"/>
    </w:rPr>
  </w:style>
  <w:style w:type="character" w:customStyle="1" w:styleId="293">
    <w:name w:val="WW8Num84z1"/>
    <w:uiPriority w:val="0"/>
    <w:rPr>
      <w:rFonts w:hint="default" w:ascii="Symbol" w:hAnsi="Symbol" w:cs="Symbol"/>
      <w:w w:val="100"/>
      <w:position w:val="-1"/>
      <w:vertAlign w:val="baseline"/>
      <w:cs w:val="0"/>
    </w:rPr>
  </w:style>
  <w:style w:type="character" w:customStyle="1" w:styleId="294">
    <w:name w:val="WW8Num85z0"/>
    <w:uiPriority w:val="0"/>
    <w:rPr>
      <w:rFonts w:hint="default" w:ascii="Symbol" w:hAnsi="Symbol" w:cs="Symbol"/>
      <w:w w:val="100"/>
      <w:position w:val="-1"/>
      <w:vertAlign w:val="baseline"/>
      <w:cs w:val="0"/>
    </w:rPr>
  </w:style>
  <w:style w:type="character" w:customStyle="1" w:styleId="295">
    <w:name w:val="WW8Num86z0"/>
    <w:uiPriority w:val="0"/>
    <w:rPr>
      <w:w w:val="100"/>
      <w:position w:val="-1"/>
      <w:sz w:val="24"/>
      <w:szCs w:val="24"/>
      <w:vertAlign w:val="baseline"/>
      <w:cs w:val="0"/>
      <w:lang w:val="pt-PT" w:eastAsia="pt-PT" w:bidi="pt-PT"/>
    </w:rPr>
  </w:style>
  <w:style w:type="character" w:customStyle="1" w:styleId="296">
    <w:name w:val="WW8Num86z1"/>
    <w:uiPriority w:val="0"/>
    <w:rPr>
      <w:rFonts w:hint="default" w:ascii="Symbol" w:hAnsi="Symbol" w:cs="Symbol"/>
      <w:w w:val="100"/>
      <w:position w:val="-1"/>
      <w:vertAlign w:val="baseline"/>
      <w:cs w:val="0"/>
    </w:rPr>
  </w:style>
  <w:style w:type="character" w:customStyle="1" w:styleId="297">
    <w:name w:val="WW8Num87z0"/>
    <w:uiPriority w:val="0"/>
    <w:rPr>
      <w:spacing w:val="-20"/>
      <w:w w:val="99"/>
      <w:position w:val="-1"/>
      <w:sz w:val="24"/>
      <w:szCs w:val="24"/>
      <w:vertAlign w:val="baseline"/>
      <w:cs w:val="0"/>
      <w:lang w:val="pt-PT" w:eastAsia="pt-PT" w:bidi="pt-PT"/>
    </w:rPr>
  </w:style>
  <w:style w:type="character" w:customStyle="1" w:styleId="298">
    <w:name w:val="WW8Num87z1"/>
    <w:uiPriority w:val="0"/>
    <w:rPr>
      <w:rFonts w:hint="default" w:ascii="Symbol" w:hAnsi="Symbol" w:cs="Symbol"/>
      <w:w w:val="100"/>
      <w:position w:val="-1"/>
      <w:vertAlign w:val="baseline"/>
      <w:cs w:val="0"/>
    </w:rPr>
  </w:style>
  <w:style w:type="character" w:customStyle="1" w:styleId="299">
    <w:name w:val="WW8Num88z0"/>
    <w:uiPriority w:val="0"/>
    <w:rPr>
      <w:w w:val="100"/>
      <w:position w:val="-1"/>
      <w:sz w:val="24"/>
      <w:szCs w:val="24"/>
      <w:vertAlign w:val="baseline"/>
      <w:cs w:val="0"/>
      <w:lang w:val="pt-PT" w:eastAsia="pt-PT" w:bidi="pt-PT"/>
    </w:rPr>
  </w:style>
  <w:style w:type="character" w:customStyle="1" w:styleId="300">
    <w:name w:val="WW8Num88z1"/>
    <w:uiPriority w:val="0"/>
    <w:rPr>
      <w:rFonts w:hint="default" w:ascii="Symbol" w:hAnsi="Symbol" w:cs="Symbol"/>
      <w:w w:val="100"/>
      <w:position w:val="-1"/>
      <w:vertAlign w:val="baseline"/>
      <w:cs w:val="0"/>
    </w:rPr>
  </w:style>
  <w:style w:type="character" w:customStyle="1" w:styleId="301">
    <w:name w:val="WW8Num89z0"/>
    <w:uiPriority w:val="0"/>
    <w:rPr>
      <w:spacing w:val="-20"/>
      <w:w w:val="99"/>
      <w:position w:val="-1"/>
      <w:sz w:val="24"/>
      <w:szCs w:val="24"/>
      <w:vertAlign w:val="baseline"/>
      <w:cs w:val="0"/>
      <w:lang w:val="pt-PT" w:eastAsia="pt-PT" w:bidi="pt-PT"/>
    </w:rPr>
  </w:style>
  <w:style w:type="character" w:customStyle="1" w:styleId="302">
    <w:name w:val="WW8Num89z1"/>
    <w:uiPriority w:val="0"/>
    <w:rPr>
      <w:rFonts w:hint="default" w:ascii="Symbol" w:hAnsi="Symbol" w:cs="Symbol"/>
      <w:w w:val="100"/>
      <w:position w:val="-1"/>
      <w:vertAlign w:val="baseline"/>
      <w:cs w:val="0"/>
    </w:rPr>
  </w:style>
  <w:style w:type="character" w:customStyle="1" w:styleId="303">
    <w:name w:val="WW8Num90z0"/>
    <w:uiPriority w:val="0"/>
    <w:rPr>
      <w:w w:val="100"/>
      <w:position w:val="-1"/>
      <w:vertAlign w:val="baseline"/>
      <w:cs w:val="0"/>
    </w:rPr>
  </w:style>
  <w:style w:type="character" w:customStyle="1" w:styleId="304">
    <w:name w:val="WW8Num90z1"/>
    <w:uiPriority w:val="0"/>
    <w:rPr>
      <w:w w:val="100"/>
      <w:position w:val="-1"/>
      <w:vertAlign w:val="baseline"/>
      <w:cs w:val="0"/>
    </w:rPr>
  </w:style>
  <w:style w:type="character" w:customStyle="1" w:styleId="305">
    <w:name w:val="WW8Num90z2"/>
    <w:uiPriority w:val="0"/>
    <w:rPr>
      <w:w w:val="100"/>
      <w:position w:val="-1"/>
      <w:vertAlign w:val="baseline"/>
      <w:cs w:val="0"/>
    </w:rPr>
  </w:style>
  <w:style w:type="character" w:customStyle="1" w:styleId="306">
    <w:name w:val="WW8Num90z3"/>
    <w:uiPriority w:val="0"/>
    <w:rPr>
      <w:w w:val="100"/>
      <w:position w:val="-1"/>
      <w:vertAlign w:val="baseline"/>
      <w:cs w:val="0"/>
    </w:rPr>
  </w:style>
  <w:style w:type="character" w:customStyle="1" w:styleId="307">
    <w:name w:val="WW8Num90z4"/>
    <w:uiPriority w:val="0"/>
    <w:rPr>
      <w:w w:val="100"/>
      <w:position w:val="-1"/>
      <w:vertAlign w:val="baseline"/>
      <w:cs w:val="0"/>
    </w:rPr>
  </w:style>
  <w:style w:type="character" w:customStyle="1" w:styleId="308">
    <w:name w:val="WW8Num90z5"/>
    <w:uiPriority w:val="0"/>
    <w:rPr>
      <w:w w:val="100"/>
      <w:position w:val="-1"/>
      <w:vertAlign w:val="baseline"/>
      <w:cs w:val="0"/>
    </w:rPr>
  </w:style>
  <w:style w:type="character" w:customStyle="1" w:styleId="309">
    <w:name w:val="WW8Num90z6"/>
    <w:uiPriority w:val="0"/>
    <w:rPr>
      <w:w w:val="100"/>
      <w:position w:val="-1"/>
      <w:vertAlign w:val="baseline"/>
      <w:cs w:val="0"/>
    </w:rPr>
  </w:style>
  <w:style w:type="character" w:customStyle="1" w:styleId="310">
    <w:name w:val="WW8Num90z7"/>
    <w:uiPriority w:val="0"/>
    <w:rPr>
      <w:w w:val="100"/>
      <w:position w:val="-1"/>
      <w:vertAlign w:val="baseline"/>
      <w:cs w:val="0"/>
    </w:rPr>
  </w:style>
  <w:style w:type="character" w:customStyle="1" w:styleId="311">
    <w:name w:val="WW8Num90z8"/>
    <w:uiPriority w:val="0"/>
    <w:rPr>
      <w:w w:val="100"/>
      <w:position w:val="-1"/>
      <w:vertAlign w:val="baseline"/>
      <w:cs w:val="0"/>
    </w:rPr>
  </w:style>
  <w:style w:type="character" w:customStyle="1" w:styleId="312">
    <w:name w:val="WW8Num91z0"/>
    <w:uiPriority w:val="0"/>
    <w:rPr>
      <w:spacing w:val="-6"/>
      <w:w w:val="99"/>
      <w:position w:val="-1"/>
      <w:sz w:val="24"/>
      <w:szCs w:val="24"/>
      <w:vertAlign w:val="baseline"/>
      <w:cs w:val="0"/>
      <w:lang w:val="pt-PT" w:eastAsia="pt-PT" w:bidi="pt-PT"/>
    </w:rPr>
  </w:style>
  <w:style w:type="character" w:customStyle="1" w:styleId="313">
    <w:name w:val="WW8Num91z1"/>
    <w:uiPriority w:val="0"/>
    <w:rPr>
      <w:rFonts w:hint="default" w:ascii="Symbol" w:hAnsi="Symbol" w:cs="Symbol"/>
      <w:w w:val="100"/>
      <w:position w:val="-1"/>
      <w:vertAlign w:val="baseline"/>
      <w:cs w:val="0"/>
    </w:rPr>
  </w:style>
  <w:style w:type="character" w:customStyle="1" w:styleId="314">
    <w:name w:val="WW8Num92z0"/>
    <w:uiPriority w:val="0"/>
    <w:rPr>
      <w:w w:val="100"/>
      <w:position w:val="-1"/>
      <w:sz w:val="24"/>
      <w:szCs w:val="24"/>
      <w:vertAlign w:val="baseline"/>
      <w:cs w:val="0"/>
      <w:lang w:val="pt-PT" w:eastAsia="pt-PT" w:bidi="pt-PT"/>
    </w:rPr>
  </w:style>
  <w:style w:type="character" w:customStyle="1" w:styleId="315">
    <w:name w:val="WW8Num92z1"/>
    <w:uiPriority w:val="0"/>
    <w:rPr>
      <w:rFonts w:hint="default" w:ascii="Symbol" w:hAnsi="Symbol" w:cs="Symbol"/>
      <w:w w:val="100"/>
      <w:position w:val="-1"/>
      <w:vertAlign w:val="baseline"/>
      <w:cs w:val="0"/>
    </w:rPr>
  </w:style>
  <w:style w:type="character" w:customStyle="1" w:styleId="316">
    <w:name w:val="WW8Num93z0"/>
    <w:uiPriority w:val="0"/>
    <w:rPr>
      <w:spacing w:val="-6"/>
      <w:w w:val="99"/>
      <w:position w:val="-1"/>
      <w:sz w:val="24"/>
      <w:szCs w:val="24"/>
      <w:vertAlign w:val="baseline"/>
      <w:cs w:val="0"/>
      <w:lang w:val="pt-PT" w:eastAsia="pt-PT" w:bidi="pt-PT"/>
    </w:rPr>
  </w:style>
  <w:style w:type="character" w:customStyle="1" w:styleId="317">
    <w:name w:val="WW8Num93z1"/>
    <w:uiPriority w:val="0"/>
    <w:rPr>
      <w:rFonts w:hint="default" w:ascii="Symbol" w:hAnsi="Symbol" w:cs="Symbol"/>
      <w:w w:val="100"/>
      <w:position w:val="-1"/>
      <w:vertAlign w:val="baseline"/>
      <w:cs w:val="0"/>
    </w:rPr>
  </w:style>
  <w:style w:type="character" w:customStyle="1" w:styleId="318">
    <w:name w:val="WW8Num94z0"/>
    <w:uiPriority w:val="0"/>
    <w:rPr>
      <w:w w:val="100"/>
      <w:position w:val="-1"/>
      <w:sz w:val="24"/>
      <w:szCs w:val="24"/>
      <w:vertAlign w:val="baseline"/>
      <w:cs w:val="0"/>
      <w:lang w:val="pt-PT" w:eastAsia="pt-PT" w:bidi="pt-PT"/>
    </w:rPr>
  </w:style>
  <w:style w:type="character" w:customStyle="1" w:styleId="319">
    <w:name w:val="WW8Num94z2"/>
    <w:uiPriority w:val="0"/>
    <w:rPr>
      <w:rFonts w:hint="default" w:ascii="Symbol" w:hAnsi="Symbol" w:cs="Symbol"/>
      <w:w w:val="100"/>
      <w:position w:val="-1"/>
      <w:vertAlign w:val="baseline"/>
      <w:cs w:val="0"/>
    </w:rPr>
  </w:style>
  <w:style w:type="character" w:customStyle="1" w:styleId="320">
    <w:name w:val="WW8Num6z2"/>
    <w:uiPriority w:val="0"/>
    <w:rPr>
      <w:w w:val="100"/>
      <w:position w:val="-1"/>
      <w:vertAlign w:val="baseline"/>
      <w:cs w:val="0"/>
    </w:rPr>
  </w:style>
  <w:style w:type="character" w:customStyle="1" w:styleId="321">
    <w:name w:val="WW8Num6z3"/>
    <w:uiPriority w:val="0"/>
    <w:rPr>
      <w:w w:val="100"/>
      <w:position w:val="-1"/>
      <w:vertAlign w:val="baseline"/>
      <w:cs w:val="0"/>
    </w:rPr>
  </w:style>
  <w:style w:type="character" w:customStyle="1" w:styleId="322">
    <w:name w:val="WW8Num6z4"/>
    <w:uiPriority w:val="0"/>
    <w:rPr>
      <w:w w:val="100"/>
      <w:position w:val="-1"/>
      <w:vertAlign w:val="baseline"/>
      <w:cs w:val="0"/>
    </w:rPr>
  </w:style>
  <w:style w:type="character" w:customStyle="1" w:styleId="323">
    <w:name w:val="WW8Num6z5"/>
    <w:uiPriority w:val="0"/>
    <w:rPr>
      <w:w w:val="100"/>
      <w:position w:val="-1"/>
      <w:vertAlign w:val="baseline"/>
      <w:cs w:val="0"/>
    </w:rPr>
  </w:style>
  <w:style w:type="character" w:customStyle="1" w:styleId="324">
    <w:name w:val="WW8Num6z6"/>
    <w:uiPriority w:val="0"/>
    <w:rPr>
      <w:w w:val="100"/>
      <w:position w:val="-1"/>
      <w:vertAlign w:val="baseline"/>
      <w:cs w:val="0"/>
    </w:rPr>
  </w:style>
  <w:style w:type="character" w:customStyle="1" w:styleId="325">
    <w:name w:val="WW8Num6z7"/>
    <w:uiPriority w:val="0"/>
    <w:rPr>
      <w:w w:val="100"/>
      <w:position w:val="-1"/>
      <w:vertAlign w:val="baseline"/>
      <w:cs w:val="0"/>
    </w:rPr>
  </w:style>
  <w:style w:type="character" w:customStyle="1" w:styleId="326">
    <w:name w:val="WW8Num6z8"/>
    <w:uiPriority w:val="0"/>
    <w:rPr>
      <w:w w:val="100"/>
      <w:position w:val="-1"/>
      <w:vertAlign w:val="baseline"/>
      <w:cs w:val="0"/>
    </w:rPr>
  </w:style>
  <w:style w:type="character" w:customStyle="1" w:styleId="327">
    <w:name w:val="WW8Num9z2"/>
    <w:uiPriority w:val="0"/>
    <w:rPr>
      <w:w w:val="100"/>
      <w:position w:val="-1"/>
      <w:vertAlign w:val="baseline"/>
      <w:cs w:val="0"/>
    </w:rPr>
  </w:style>
  <w:style w:type="character" w:customStyle="1" w:styleId="328">
    <w:name w:val="WW8Num9z3"/>
    <w:uiPriority w:val="0"/>
    <w:rPr>
      <w:w w:val="100"/>
      <w:position w:val="-1"/>
      <w:vertAlign w:val="baseline"/>
      <w:cs w:val="0"/>
    </w:rPr>
  </w:style>
  <w:style w:type="character" w:customStyle="1" w:styleId="329">
    <w:name w:val="WW8Num9z4"/>
    <w:uiPriority w:val="0"/>
    <w:rPr>
      <w:w w:val="100"/>
      <w:position w:val="-1"/>
      <w:vertAlign w:val="baseline"/>
      <w:cs w:val="0"/>
    </w:rPr>
  </w:style>
  <w:style w:type="character" w:customStyle="1" w:styleId="330">
    <w:name w:val="WW8Num9z5"/>
    <w:uiPriority w:val="0"/>
    <w:rPr>
      <w:w w:val="100"/>
      <w:position w:val="-1"/>
      <w:vertAlign w:val="baseline"/>
      <w:cs w:val="0"/>
    </w:rPr>
  </w:style>
  <w:style w:type="character" w:customStyle="1" w:styleId="331">
    <w:name w:val="WW8Num9z6"/>
    <w:uiPriority w:val="0"/>
    <w:rPr>
      <w:w w:val="100"/>
      <w:position w:val="-1"/>
      <w:vertAlign w:val="baseline"/>
      <w:cs w:val="0"/>
    </w:rPr>
  </w:style>
  <w:style w:type="character" w:customStyle="1" w:styleId="332">
    <w:name w:val="WW8Num9z7"/>
    <w:uiPriority w:val="0"/>
    <w:rPr>
      <w:w w:val="100"/>
      <w:position w:val="-1"/>
      <w:vertAlign w:val="baseline"/>
      <w:cs w:val="0"/>
    </w:rPr>
  </w:style>
  <w:style w:type="character" w:customStyle="1" w:styleId="333">
    <w:name w:val="WW8Num9z8"/>
    <w:uiPriority w:val="0"/>
    <w:rPr>
      <w:w w:val="100"/>
      <w:position w:val="-1"/>
      <w:vertAlign w:val="baseline"/>
      <w:cs w:val="0"/>
    </w:rPr>
  </w:style>
  <w:style w:type="character" w:customStyle="1" w:styleId="334">
    <w:name w:val="WW8Num12z2"/>
    <w:uiPriority w:val="0"/>
    <w:rPr>
      <w:w w:val="100"/>
      <w:position w:val="-1"/>
      <w:vertAlign w:val="baseline"/>
      <w:cs w:val="0"/>
    </w:rPr>
  </w:style>
  <w:style w:type="character" w:customStyle="1" w:styleId="335">
    <w:name w:val="WW8Num12z3"/>
    <w:uiPriority w:val="0"/>
    <w:rPr>
      <w:w w:val="100"/>
      <w:position w:val="-1"/>
      <w:vertAlign w:val="baseline"/>
      <w:cs w:val="0"/>
    </w:rPr>
  </w:style>
  <w:style w:type="character" w:customStyle="1" w:styleId="336">
    <w:name w:val="WW8Num12z4"/>
    <w:uiPriority w:val="0"/>
    <w:rPr>
      <w:w w:val="100"/>
      <w:position w:val="-1"/>
      <w:vertAlign w:val="baseline"/>
      <w:cs w:val="0"/>
    </w:rPr>
  </w:style>
  <w:style w:type="character" w:customStyle="1" w:styleId="337">
    <w:name w:val="WW8Num12z5"/>
    <w:uiPriority w:val="0"/>
    <w:rPr>
      <w:w w:val="100"/>
      <w:position w:val="-1"/>
      <w:vertAlign w:val="baseline"/>
      <w:cs w:val="0"/>
    </w:rPr>
  </w:style>
  <w:style w:type="character" w:customStyle="1" w:styleId="338">
    <w:name w:val="WW8Num12z6"/>
    <w:qFormat/>
    <w:uiPriority w:val="0"/>
    <w:rPr>
      <w:w w:val="100"/>
      <w:position w:val="-1"/>
      <w:vertAlign w:val="baseline"/>
      <w:cs w:val="0"/>
    </w:rPr>
  </w:style>
  <w:style w:type="character" w:customStyle="1" w:styleId="339">
    <w:name w:val="WW8Num12z7"/>
    <w:uiPriority w:val="0"/>
    <w:rPr>
      <w:w w:val="100"/>
      <w:position w:val="-1"/>
      <w:vertAlign w:val="baseline"/>
      <w:cs w:val="0"/>
    </w:rPr>
  </w:style>
  <w:style w:type="character" w:customStyle="1" w:styleId="340">
    <w:name w:val="WW8Num12z8"/>
    <w:uiPriority w:val="0"/>
    <w:rPr>
      <w:w w:val="100"/>
      <w:position w:val="-1"/>
      <w:vertAlign w:val="baseline"/>
      <w:cs w:val="0"/>
    </w:rPr>
  </w:style>
  <w:style w:type="character" w:customStyle="1" w:styleId="341">
    <w:name w:val="WW8Num16z1"/>
    <w:uiPriority w:val="0"/>
    <w:rPr>
      <w:w w:val="100"/>
      <w:position w:val="-1"/>
      <w:vertAlign w:val="baseline"/>
      <w:cs w:val="0"/>
    </w:rPr>
  </w:style>
  <w:style w:type="character" w:customStyle="1" w:styleId="342">
    <w:name w:val="WW8Num16z2"/>
    <w:uiPriority w:val="0"/>
    <w:rPr>
      <w:w w:val="100"/>
      <w:position w:val="-1"/>
      <w:vertAlign w:val="baseline"/>
      <w:cs w:val="0"/>
    </w:rPr>
  </w:style>
  <w:style w:type="character" w:customStyle="1" w:styleId="343">
    <w:name w:val="WW8Num16z3"/>
    <w:uiPriority w:val="0"/>
    <w:rPr>
      <w:w w:val="100"/>
      <w:position w:val="-1"/>
      <w:vertAlign w:val="baseline"/>
      <w:cs w:val="0"/>
    </w:rPr>
  </w:style>
  <w:style w:type="character" w:customStyle="1" w:styleId="344">
    <w:name w:val="WW8Num16z4"/>
    <w:uiPriority w:val="0"/>
    <w:rPr>
      <w:w w:val="100"/>
      <w:position w:val="-1"/>
      <w:vertAlign w:val="baseline"/>
      <w:cs w:val="0"/>
    </w:rPr>
  </w:style>
  <w:style w:type="character" w:customStyle="1" w:styleId="345">
    <w:name w:val="WW8Num16z5"/>
    <w:uiPriority w:val="0"/>
    <w:rPr>
      <w:w w:val="100"/>
      <w:position w:val="-1"/>
      <w:vertAlign w:val="baseline"/>
      <w:cs w:val="0"/>
    </w:rPr>
  </w:style>
  <w:style w:type="character" w:customStyle="1" w:styleId="346">
    <w:name w:val="WW8Num16z6"/>
    <w:uiPriority w:val="0"/>
    <w:rPr>
      <w:w w:val="100"/>
      <w:position w:val="-1"/>
      <w:vertAlign w:val="baseline"/>
      <w:cs w:val="0"/>
    </w:rPr>
  </w:style>
  <w:style w:type="character" w:customStyle="1" w:styleId="347">
    <w:name w:val="WW8Num16z7"/>
    <w:uiPriority w:val="0"/>
    <w:rPr>
      <w:w w:val="100"/>
      <w:position w:val="-1"/>
      <w:vertAlign w:val="baseline"/>
      <w:cs w:val="0"/>
    </w:rPr>
  </w:style>
  <w:style w:type="character" w:customStyle="1" w:styleId="348">
    <w:name w:val="WW8Num16z8"/>
    <w:uiPriority w:val="0"/>
    <w:rPr>
      <w:w w:val="100"/>
      <w:position w:val="-1"/>
      <w:vertAlign w:val="baseline"/>
      <w:cs w:val="0"/>
    </w:rPr>
  </w:style>
  <w:style w:type="character" w:customStyle="1" w:styleId="349">
    <w:name w:val="WW8Num20z1"/>
    <w:uiPriority w:val="0"/>
    <w:rPr>
      <w:rFonts w:hint="default" w:ascii="Symbol" w:hAnsi="Symbol" w:cs="Symbol"/>
      <w:w w:val="100"/>
      <w:position w:val="-1"/>
      <w:vertAlign w:val="baseline"/>
      <w:cs w:val="0"/>
    </w:rPr>
  </w:style>
  <w:style w:type="character" w:customStyle="1" w:styleId="350">
    <w:name w:val="WW8Num21z2"/>
    <w:uiPriority w:val="0"/>
    <w:rPr>
      <w:rFonts w:hint="default" w:ascii="Symbol" w:hAnsi="Symbol" w:cs="Symbol"/>
      <w:w w:val="100"/>
      <w:position w:val="-1"/>
      <w:vertAlign w:val="baseline"/>
      <w:cs w:val="0"/>
    </w:rPr>
  </w:style>
  <w:style w:type="character" w:customStyle="1" w:styleId="351">
    <w:name w:val="WW8Num22z3"/>
    <w:uiPriority w:val="0"/>
    <w:rPr>
      <w:w w:val="100"/>
      <w:position w:val="-1"/>
      <w:vertAlign w:val="baseline"/>
      <w:cs w:val="0"/>
    </w:rPr>
  </w:style>
  <w:style w:type="character" w:customStyle="1" w:styleId="352">
    <w:name w:val="WW8Num22z4"/>
    <w:uiPriority w:val="0"/>
    <w:rPr>
      <w:w w:val="100"/>
      <w:position w:val="-1"/>
      <w:vertAlign w:val="baseline"/>
      <w:cs w:val="0"/>
    </w:rPr>
  </w:style>
  <w:style w:type="character" w:customStyle="1" w:styleId="353">
    <w:name w:val="WW8Num22z5"/>
    <w:uiPriority w:val="0"/>
    <w:rPr>
      <w:w w:val="100"/>
      <w:position w:val="-1"/>
      <w:vertAlign w:val="baseline"/>
      <w:cs w:val="0"/>
    </w:rPr>
  </w:style>
  <w:style w:type="character" w:customStyle="1" w:styleId="354">
    <w:name w:val="WW8Num22z6"/>
    <w:uiPriority w:val="0"/>
    <w:rPr>
      <w:w w:val="100"/>
      <w:position w:val="-1"/>
      <w:vertAlign w:val="baseline"/>
      <w:cs w:val="0"/>
    </w:rPr>
  </w:style>
  <w:style w:type="character" w:customStyle="1" w:styleId="355">
    <w:name w:val="WW8Num22z7"/>
    <w:uiPriority w:val="0"/>
    <w:rPr>
      <w:w w:val="100"/>
      <w:position w:val="-1"/>
      <w:vertAlign w:val="baseline"/>
      <w:cs w:val="0"/>
    </w:rPr>
  </w:style>
  <w:style w:type="character" w:customStyle="1" w:styleId="356">
    <w:name w:val="WW8Num22z8"/>
    <w:uiPriority w:val="0"/>
    <w:rPr>
      <w:w w:val="100"/>
      <w:position w:val="-1"/>
      <w:vertAlign w:val="baseline"/>
      <w:cs w:val="0"/>
    </w:rPr>
  </w:style>
  <w:style w:type="character" w:customStyle="1" w:styleId="357">
    <w:name w:val="WW8Num25z2"/>
    <w:uiPriority w:val="0"/>
    <w:rPr>
      <w:w w:val="100"/>
      <w:position w:val="-1"/>
      <w:vertAlign w:val="baseline"/>
      <w:cs w:val="0"/>
    </w:rPr>
  </w:style>
  <w:style w:type="character" w:customStyle="1" w:styleId="358">
    <w:name w:val="WW8Num25z3"/>
    <w:uiPriority w:val="0"/>
    <w:rPr>
      <w:w w:val="100"/>
      <w:position w:val="-1"/>
      <w:vertAlign w:val="baseline"/>
      <w:cs w:val="0"/>
    </w:rPr>
  </w:style>
  <w:style w:type="character" w:customStyle="1" w:styleId="359">
    <w:name w:val="WW8Num25z4"/>
    <w:uiPriority w:val="0"/>
    <w:rPr>
      <w:w w:val="100"/>
      <w:position w:val="-1"/>
      <w:vertAlign w:val="baseline"/>
      <w:cs w:val="0"/>
    </w:rPr>
  </w:style>
  <w:style w:type="character" w:customStyle="1" w:styleId="360">
    <w:name w:val="WW8Num25z5"/>
    <w:uiPriority w:val="0"/>
    <w:rPr>
      <w:w w:val="100"/>
      <w:position w:val="-1"/>
      <w:vertAlign w:val="baseline"/>
      <w:cs w:val="0"/>
    </w:rPr>
  </w:style>
  <w:style w:type="character" w:customStyle="1" w:styleId="361">
    <w:name w:val="WW8Num25z6"/>
    <w:uiPriority w:val="0"/>
    <w:rPr>
      <w:w w:val="100"/>
      <w:position w:val="-1"/>
      <w:vertAlign w:val="baseline"/>
      <w:cs w:val="0"/>
    </w:rPr>
  </w:style>
  <w:style w:type="character" w:customStyle="1" w:styleId="362">
    <w:name w:val="WW8Num25z7"/>
    <w:uiPriority w:val="0"/>
    <w:rPr>
      <w:w w:val="100"/>
      <w:position w:val="-1"/>
      <w:vertAlign w:val="baseline"/>
      <w:cs w:val="0"/>
    </w:rPr>
  </w:style>
  <w:style w:type="character" w:customStyle="1" w:styleId="363">
    <w:name w:val="WW8Num25z8"/>
    <w:uiPriority w:val="0"/>
    <w:rPr>
      <w:w w:val="100"/>
      <w:position w:val="-1"/>
      <w:vertAlign w:val="baseline"/>
      <w:cs w:val="0"/>
    </w:rPr>
  </w:style>
  <w:style w:type="character" w:customStyle="1" w:styleId="364">
    <w:name w:val="WW8Num28z1"/>
    <w:uiPriority w:val="0"/>
    <w:rPr>
      <w:w w:val="100"/>
      <w:position w:val="-1"/>
      <w:sz w:val="24"/>
      <w:szCs w:val="24"/>
      <w:vertAlign w:val="baseline"/>
      <w:cs w:val="0"/>
      <w:lang w:val="pt-PT" w:eastAsia="pt-PT" w:bidi="pt-PT"/>
    </w:rPr>
  </w:style>
  <w:style w:type="character" w:customStyle="1" w:styleId="365">
    <w:name w:val="WW8Num28z2"/>
    <w:uiPriority w:val="0"/>
    <w:rPr>
      <w:rFonts w:hint="default" w:ascii="Symbol" w:hAnsi="Symbol" w:cs="Symbol"/>
      <w:w w:val="100"/>
      <w:position w:val="-1"/>
      <w:vertAlign w:val="baseline"/>
      <w:cs w:val="0"/>
    </w:rPr>
  </w:style>
  <w:style w:type="character" w:customStyle="1" w:styleId="366">
    <w:name w:val="WW8Num30z1"/>
    <w:uiPriority w:val="0"/>
    <w:rPr>
      <w:rFonts w:hint="default" w:ascii="Symbol" w:hAnsi="Symbol" w:cs="Symbol"/>
      <w:w w:val="100"/>
      <w:position w:val="-1"/>
      <w:vertAlign w:val="baseline"/>
      <w:cs w:val="0"/>
    </w:rPr>
  </w:style>
  <w:style w:type="character" w:customStyle="1" w:styleId="367">
    <w:name w:val="WW8Num32z2"/>
    <w:uiPriority w:val="0"/>
    <w:rPr>
      <w:w w:val="100"/>
      <w:position w:val="-1"/>
      <w:vertAlign w:val="baseline"/>
      <w:cs w:val="0"/>
    </w:rPr>
  </w:style>
  <w:style w:type="character" w:customStyle="1" w:styleId="368">
    <w:name w:val="WW8Num32z3"/>
    <w:uiPriority w:val="0"/>
    <w:rPr>
      <w:w w:val="100"/>
      <w:position w:val="-1"/>
      <w:vertAlign w:val="baseline"/>
      <w:cs w:val="0"/>
    </w:rPr>
  </w:style>
  <w:style w:type="character" w:customStyle="1" w:styleId="369">
    <w:name w:val="WW8Num32z4"/>
    <w:uiPriority w:val="0"/>
    <w:rPr>
      <w:w w:val="100"/>
      <w:position w:val="-1"/>
      <w:vertAlign w:val="baseline"/>
      <w:cs w:val="0"/>
    </w:rPr>
  </w:style>
  <w:style w:type="character" w:customStyle="1" w:styleId="370">
    <w:name w:val="WW8Num32z5"/>
    <w:uiPriority w:val="0"/>
    <w:rPr>
      <w:w w:val="100"/>
      <w:position w:val="-1"/>
      <w:vertAlign w:val="baseline"/>
      <w:cs w:val="0"/>
    </w:rPr>
  </w:style>
  <w:style w:type="character" w:customStyle="1" w:styleId="371">
    <w:name w:val="WW8Num32z6"/>
    <w:uiPriority w:val="0"/>
    <w:rPr>
      <w:w w:val="100"/>
      <w:position w:val="-1"/>
      <w:vertAlign w:val="baseline"/>
      <w:cs w:val="0"/>
    </w:rPr>
  </w:style>
  <w:style w:type="character" w:customStyle="1" w:styleId="372">
    <w:name w:val="WW8Num32z7"/>
    <w:uiPriority w:val="0"/>
    <w:rPr>
      <w:w w:val="100"/>
      <w:position w:val="-1"/>
      <w:vertAlign w:val="baseline"/>
      <w:cs w:val="0"/>
    </w:rPr>
  </w:style>
  <w:style w:type="character" w:customStyle="1" w:styleId="373">
    <w:name w:val="WW8Num32z8"/>
    <w:uiPriority w:val="0"/>
    <w:rPr>
      <w:w w:val="100"/>
      <w:position w:val="-1"/>
      <w:vertAlign w:val="baseline"/>
      <w:cs w:val="0"/>
    </w:rPr>
  </w:style>
  <w:style w:type="character" w:customStyle="1" w:styleId="374">
    <w:name w:val="WW8Num35z2"/>
    <w:uiPriority w:val="0"/>
    <w:rPr>
      <w:w w:val="100"/>
      <w:position w:val="-1"/>
      <w:vertAlign w:val="baseline"/>
      <w:cs w:val="0"/>
    </w:rPr>
  </w:style>
  <w:style w:type="character" w:customStyle="1" w:styleId="375">
    <w:name w:val="WW8Num35z3"/>
    <w:uiPriority w:val="0"/>
    <w:rPr>
      <w:w w:val="100"/>
      <w:position w:val="-1"/>
      <w:vertAlign w:val="baseline"/>
      <w:cs w:val="0"/>
    </w:rPr>
  </w:style>
  <w:style w:type="character" w:customStyle="1" w:styleId="376">
    <w:name w:val="WW8Num35z4"/>
    <w:uiPriority w:val="0"/>
    <w:rPr>
      <w:w w:val="100"/>
      <w:position w:val="-1"/>
      <w:vertAlign w:val="baseline"/>
      <w:cs w:val="0"/>
    </w:rPr>
  </w:style>
  <w:style w:type="character" w:customStyle="1" w:styleId="377">
    <w:name w:val="WW8Num35z5"/>
    <w:uiPriority w:val="0"/>
    <w:rPr>
      <w:w w:val="100"/>
      <w:position w:val="-1"/>
      <w:vertAlign w:val="baseline"/>
      <w:cs w:val="0"/>
    </w:rPr>
  </w:style>
  <w:style w:type="character" w:customStyle="1" w:styleId="378">
    <w:name w:val="WW8Num35z6"/>
    <w:uiPriority w:val="0"/>
    <w:rPr>
      <w:w w:val="100"/>
      <w:position w:val="-1"/>
      <w:vertAlign w:val="baseline"/>
      <w:cs w:val="0"/>
    </w:rPr>
  </w:style>
  <w:style w:type="character" w:customStyle="1" w:styleId="379">
    <w:name w:val="WW8Num35z7"/>
    <w:uiPriority w:val="0"/>
    <w:rPr>
      <w:w w:val="100"/>
      <w:position w:val="-1"/>
      <w:vertAlign w:val="baseline"/>
      <w:cs w:val="0"/>
    </w:rPr>
  </w:style>
  <w:style w:type="character" w:customStyle="1" w:styleId="380">
    <w:name w:val="WW8Num35z8"/>
    <w:uiPriority w:val="0"/>
    <w:rPr>
      <w:w w:val="100"/>
      <w:position w:val="-1"/>
      <w:vertAlign w:val="baseline"/>
      <w:cs w:val="0"/>
    </w:rPr>
  </w:style>
  <w:style w:type="character" w:customStyle="1" w:styleId="381">
    <w:name w:val="WW8Num39z2"/>
    <w:uiPriority w:val="0"/>
    <w:rPr>
      <w:w w:val="100"/>
      <w:position w:val="-1"/>
      <w:vertAlign w:val="baseline"/>
      <w:cs w:val="0"/>
    </w:rPr>
  </w:style>
  <w:style w:type="character" w:customStyle="1" w:styleId="382">
    <w:name w:val="WW8Num39z3"/>
    <w:uiPriority w:val="0"/>
    <w:rPr>
      <w:w w:val="100"/>
      <w:position w:val="-1"/>
      <w:vertAlign w:val="baseline"/>
      <w:cs w:val="0"/>
    </w:rPr>
  </w:style>
  <w:style w:type="character" w:customStyle="1" w:styleId="383">
    <w:name w:val="WW8Num39z4"/>
    <w:uiPriority w:val="0"/>
    <w:rPr>
      <w:w w:val="100"/>
      <w:position w:val="-1"/>
      <w:vertAlign w:val="baseline"/>
      <w:cs w:val="0"/>
    </w:rPr>
  </w:style>
  <w:style w:type="character" w:customStyle="1" w:styleId="384">
    <w:name w:val="WW8Num39z5"/>
    <w:uiPriority w:val="0"/>
    <w:rPr>
      <w:w w:val="100"/>
      <w:position w:val="-1"/>
      <w:vertAlign w:val="baseline"/>
      <w:cs w:val="0"/>
    </w:rPr>
  </w:style>
  <w:style w:type="character" w:customStyle="1" w:styleId="385">
    <w:name w:val="WW8Num39z6"/>
    <w:uiPriority w:val="0"/>
    <w:rPr>
      <w:w w:val="100"/>
      <w:position w:val="-1"/>
      <w:vertAlign w:val="baseline"/>
      <w:cs w:val="0"/>
    </w:rPr>
  </w:style>
  <w:style w:type="character" w:customStyle="1" w:styleId="386">
    <w:name w:val="WW8Num39z7"/>
    <w:uiPriority w:val="0"/>
    <w:rPr>
      <w:w w:val="100"/>
      <w:position w:val="-1"/>
      <w:vertAlign w:val="baseline"/>
      <w:cs w:val="0"/>
    </w:rPr>
  </w:style>
  <w:style w:type="character" w:customStyle="1" w:styleId="387">
    <w:name w:val="WW8Num39z8"/>
    <w:uiPriority w:val="0"/>
    <w:rPr>
      <w:w w:val="100"/>
      <w:position w:val="-1"/>
      <w:vertAlign w:val="baseline"/>
      <w:cs w:val="0"/>
    </w:rPr>
  </w:style>
  <w:style w:type="character" w:customStyle="1" w:styleId="388">
    <w:name w:val="WW8Num48z1"/>
    <w:uiPriority w:val="0"/>
    <w:rPr>
      <w:w w:val="100"/>
      <w:position w:val="-1"/>
      <w:sz w:val="24"/>
      <w:szCs w:val="24"/>
      <w:vertAlign w:val="baseline"/>
      <w:cs w:val="0"/>
      <w:lang w:val="pt-PT" w:eastAsia="pt-PT" w:bidi="pt-PT"/>
    </w:rPr>
  </w:style>
  <w:style w:type="character" w:customStyle="1" w:styleId="389">
    <w:name w:val="WW8Num48z2"/>
    <w:uiPriority w:val="0"/>
    <w:rPr>
      <w:rFonts w:hint="default" w:ascii="Symbol" w:hAnsi="Symbol" w:cs="Symbol"/>
      <w:w w:val="100"/>
      <w:position w:val="-1"/>
      <w:vertAlign w:val="baseline"/>
      <w:cs w:val="0"/>
    </w:rPr>
  </w:style>
  <w:style w:type="character" w:customStyle="1" w:styleId="390">
    <w:name w:val="WW8Num54z1"/>
    <w:uiPriority w:val="0"/>
    <w:rPr>
      <w:rFonts w:hint="default" w:ascii="Symbol" w:hAnsi="Symbol" w:cs="Symbol"/>
      <w:w w:val="100"/>
      <w:position w:val="-1"/>
      <w:vertAlign w:val="baseline"/>
      <w:cs w:val="0"/>
    </w:rPr>
  </w:style>
  <w:style w:type="character" w:customStyle="1" w:styleId="391">
    <w:name w:val="WW8Num57z1"/>
    <w:uiPriority w:val="0"/>
    <w:rPr>
      <w:rFonts w:hint="default" w:ascii="Symbol" w:hAnsi="Symbol" w:cs="Symbol"/>
      <w:w w:val="100"/>
      <w:position w:val="-1"/>
      <w:vertAlign w:val="baseline"/>
      <w:cs w:val="0"/>
    </w:rPr>
  </w:style>
  <w:style w:type="character" w:customStyle="1" w:styleId="392">
    <w:name w:val="WW8Num61z2"/>
    <w:uiPriority w:val="0"/>
    <w:rPr>
      <w:rFonts w:hint="default" w:ascii="Symbol" w:hAnsi="Symbol" w:cs="Symbol"/>
      <w:w w:val="100"/>
      <w:position w:val="-1"/>
      <w:vertAlign w:val="baseline"/>
      <w:cs w:val="0"/>
    </w:rPr>
  </w:style>
  <w:style w:type="character" w:customStyle="1" w:styleId="393">
    <w:name w:val="WW8Num63z2"/>
    <w:uiPriority w:val="0"/>
    <w:rPr>
      <w:rFonts w:hint="default" w:ascii="Wingdings" w:hAnsi="Wingdings" w:cs="Wingdings"/>
      <w:w w:val="100"/>
      <w:position w:val="-1"/>
      <w:vertAlign w:val="baseline"/>
      <w:cs w:val="0"/>
    </w:rPr>
  </w:style>
  <w:style w:type="character" w:customStyle="1" w:styleId="394">
    <w:name w:val="WW8Num63z3"/>
    <w:uiPriority w:val="0"/>
    <w:rPr>
      <w:rFonts w:hint="default" w:ascii="Symbol" w:hAnsi="Symbol" w:cs="Symbol"/>
      <w:w w:val="100"/>
      <w:position w:val="-1"/>
      <w:vertAlign w:val="baseline"/>
      <w:cs w:val="0"/>
    </w:rPr>
  </w:style>
  <w:style w:type="character" w:customStyle="1" w:styleId="395">
    <w:name w:val="WW8Num69z1"/>
    <w:uiPriority w:val="0"/>
    <w:rPr>
      <w:rFonts w:hint="default" w:ascii="Symbol" w:hAnsi="Symbol" w:cs="Symbol"/>
      <w:w w:val="100"/>
      <w:position w:val="-1"/>
      <w:vertAlign w:val="baseline"/>
      <w:cs w:val="0"/>
    </w:rPr>
  </w:style>
  <w:style w:type="character" w:customStyle="1" w:styleId="396">
    <w:name w:val="WW8Num73z1"/>
    <w:uiPriority w:val="0"/>
    <w:rPr>
      <w:rFonts w:hint="default" w:ascii="Symbol" w:hAnsi="Symbol" w:cs="Symbol"/>
      <w:w w:val="100"/>
      <w:position w:val="-1"/>
      <w:vertAlign w:val="baseline"/>
      <w:cs w:val="0"/>
    </w:rPr>
  </w:style>
  <w:style w:type="character" w:customStyle="1" w:styleId="397">
    <w:name w:val="WW8Num78z2"/>
    <w:uiPriority w:val="0"/>
    <w:rPr>
      <w:rFonts w:hint="default" w:ascii="Symbol" w:hAnsi="Symbol" w:cs="Symbol"/>
      <w:w w:val="100"/>
      <w:position w:val="-1"/>
      <w:vertAlign w:val="baseline"/>
      <w:cs w:val="0"/>
    </w:rPr>
  </w:style>
  <w:style w:type="character" w:customStyle="1" w:styleId="398">
    <w:name w:val="WW8Num79z3"/>
    <w:uiPriority w:val="0"/>
    <w:rPr>
      <w:w w:val="100"/>
      <w:position w:val="-1"/>
      <w:vertAlign w:val="baseline"/>
      <w:cs w:val="0"/>
    </w:rPr>
  </w:style>
  <w:style w:type="character" w:customStyle="1" w:styleId="399">
    <w:name w:val="WW8Num79z4"/>
    <w:uiPriority w:val="0"/>
    <w:rPr>
      <w:w w:val="100"/>
      <w:position w:val="-1"/>
      <w:vertAlign w:val="baseline"/>
      <w:cs w:val="0"/>
    </w:rPr>
  </w:style>
  <w:style w:type="character" w:customStyle="1" w:styleId="400">
    <w:name w:val="WW8Num79z5"/>
    <w:uiPriority w:val="0"/>
    <w:rPr>
      <w:w w:val="100"/>
      <w:position w:val="-1"/>
      <w:vertAlign w:val="baseline"/>
      <w:cs w:val="0"/>
    </w:rPr>
  </w:style>
  <w:style w:type="character" w:customStyle="1" w:styleId="401">
    <w:name w:val="WW8Num79z6"/>
    <w:uiPriority w:val="0"/>
    <w:rPr>
      <w:w w:val="100"/>
      <w:position w:val="-1"/>
      <w:vertAlign w:val="baseline"/>
      <w:cs w:val="0"/>
    </w:rPr>
  </w:style>
  <w:style w:type="character" w:customStyle="1" w:styleId="402">
    <w:name w:val="WW8Num79z7"/>
    <w:uiPriority w:val="0"/>
    <w:rPr>
      <w:w w:val="100"/>
      <w:position w:val="-1"/>
      <w:vertAlign w:val="baseline"/>
      <w:cs w:val="0"/>
    </w:rPr>
  </w:style>
  <w:style w:type="character" w:customStyle="1" w:styleId="403">
    <w:name w:val="WW8Num79z8"/>
    <w:uiPriority w:val="0"/>
    <w:rPr>
      <w:w w:val="100"/>
      <w:position w:val="-1"/>
      <w:vertAlign w:val="baseline"/>
      <w:cs w:val="0"/>
    </w:rPr>
  </w:style>
  <w:style w:type="character" w:customStyle="1" w:styleId="404">
    <w:name w:val="WW8Num85z1"/>
    <w:uiPriority w:val="0"/>
    <w:rPr>
      <w:rFonts w:hint="default" w:ascii="Symbol" w:hAnsi="Symbol" w:cs="Symbol"/>
      <w:w w:val="100"/>
      <w:position w:val="-1"/>
      <w:vertAlign w:val="baseline"/>
      <w:cs w:val="0"/>
    </w:rPr>
  </w:style>
  <w:style w:type="character" w:customStyle="1" w:styleId="405">
    <w:name w:val="WW8Num89z2"/>
    <w:uiPriority w:val="0"/>
    <w:rPr>
      <w:w w:val="100"/>
      <w:position w:val="-1"/>
      <w:vertAlign w:val="baseline"/>
      <w:cs w:val="0"/>
    </w:rPr>
  </w:style>
  <w:style w:type="character" w:customStyle="1" w:styleId="406">
    <w:name w:val="WW8Num89z3"/>
    <w:uiPriority w:val="0"/>
    <w:rPr>
      <w:w w:val="100"/>
      <w:position w:val="-1"/>
      <w:vertAlign w:val="baseline"/>
      <w:cs w:val="0"/>
    </w:rPr>
  </w:style>
  <w:style w:type="character" w:customStyle="1" w:styleId="407">
    <w:name w:val="WW8Num89z4"/>
    <w:uiPriority w:val="0"/>
    <w:rPr>
      <w:w w:val="100"/>
      <w:position w:val="-1"/>
      <w:vertAlign w:val="baseline"/>
      <w:cs w:val="0"/>
    </w:rPr>
  </w:style>
  <w:style w:type="character" w:customStyle="1" w:styleId="408">
    <w:name w:val="WW8Num89z5"/>
    <w:uiPriority w:val="0"/>
    <w:rPr>
      <w:w w:val="100"/>
      <w:position w:val="-1"/>
      <w:vertAlign w:val="baseline"/>
      <w:cs w:val="0"/>
    </w:rPr>
  </w:style>
  <w:style w:type="character" w:customStyle="1" w:styleId="409">
    <w:name w:val="WW8Num89z6"/>
    <w:uiPriority w:val="0"/>
    <w:rPr>
      <w:w w:val="100"/>
      <w:position w:val="-1"/>
      <w:vertAlign w:val="baseline"/>
      <w:cs w:val="0"/>
    </w:rPr>
  </w:style>
  <w:style w:type="character" w:customStyle="1" w:styleId="410">
    <w:name w:val="WW8Num89z7"/>
    <w:qFormat/>
    <w:uiPriority w:val="0"/>
    <w:rPr>
      <w:w w:val="100"/>
      <w:position w:val="-1"/>
      <w:vertAlign w:val="baseline"/>
      <w:cs w:val="0"/>
    </w:rPr>
  </w:style>
  <w:style w:type="character" w:customStyle="1" w:styleId="411">
    <w:name w:val="WW8Num89z8"/>
    <w:uiPriority w:val="0"/>
    <w:rPr>
      <w:w w:val="100"/>
      <w:position w:val="-1"/>
      <w:vertAlign w:val="baseline"/>
      <w:cs w:val="0"/>
    </w:rPr>
  </w:style>
  <w:style w:type="character" w:customStyle="1" w:styleId="412">
    <w:name w:val="WW8Num93z2"/>
    <w:uiPriority w:val="0"/>
    <w:rPr>
      <w:rFonts w:hint="default" w:ascii="Symbol" w:hAnsi="Symbol" w:cs="Symbol"/>
      <w:w w:val="100"/>
      <w:position w:val="-1"/>
      <w:vertAlign w:val="baseline"/>
      <w:cs w:val="0"/>
    </w:rPr>
  </w:style>
  <w:style w:type="character" w:customStyle="1" w:styleId="413">
    <w:name w:val="Ref. de comentário1"/>
    <w:uiPriority w:val="0"/>
    <w:rPr>
      <w:w w:val="100"/>
      <w:position w:val="-1"/>
      <w:sz w:val="16"/>
      <w:szCs w:val="16"/>
      <w:vertAlign w:val="baseline"/>
      <w:cs w:val="0"/>
    </w:rPr>
  </w:style>
  <w:style w:type="character" w:customStyle="1" w:styleId="414">
    <w:name w:val="Caracteres de nota de rodapé"/>
    <w:uiPriority w:val="0"/>
    <w:rPr>
      <w:w w:val="100"/>
      <w:position w:val="-1"/>
      <w:vertAlign w:val="superscript"/>
      <w:cs w:val="0"/>
    </w:rPr>
  </w:style>
  <w:style w:type="character" w:customStyle="1" w:styleId="415">
    <w:name w:val="Ênfase1"/>
    <w:uiPriority w:val="0"/>
    <w:rPr>
      <w:i/>
      <w:iCs/>
      <w:w w:val="100"/>
      <w:position w:val="-1"/>
      <w:vertAlign w:val="baseline"/>
      <w:cs w:val="0"/>
    </w:rPr>
  </w:style>
  <w:style w:type="character" w:customStyle="1" w:styleId="416">
    <w:name w:val="Footnote Characters"/>
    <w:uiPriority w:val="0"/>
    <w:rPr>
      <w:w w:val="100"/>
      <w:position w:val="-1"/>
      <w:vertAlign w:val="superscript"/>
      <w:cs w:val="0"/>
    </w:rPr>
  </w:style>
  <w:style w:type="character" w:customStyle="1" w:styleId="417">
    <w:name w:val="WW-Link da Internet"/>
    <w:uiPriority w:val="0"/>
    <w:rPr>
      <w:color w:val="0563C1"/>
      <w:w w:val="100"/>
      <w:position w:val="-1"/>
      <w:u w:val="single"/>
      <w:vertAlign w:val="baseline"/>
      <w:cs w:val="0"/>
    </w:rPr>
  </w:style>
  <w:style w:type="character" w:customStyle="1" w:styleId="418">
    <w:name w:val="Marcas"/>
    <w:uiPriority w:val="0"/>
    <w:rPr>
      <w:rFonts w:ascii="OpenSymbol" w:hAnsi="OpenSymbol" w:eastAsia="OpenSymbol" w:cs="OpenSymbol"/>
      <w:w w:val="100"/>
      <w:position w:val="-1"/>
      <w:vertAlign w:val="baseline"/>
      <w:cs w:val="0"/>
    </w:rPr>
  </w:style>
  <w:style w:type="character" w:customStyle="1" w:styleId="419">
    <w:name w:val="WW-Caracteres de nota de rodapé"/>
    <w:uiPriority w:val="0"/>
    <w:rPr>
      <w:w w:val="100"/>
      <w:position w:val="-1"/>
      <w:vertAlign w:val="baseline"/>
      <w:cs w:val="0"/>
    </w:rPr>
  </w:style>
  <w:style w:type="character" w:customStyle="1" w:styleId="420">
    <w:name w:val="WW-Ênfase forte"/>
    <w:uiPriority w:val="0"/>
    <w:rPr>
      <w:b/>
      <w:bCs/>
      <w:w w:val="100"/>
      <w:position w:val="-1"/>
      <w:vertAlign w:val="baseline"/>
      <w:cs w:val="0"/>
    </w:rPr>
  </w:style>
  <w:style w:type="character" w:customStyle="1" w:styleId="421">
    <w:name w:val="Cabeçalho Char"/>
    <w:uiPriority w:val="0"/>
    <w:rPr>
      <w:rFonts w:ascii="Liberation Serif" w:hAnsi="Liberation Serif" w:eastAsia="Noto Sans CJK SC" w:cs="Mangal"/>
      <w:w w:val="100"/>
      <w:kern w:val="2"/>
      <w:position w:val="-1"/>
      <w:sz w:val="24"/>
      <w:szCs w:val="21"/>
      <w:vertAlign w:val="baseline"/>
      <w:cs w:val="0"/>
      <w:lang w:eastAsia="zh-CN" w:bidi="hi-IN"/>
    </w:rPr>
  </w:style>
  <w:style w:type="character" w:customStyle="1" w:styleId="422">
    <w:name w:val="Texto de comentário Char"/>
    <w:uiPriority w:val="0"/>
    <w:rPr>
      <w:rFonts w:ascii="Liberation Serif" w:hAnsi="Liberation Serif" w:eastAsia="Noto Sans CJK SC" w:cs="Mangal"/>
      <w:w w:val="100"/>
      <w:kern w:val="2"/>
      <w:position w:val="-1"/>
      <w:sz w:val="20"/>
      <w:szCs w:val="18"/>
      <w:vertAlign w:val="baseline"/>
      <w:cs w:val="0"/>
      <w:lang w:eastAsia="zh-CN" w:bidi="hi-IN"/>
    </w:rPr>
  </w:style>
  <w:style w:type="character" w:customStyle="1" w:styleId="423">
    <w:name w:val="Assunto do comentário Char"/>
    <w:uiPriority w:val="0"/>
    <w:rPr>
      <w:rFonts w:ascii="Liberation Serif" w:hAnsi="Liberation Serif" w:eastAsia="Noto Sans CJK SC" w:cs="Mangal"/>
      <w:b/>
      <w:bCs/>
      <w:w w:val="100"/>
      <w:kern w:val="2"/>
      <w:position w:val="-1"/>
      <w:sz w:val="20"/>
      <w:szCs w:val="18"/>
      <w:vertAlign w:val="baseline"/>
      <w:cs w:val="0"/>
      <w:lang w:eastAsia="zh-CN" w:bidi="hi-IN"/>
    </w:rPr>
  </w:style>
  <w:style w:type="character" w:customStyle="1" w:styleId="424">
    <w:name w:val="Texto de balão Char"/>
    <w:uiPriority w:val="0"/>
    <w:rPr>
      <w:rFonts w:ascii="Tahoma" w:hAnsi="Tahoma" w:eastAsia="Noto Sans CJK SC" w:cs="Mangal"/>
      <w:w w:val="100"/>
      <w:kern w:val="2"/>
      <w:position w:val="-1"/>
      <w:sz w:val="16"/>
      <w:szCs w:val="14"/>
      <w:vertAlign w:val="baseline"/>
      <w:cs w:val="0"/>
      <w:lang w:eastAsia="zh-CN" w:bidi="hi-IN"/>
    </w:rPr>
  </w:style>
  <w:style w:type="character" w:customStyle="1" w:styleId="425">
    <w:name w:val="Caracteres de nota de fim"/>
    <w:uiPriority w:val="0"/>
    <w:rPr>
      <w:w w:val="100"/>
      <w:position w:val="-1"/>
      <w:vertAlign w:val="superscript"/>
      <w:cs w:val="0"/>
    </w:rPr>
  </w:style>
  <w:style w:type="character" w:customStyle="1" w:styleId="426">
    <w:name w:val="WW-Caracteres de nota de fim"/>
    <w:uiPriority w:val="0"/>
    <w:rPr>
      <w:w w:val="100"/>
      <w:position w:val="-1"/>
      <w:vertAlign w:val="baseline"/>
      <w:cs w:val="0"/>
    </w:rPr>
  </w:style>
  <w:style w:type="character" w:customStyle="1" w:styleId="427">
    <w:name w:val="Rodapé Char"/>
    <w:uiPriority w:val="0"/>
    <w:rPr>
      <w:rFonts w:ascii="Liberation Serif" w:hAnsi="Liberation Serif" w:eastAsia="Noto Sans CJK SC" w:cs="Mangal"/>
      <w:w w:val="100"/>
      <w:kern w:val="2"/>
      <w:position w:val="-1"/>
      <w:sz w:val="24"/>
      <w:szCs w:val="21"/>
      <w:vertAlign w:val="baseline"/>
      <w:cs w:val="0"/>
      <w:lang w:eastAsia="zh-CN" w:bidi="hi-IN"/>
    </w:rPr>
  </w:style>
  <w:style w:type="character" w:customStyle="1" w:styleId="428">
    <w:name w:val="Título 1 Char"/>
    <w:uiPriority w:val="0"/>
    <w:rPr>
      <w:rFonts w:ascii="Times New Roman" w:hAnsi="Times New Roman" w:eastAsia="Times New Roman" w:cs="Times New Roman"/>
      <w:b/>
      <w:bCs/>
      <w:w w:val="100"/>
      <w:position w:val="-1"/>
      <w:sz w:val="24"/>
      <w:szCs w:val="24"/>
      <w:vertAlign w:val="baseline"/>
      <w:cs w:val="0"/>
      <w:lang w:val="pt-PT" w:eastAsia="pt-PT" w:bidi="pt-PT"/>
    </w:rPr>
  </w:style>
  <w:style w:type="character" w:customStyle="1" w:styleId="429">
    <w:name w:val="Corpo de texto 2 Char"/>
    <w:uiPriority w:val="0"/>
    <w:rPr>
      <w:w w:val="100"/>
      <w:position w:val="-1"/>
      <w:sz w:val="22"/>
      <w:vertAlign w:val="baseline"/>
      <w:cs w:val="0"/>
      <w:lang w:eastAsia="pt-BR"/>
    </w:rPr>
  </w:style>
  <w:style w:type="character" w:customStyle="1" w:styleId="430">
    <w:name w:val="Recuo de corpo de texto Char"/>
    <w:uiPriority w:val="0"/>
    <w:rPr>
      <w:w w:val="100"/>
      <w:position w:val="-1"/>
      <w:sz w:val="24"/>
      <w:vertAlign w:val="baseline"/>
      <w:cs w:val="0"/>
      <w:lang w:eastAsia="pt-BR"/>
    </w:rPr>
  </w:style>
  <w:style w:type="character" w:customStyle="1" w:styleId="431">
    <w:name w:val="Corpo de texto Char"/>
    <w:uiPriority w:val="0"/>
    <w:rPr>
      <w:rFonts w:ascii="Liberation Serif" w:hAnsi="Liberation Serif" w:eastAsia="Noto Sans CJK SC" w:cs="Lohit Devanagari"/>
      <w:w w:val="100"/>
      <w:kern w:val="2"/>
      <w:position w:val="-1"/>
      <w:sz w:val="24"/>
      <w:szCs w:val="24"/>
      <w:vertAlign w:val="baseline"/>
      <w:cs w:val="0"/>
      <w:lang w:eastAsia="zh-CN" w:bidi="hi-IN"/>
    </w:rPr>
  </w:style>
  <w:style w:type="character" w:customStyle="1" w:styleId="432">
    <w:name w:val="Quotation"/>
    <w:uiPriority w:val="0"/>
    <w:rPr>
      <w:i/>
      <w:iCs/>
      <w:w w:val="100"/>
      <w:position w:val="-1"/>
      <w:vertAlign w:val="baseline"/>
      <w:cs w:val="0"/>
    </w:rPr>
  </w:style>
  <w:style w:type="character" w:customStyle="1" w:styleId="433">
    <w:name w:val="Citação1"/>
    <w:uiPriority w:val="0"/>
    <w:rPr>
      <w:i/>
      <w:iCs/>
      <w:w w:val="100"/>
      <w:position w:val="-1"/>
      <w:vertAlign w:val="baseline"/>
      <w:cs w:val="0"/>
    </w:rPr>
  </w:style>
  <w:style w:type="character" w:customStyle="1" w:styleId="434">
    <w:name w:val="Ligação de Internet"/>
    <w:uiPriority w:val="0"/>
    <w:rPr>
      <w:color w:val="000080"/>
      <w:w w:val="100"/>
      <w:position w:val="-1"/>
      <w:u w:val="single"/>
      <w:vertAlign w:val="baseline"/>
      <w:cs w:val="0"/>
    </w:rPr>
  </w:style>
  <w:style w:type="character" w:customStyle="1" w:styleId="435">
    <w:name w:val="st"/>
    <w:uiPriority w:val="0"/>
    <w:rPr>
      <w:w w:val="100"/>
      <w:position w:val="-1"/>
      <w:vertAlign w:val="baseline"/>
      <w:cs w:val="0"/>
    </w:rPr>
  </w:style>
  <w:style w:type="character" w:customStyle="1" w:styleId="436">
    <w:name w:val="Unresolved Mention"/>
    <w:uiPriority w:val="0"/>
    <w:rPr>
      <w:color w:val="605E5C"/>
      <w:w w:val="100"/>
      <w:position w:val="-1"/>
      <w:highlight w:val="lightGray"/>
      <w:vertAlign w:val="baseline"/>
      <w:cs w:val="0"/>
    </w:rPr>
  </w:style>
  <w:style w:type="character" w:customStyle="1" w:styleId="437">
    <w:name w:val="Texto de nota de rodapé Char"/>
    <w:uiPriority w:val="0"/>
    <w:rPr>
      <w:rFonts w:ascii="Liberation Serif" w:hAnsi="Liberation Serif" w:eastAsia="Noto Sans CJK SC" w:cs="Lohit Devanagari"/>
      <w:w w:val="100"/>
      <w:kern w:val="2"/>
      <w:position w:val="-1"/>
      <w:sz w:val="24"/>
      <w:szCs w:val="24"/>
      <w:vertAlign w:val="baseline"/>
      <w:cs w:val="0"/>
      <w:lang w:eastAsia="zh-CN" w:bidi="hi-IN"/>
    </w:rPr>
  </w:style>
  <w:style w:type="character" w:customStyle="1" w:styleId="438">
    <w:name w:val="Símbolos de numeração"/>
    <w:uiPriority w:val="0"/>
    <w:rPr>
      <w:w w:val="100"/>
      <w:position w:val="-1"/>
      <w:vertAlign w:val="baseline"/>
      <w:cs w:val="0"/>
    </w:rPr>
  </w:style>
  <w:style w:type="paragraph" w:customStyle="1" w:styleId="439">
    <w:name w:val="Título12"/>
    <w:basedOn w:val="1"/>
    <w:next w:val="19"/>
    <w:uiPriority w:val="0"/>
    <w:pPr>
      <w:keepNext/>
      <w:spacing w:before="240" w:after="120"/>
    </w:pPr>
    <w:rPr>
      <w:rFonts w:ascii="Liberation Sans" w:hAnsi="Liberation Sans" w:cs="Liberation Sans"/>
      <w:sz w:val="28"/>
      <w:szCs w:val="28"/>
    </w:rPr>
  </w:style>
  <w:style w:type="paragraph" w:customStyle="1" w:styleId="440">
    <w:name w:val="Índice"/>
    <w:uiPriority w:val="0"/>
    <w:pPr>
      <w:widowControl w:val="0"/>
      <w:suppressLineNumbers/>
      <w:spacing w:line="1" w:lineRule="atLeast"/>
      <w:ind w:left="-1" w:leftChars="-1" w:hanging="1" w:hangingChars="1"/>
      <w:textAlignment w:val="top"/>
      <w:outlineLvl w:val="0"/>
    </w:pPr>
    <w:rPr>
      <w:rFonts w:ascii="Calibri" w:hAnsi="Calibri" w:eastAsia="Calibri" w:cs="Liberation Serif"/>
      <w:position w:val="-1"/>
      <w:sz w:val="24"/>
      <w:szCs w:val="22"/>
      <w:lang w:val="pt-BR" w:eastAsia="en-US" w:bidi="ar-SA"/>
    </w:rPr>
  </w:style>
  <w:style w:type="paragraph" w:customStyle="1" w:styleId="441">
    <w:name w:val="Texto de comentário1"/>
    <w:basedOn w:val="1"/>
    <w:uiPriority w:val="0"/>
    <w:rPr>
      <w:rFonts w:cs="Mangal"/>
      <w:sz w:val="20"/>
      <w:szCs w:val="18"/>
    </w:rPr>
  </w:style>
  <w:style w:type="paragraph" w:customStyle="1" w:styleId="442">
    <w:name w:val="Standard"/>
    <w:uiPriority w:val="0"/>
    <w:pPr>
      <w:spacing w:line="1" w:lineRule="atLeast"/>
      <w:ind w:left="-1" w:leftChars="-1" w:hanging="1" w:hangingChars="1"/>
      <w:textAlignment w:val="baseline"/>
      <w:outlineLvl w:val="0"/>
    </w:pPr>
    <w:rPr>
      <w:rFonts w:ascii="Liberation Serif" w:hAnsi="Liberation Serif" w:eastAsia="Noto Sans CJK SC" w:cs="Lohit Devanagari"/>
      <w:kern w:val="2"/>
      <w:position w:val="-1"/>
      <w:sz w:val="24"/>
      <w:szCs w:val="24"/>
      <w:lang w:val="pt-BR" w:eastAsia="zh-CN" w:bidi="hi-IN"/>
    </w:rPr>
  </w:style>
  <w:style w:type="paragraph" w:customStyle="1" w:styleId="443">
    <w:name w:val="Normal (Web)1"/>
    <w:basedOn w:val="442"/>
    <w:uiPriority w:val="0"/>
    <w:pPr>
      <w:spacing w:before="280" w:after="280"/>
    </w:pPr>
    <w:rPr>
      <w:rFonts w:ascii="Times New Roman" w:hAnsi="Times New Roman" w:eastAsia="Times New Roman" w:cs="Times New Roman"/>
    </w:rPr>
  </w:style>
  <w:style w:type="paragraph" w:customStyle="1" w:styleId="444">
    <w:name w:val="Corpo de texto 21"/>
    <w:basedOn w:val="1"/>
    <w:uiPriority w:val="0"/>
    <w:pPr>
      <w:suppressAutoHyphens/>
      <w:spacing w:after="120" w:line="480" w:lineRule="auto"/>
      <w:textAlignment w:val="auto"/>
    </w:pPr>
    <w:rPr>
      <w:rFonts w:ascii="Calibri" w:hAnsi="Calibri" w:eastAsia="SimSun" w:cs="Times New Roman"/>
      <w:kern w:val="0"/>
      <w:sz w:val="22"/>
      <w:szCs w:val="22"/>
      <w:lang w:bidi="ar-SA"/>
    </w:rPr>
  </w:style>
  <w:style w:type="paragraph" w:customStyle="1" w:styleId="445">
    <w:name w:val="Cabeçalho e Rodapé"/>
    <w:basedOn w:val="1"/>
    <w:uiPriority w:val="0"/>
  </w:style>
  <w:style w:type="paragraph" w:customStyle="1" w:styleId="446">
    <w:name w:val="Assunto do comentário1"/>
    <w:basedOn w:val="441"/>
    <w:next w:val="441"/>
    <w:uiPriority w:val="0"/>
    <w:rPr>
      <w:b/>
      <w:bCs/>
    </w:rPr>
  </w:style>
  <w:style w:type="paragraph" w:customStyle="1" w:styleId="447">
    <w:name w:val="Texto de balão1"/>
    <w:basedOn w:val="1"/>
    <w:uiPriority w:val="0"/>
    <w:rPr>
      <w:rFonts w:ascii="Tahoma" w:hAnsi="Tahoma" w:cs="Mangal"/>
      <w:sz w:val="16"/>
      <w:szCs w:val="14"/>
    </w:rPr>
  </w:style>
  <w:style w:type="paragraph" w:customStyle="1" w:styleId="448">
    <w:name w:val="Título11"/>
    <w:basedOn w:val="1"/>
    <w:next w:val="19"/>
    <w:uiPriority w:val="0"/>
    <w:pPr>
      <w:keepNext/>
      <w:spacing w:before="240" w:after="120"/>
    </w:pPr>
    <w:rPr>
      <w:rFonts w:ascii="Liberation Sans" w:hAnsi="Liberation Sans"/>
      <w:sz w:val="28"/>
      <w:szCs w:val="28"/>
    </w:rPr>
  </w:style>
  <w:style w:type="paragraph" w:customStyle="1" w:styleId="449">
    <w:name w:val="Título1"/>
    <w:next w:val="19"/>
    <w:uiPriority w:val="0"/>
    <w:pPr>
      <w:keepNext/>
      <w:widowControl w:val="0"/>
      <w:spacing w:before="240" w:after="120" w:line="1" w:lineRule="atLeast"/>
      <w:ind w:left="-1" w:leftChars="-1" w:hanging="1" w:hangingChars="1"/>
      <w:textAlignment w:val="top"/>
      <w:outlineLvl w:val="0"/>
    </w:pPr>
    <w:rPr>
      <w:rFonts w:ascii="Liberation Sans" w:hAnsi="Liberation Sans" w:eastAsia="Calibri" w:cs="Liberation Serif"/>
      <w:position w:val="-1"/>
      <w:sz w:val="28"/>
      <w:szCs w:val="28"/>
      <w:lang w:val="pt-BR" w:eastAsia="en-US" w:bidi="ar-SA"/>
    </w:rPr>
  </w:style>
  <w:style w:type="paragraph" w:customStyle="1" w:styleId="450">
    <w:name w:val="Legenda1"/>
    <w:uiPriority w:val="0"/>
    <w:pPr>
      <w:widowControl w:val="0"/>
      <w:suppressLineNumbers/>
      <w:spacing w:before="120" w:after="120" w:line="1" w:lineRule="atLeast"/>
      <w:ind w:left="-1" w:leftChars="-1" w:hanging="1" w:hangingChars="1"/>
      <w:textAlignment w:val="top"/>
      <w:outlineLvl w:val="0"/>
    </w:pPr>
    <w:rPr>
      <w:rFonts w:ascii="Calibri" w:hAnsi="Calibri" w:eastAsia="Calibri" w:cs="Liberation Serif"/>
      <w:i/>
      <w:iCs/>
      <w:position w:val="-1"/>
      <w:sz w:val="24"/>
      <w:szCs w:val="22"/>
      <w:lang w:val="pt-BR" w:eastAsia="en-US" w:bidi="ar-SA"/>
    </w:rPr>
  </w:style>
  <w:style w:type="paragraph" w:customStyle="1" w:styleId="451">
    <w:name w:val="Text body"/>
    <w:basedOn w:val="442"/>
    <w:uiPriority w:val="0"/>
    <w:pPr>
      <w:spacing w:after="140" w:line="276" w:lineRule="auto"/>
    </w:pPr>
  </w:style>
  <w:style w:type="paragraph" w:customStyle="1" w:styleId="452">
    <w:name w:val="Conteúdo da tabela"/>
    <w:basedOn w:val="442"/>
    <w:uiPriority w:val="0"/>
    <w:pPr>
      <w:suppressLineNumbers/>
    </w:pPr>
  </w:style>
  <w:style w:type="paragraph" w:customStyle="1" w:styleId="453">
    <w:name w:val="Título de tabela"/>
    <w:basedOn w:val="452"/>
    <w:uiPriority w:val="0"/>
    <w:pPr>
      <w:jc w:val="center"/>
    </w:pPr>
    <w:rPr>
      <w:b/>
      <w:bCs/>
    </w:rPr>
  </w:style>
  <w:style w:type="paragraph" w:customStyle="1" w:styleId="454">
    <w:name w:val="Rodapé1"/>
    <w:basedOn w:val="442"/>
    <w:uiPriority w:val="0"/>
    <w:pPr>
      <w:suppressLineNumbers/>
      <w:tabs>
        <w:tab w:val="center" w:pos="4819"/>
        <w:tab w:val="right" w:pos="9638"/>
      </w:tabs>
    </w:pPr>
  </w:style>
  <w:style w:type="paragraph" w:customStyle="1" w:styleId="455">
    <w:name w:val="Footnote"/>
    <w:basedOn w:val="442"/>
    <w:uiPriority w:val="0"/>
    <w:pPr>
      <w:suppressLineNumbers/>
      <w:ind w:left="339" w:hanging="339"/>
    </w:pPr>
    <w:rPr>
      <w:sz w:val="20"/>
      <w:szCs w:val="20"/>
    </w:rPr>
  </w:style>
  <w:style w:type="paragraph" w:customStyle="1" w:styleId="456">
    <w:name w:val="Text body indent"/>
    <w:basedOn w:val="442"/>
    <w:uiPriority w:val="0"/>
    <w:pPr>
      <w:ind w:left="709" w:hanging="709"/>
    </w:pPr>
    <w:rPr>
      <w:rFonts w:ascii="Times New Roman" w:hAnsi="Times New Roman" w:eastAsia="Times New Roman" w:cs="Times New Roman"/>
      <w:szCs w:val="20"/>
    </w:rPr>
  </w:style>
  <w:style w:type="paragraph" w:customStyle="1" w:styleId="457">
    <w:name w:val="Table Paragraph"/>
    <w:basedOn w:val="1"/>
    <w:uiPriority w:val="0"/>
    <w:pPr>
      <w:widowControl w:val="0"/>
      <w:suppressAutoHyphens/>
      <w:ind w:left="111" w:firstLine="0"/>
      <w:textAlignment w:val="auto"/>
    </w:pPr>
    <w:rPr>
      <w:rFonts w:ascii="Times New Roman" w:hAnsi="Times New Roman" w:eastAsia="Times New Roman" w:cs="Times New Roman"/>
      <w:kern w:val="0"/>
      <w:sz w:val="22"/>
      <w:szCs w:val="22"/>
      <w:lang w:val="pt-PT" w:bidi="pt-PT"/>
    </w:rPr>
  </w:style>
  <w:style w:type="paragraph" w:styleId="458">
    <w:name w:val="List Paragraph"/>
    <w:basedOn w:val="1"/>
    <w:uiPriority w:val="0"/>
    <w:pPr>
      <w:widowControl w:val="0"/>
      <w:suppressAutoHyphens/>
      <w:spacing w:before="90"/>
      <w:ind w:left="1000" w:hanging="361"/>
      <w:textAlignment w:val="auto"/>
    </w:pPr>
    <w:rPr>
      <w:rFonts w:ascii="Times New Roman" w:hAnsi="Times New Roman" w:eastAsia="Times New Roman" w:cs="Times New Roman"/>
      <w:kern w:val="0"/>
      <w:sz w:val="22"/>
      <w:szCs w:val="22"/>
      <w:lang w:val="pt-PT" w:bidi="pt-PT"/>
    </w:rPr>
  </w:style>
  <w:style w:type="paragraph" w:customStyle="1" w:styleId="459">
    <w:name w:val="Default"/>
    <w:uiPriority w:val="0"/>
    <w:pPr>
      <w:spacing w:line="1" w:lineRule="atLeast"/>
      <w:ind w:left="-1" w:leftChars="-1" w:hanging="1" w:hangingChars="1"/>
      <w:textAlignment w:val="top"/>
      <w:outlineLvl w:val="0"/>
    </w:pPr>
    <w:rPr>
      <w:rFonts w:ascii="Liberation Serif" w:hAnsi="Liberation Serif" w:eastAsia="Liberation Serif" w:cs="Liberation Serif"/>
      <w:color w:val="000000"/>
      <w:position w:val="-1"/>
      <w:sz w:val="24"/>
      <w:szCs w:val="24"/>
      <w:lang w:val="pt-BR" w:eastAsia="pt-BR" w:bidi="ar-SA"/>
    </w:rPr>
  </w:style>
  <w:style w:type="paragraph" w:styleId="460">
    <w:name w:val="No Spacing"/>
    <w:uiPriority w:val="0"/>
    <w:pPr>
      <w:spacing w:after="200" w:line="276" w:lineRule="auto"/>
      <w:ind w:left="-1" w:leftChars="-1" w:hanging="1" w:hangingChars="1"/>
      <w:textAlignment w:val="top"/>
      <w:outlineLvl w:val="0"/>
    </w:pPr>
    <w:rPr>
      <w:rFonts w:ascii="Calibri" w:hAnsi="Calibri" w:eastAsia="Calibri" w:cs="Liberation Serif"/>
      <w:position w:val="-1"/>
      <w:sz w:val="22"/>
      <w:szCs w:val="22"/>
      <w:lang w:val="pt-BR" w:eastAsia="en-US" w:bidi="ar-SA"/>
    </w:rPr>
  </w:style>
  <w:style w:type="paragraph" w:customStyle="1" w:styleId="461">
    <w:name w:val="Conteúdo do quadro"/>
    <w:basedOn w:val="1"/>
    <w:uiPriority w:val="0"/>
  </w:style>
  <w:style w:type="character" w:customStyle="1" w:styleId="462">
    <w:name w:val="Texto de balão Char1"/>
    <w:uiPriority w:val="0"/>
    <w:rPr>
      <w:rFonts w:ascii="Segoe UI" w:hAnsi="Segoe UI" w:eastAsia="Noto Sans CJK SC" w:cs="Mangal"/>
      <w:w w:val="100"/>
      <w:kern w:val="2"/>
      <w:position w:val="-1"/>
      <w:sz w:val="18"/>
      <w:szCs w:val="16"/>
      <w:vertAlign w:val="baseline"/>
      <w:cs w:val="0"/>
      <w:lang w:eastAsia="zh-CN" w:bidi="hi-IN"/>
    </w:rPr>
  </w:style>
  <w:style w:type="paragraph" w:customStyle="1" w:styleId="463">
    <w:name w:val="Revision"/>
    <w:qFormat/>
    <w:uiPriority w:val="0"/>
    <w:pPr>
      <w:suppressAutoHyphens/>
      <w:spacing w:line="1" w:lineRule="atLeast"/>
      <w:ind w:left="-1" w:leftChars="-1" w:hanging="1" w:hangingChars="1"/>
      <w:textAlignment w:val="top"/>
      <w:outlineLvl w:val="0"/>
    </w:pPr>
    <w:rPr>
      <w:rFonts w:ascii="Liberation Serif" w:hAnsi="Liberation Serif" w:eastAsia="Noto Sans CJK SC" w:cs="Mangal"/>
      <w:kern w:val="2"/>
      <w:position w:val="-1"/>
      <w:sz w:val="24"/>
      <w:szCs w:val="21"/>
      <w:lang w:val="pt-BR" w:eastAsia="zh-CN" w:bidi="hi-IN"/>
    </w:rPr>
  </w:style>
  <w:style w:type="character" w:customStyle="1" w:styleId="464">
    <w:name w:val="Texto de comentário Char1"/>
    <w:uiPriority w:val="0"/>
    <w:rPr>
      <w:rFonts w:ascii="Liberation Serif" w:hAnsi="Liberation Serif" w:eastAsia="Noto Sans CJK SC" w:cs="Mangal"/>
      <w:w w:val="100"/>
      <w:kern w:val="2"/>
      <w:position w:val="-1"/>
      <w:szCs w:val="18"/>
      <w:vertAlign w:val="baseline"/>
      <w:cs w:val="0"/>
      <w:lang w:eastAsia="zh-CN" w:bidi="hi-IN"/>
    </w:rPr>
  </w:style>
  <w:style w:type="character" w:customStyle="1" w:styleId="465">
    <w:name w:val="Assunto do comentário Char1"/>
    <w:uiPriority w:val="0"/>
    <w:rPr>
      <w:rFonts w:ascii="Liberation Serif" w:hAnsi="Liberation Serif" w:eastAsia="Noto Sans CJK SC" w:cs="Mangal"/>
      <w:b/>
      <w:bCs/>
      <w:w w:val="100"/>
      <w:kern w:val="2"/>
      <w:position w:val="-1"/>
      <w:szCs w:val="18"/>
      <w:vertAlign w:val="baseline"/>
      <w:cs w:val="0"/>
      <w:lang w:eastAsia="zh-CN" w:bidi="hi-IN"/>
    </w:rPr>
  </w:style>
  <w:style w:type="table" w:customStyle="1" w:styleId="466">
    <w:name w:val="_Style 465"/>
    <w:basedOn w:val="30"/>
    <w:uiPriority w:val="0"/>
    <w:tblPr>
      <w:tblCellMar>
        <w:top w:w="0" w:type="dxa"/>
        <w:left w:w="108" w:type="dxa"/>
        <w:bottom w:w="0" w:type="dxa"/>
        <w:right w:w="108" w:type="dxa"/>
      </w:tblCellMar>
    </w:tblPr>
  </w:style>
  <w:style w:type="table" w:customStyle="1" w:styleId="467">
    <w:name w:val="_Style 466"/>
    <w:basedOn w:val="30"/>
    <w:uiPriority w:val="0"/>
    <w:tblPr>
      <w:tblCellMar>
        <w:top w:w="0" w:type="dxa"/>
        <w:left w:w="108" w:type="dxa"/>
        <w:bottom w:w="0" w:type="dxa"/>
        <w:right w:w="108" w:type="dxa"/>
      </w:tblCellMar>
    </w:tblPr>
  </w:style>
  <w:style w:type="table" w:customStyle="1" w:styleId="468">
    <w:name w:val="_Style 467"/>
    <w:basedOn w:val="30"/>
    <w:uiPriority w:val="0"/>
    <w:tblPr>
      <w:tblCellMar>
        <w:top w:w="0" w:type="dxa"/>
        <w:left w:w="108" w:type="dxa"/>
        <w:bottom w:w="0" w:type="dxa"/>
        <w:right w:w="108" w:type="dxa"/>
      </w:tblCellMar>
    </w:tblPr>
  </w:style>
  <w:style w:type="table" w:customStyle="1" w:styleId="469">
    <w:name w:val="_Style 468"/>
    <w:basedOn w:val="30"/>
    <w:uiPriority w:val="0"/>
    <w:tblPr>
      <w:tblCellMar>
        <w:top w:w="100" w:type="dxa"/>
        <w:left w:w="100" w:type="dxa"/>
        <w:bottom w:w="100" w:type="dxa"/>
        <w:right w:w="100" w:type="dxa"/>
      </w:tblCellMar>
    </w:tblPr>
  </w:style>
  <w:style w:type="table" w:customStyle="1" w:styleId="470">
    <w:name w:val="_Style 469"/>
    <w:basedOn w:val="30"/>
    <w:qFormat/>
    <w:uiPriority w:val="0"/>
    <w:tblPr>
      <w:tblCellMar>
        <w:top w:w="55" w:type="dxa"/>
        <w:left w:w="51" w:type="dxa"/>
        <w:bottom w:w="55" w:type="dxa"/>
        <w:right w:w="55" w:type="dxa"/>
      </w:tblCellMar>
    </w:tblPr>
  </w:style>
  <w:style w:type="table" w:customStyle="1" w:styleId="471">
    <w:name w:val="_Style 470"/>
    <w:basedOn w:val="30"/>
    <w:uiPriority w:val="0"/>
    <w:tblPr>
      <w:tblCellMar>
        <w:top w:w="55" w:type="dxa"/>
        <w:left w:w="51" w:type="dxa"/>
        <w:bottom w:w="55" w:type="dxa"/>
        <w:right w:w="55" w:type="dxa"/>
      </w:tblCellMar>
    </w:tblPr>
  </w:style>
  <w:style w:type="table" w:customStyle="1" w:styleId="472">
    <w:name w:val="_Style 471"/>
    <w:basedOn w:val="30"/>
    <w:uiPriority w:val="0"/>
    <w:tblPr>
      <w:tblCellMar>
        <w:top w:w="0" w:type="dxa"/>
        <w:left w:w="108" w:type="dxa"/>
        <w:bottom w:w="0" w:type="dxa"/>
        <w:right w:w="108" w:type="dxa"/>
      </w:tblCellMar>
    </w:tblPr>
  </w:style>
  <w:style w:type="table" w:customStyle="1" w:styleId="473">
    <w:name w:val="_Style 472"/>
    <w:basedOn w:val="30"/>
    <w:uiPriority w:val="0"/>
    <w:tblPr>
      <w:tblCellMar>
        <w:top w:w="55" w:type="dxa"/>
        <w:left w:w="51" w:type="dxa"/>
        <w:bottom w:w="55" w:type="dxa"/>
        <w:right w:w="55" w:type="dxa"/>
      </w:tblCellMar>
    </w:tblPr>
  </w:style>
  <w:style w:type="table" w:customStyle="1" w:styleId="474">
    <w:name w:val="_Style 473"/>
    <w:basedOn w:val="30"/>
    <w:uiPriority w:val="0"/>
    <w:tblPr>
      <w:tblCellMar>
        <w:top w:w="0" w:type="dxa"/>
        <w:left w:w="70" w:type="dxa"/>
        <w:bottom w:w="0" w:type="dxa"/>
        <w:right w:w="70" w:type="dxa"/>
      </w:tblCellMar>
    </w:tblPr>
  </w:style>
  <w:style w:type="table" w:customStyle="1" w:styleId="475">
    <w:name w:val="_Style 474"/>
    <w:basedOn w:val="30"/>
    <w:uiPriority w:val="0"/>
    <w:tblPr>
      <w:tblCellMar>
        <w:top w:w="0" w:type="dxa"/>
        <w:left w:w="65" w:type="dxa"/>
        <w:bottom w:w="0" w:type="dxa"/>
        <w:right w:w="70" w:type="dxa"/>
      </w:tblCellMar>
    </w:tblPr>
  </w:style>
  <w:style w:type="table" w:customStyle="1" w:styleId="476">
    <w:name w:val="_Style 475"/>
    <w:basedOn w:val="30"/>
    <w:uiPriority w:val="0"/>
    <w:tblPr>
      <w:tblCellMar>
        <w:top w:w="0" w:type="dxa"/>
        <w:left w:w="65" w:type="dxa"/>
        <w:bottom w:w="0" w:type="dxa"/>
        <w:right w:w="70" w:type="dxa"/>
      </w:tblCellMar>
    </w:tblPr>
  </w:style>
  <w:style w:type="table" w:customStyle="1" w:styleId="477">
    <w:name w:val="_Style 476"/>
    <w:basedOn w:val="30"/>
    <w:uiPriority w:val="0"/>
    <w:tblPr>
      <w:tblCellMar>
        <w:top w:w="0" w:type="dxa"/>
        <w:left w:w="65" w:type="dxa"/>
        <w:bottom w:w="0" w:type="dxa"/>
        <w:right w:w="70" w:type="dxa"/>
      </w:tblCellMar>
    </w:tblPr>
  </w:style>
  <w:style w:type="table" w:customStyle="1" w:styleId="478">
    <w:name w:val="_Style 477"/>
    <w:basedOn w:val="30"/>
    <w:uiPriority w:val="0"/>
    <w:tblPr>
      <w:tblCellMar>
        <w:top w:w="0" w:type="dxa"/>
        <w:left w:w="60" w:type="dxa"/>
        <w:bottom w:w="0" w:type="dxa"/>
        <w:right w:w="70" w:type="dxa"/>
      </w:tblCellMar>
    </w:tblPr>
  </w:style>
  <w:style w:type="table" w:customStyle="1" w:styleId="479">
    <w:name w:val="_Style 478"/>
    <w:basedOn w:val="30"/>
    <w:uiPriority w:val="0"/>
    <w:tblPr>
      <w:tblCellMar>
        <w:top w:w="0" w:type="dxa"/>
        <w:left w:w="108" w:type="dxa"/>
        <w:bottom w:w="0" w:type="dxa"/>
        <w:right w:w="108" w:type="dxa"/>
      </w:tblCellMar>
    </w:tblPr>
  </w:style>
  <w:style w:type="table" w:customStyle="1" w:styleId="480">
    <w:name w:val="_Style 479"/>
    <w:basedOn w:val="30"/>
    <w:uiPriority w:val="0"/>
    <w:tblPr>
      <w:tblCellMar>
        <w:top w:w="0" w:type="dxa"/>
        <w:left w:w="108" w:type="dxa"/>
        <w:bottom w:w="0" w:type="dxa"/>
        <w:right w:w="108" w:type="dxa"/>
      </w:tblCellMar>
    </w:tblPr>
  </w:style>
  <w:style w:type="table" w:customStyle="1" w:styleId="481">
    <w:name w:val="_Style 480"/>
    <w:basedOn w:val="30"/>
    <w:uiPriority w:val="0"/>
    <w:tblPr>
      <w:tblCellMar>
        <w:top w:w="0" w:type="dxa"/>
        <w:left w:w="22" w:type="dxa"/>
        <w:bottom w:w="0" w:type="dxa"/>
        <w:right w:w="22" w:type="dxa"/>
      </w:tblCellMar>
    </w:tblPr>
  </w:style>
  <w:style w:type="table" w:customStyle="1" w:styleId="482">
    <w:name w:val="_Style 481"/>
    <w:basedOn w:val="30"/>
    <w:uiPriority w:val="0"/>
    <w:tblPr>
      <w:tblCellMar>
        <w:top w:w="0" w:type="dxa"/>
        <w:left w:w="22" w:type="dxa"/>
        <w:bottom w:w="0" w:type="dxa"/>
        <w:right w:w="22" w:type="dxa"/>
      </w:tblCellMar>
    </w:tblPr>
  </w:style>
  <w:style w:type="table" w:customStyle="1" w:styleId="483">
    <w:name w:val="_Style 482"/>
    <w:basedOn w:val="30"/>
    <w:uiPriority w:val="0"/>
    <w:tblPr>
      <w:tblCellMar>
        <w:top w:w="0" w:type="dxa"/>
        <w:left w:w="22" w:type="dxa"/>
        <w:bottom w:w="0" w:type="dxa"/>
        <w:right w:w="22" w:type="dxa"/>
      </w:tblCellMar>
    </w:tblPr>
  </w:style>
  <w:style w:type="table" w:customStyle="1" w:styleId="484">
    <w:name w:val="_Style 483"/>
    <w:basedOn w:val="30"/>
    <w:uiPriority w:val="0"/>
    <w:tblPr>
      <w:tblCellMar>
        <w:top w:w="0" w:type="dxa"/>
        <w:left w:w="22" w:type="dxa"/>
        <w:bottom w:w="0" w:type="dxa"/>
        <w:right w:w="5" w:type="dxa"/>
      </w:tblCellMar>
    </w:tblPr>
  </w:style>
  <w:style w:type="table" w:customStyle="1" w:styleId="485">
    <w:name w:val="_Style 484"/>
    <w:basedOn w:val="30"/>
    <w:uiPriority w:val="0"/>
    <w:tblPr>
      <w:tblCellMar>
        <w:top w:w="0" w:type="dxa"/>
        <w:left w:w="22" w:type="dxa"/>
        <w:bottom w:w="0" w:type="dxa"/>
        <w:right w:w="5" w:type="dxa"/>
      </w:tblCellMar>
    </w:tblPr>
  </w:style>
  <w:style w:type="table" w:customStyle="1" w:styleId="486">
    <w:name w:val="_Style 485"/>
    <w:basedOn w:val="30"/>
    <w:uiPriority w:val="0"/>
    <w:tblPr>
      <w:tblCellMar>
        <w:top w:w="0" w:type="dxa"/>
        <w:left w:w="22" w:type="dxa"/>
        <w:bottom w:w="0" w:type="dxa"/>
        <w:right w:w="5" w:type="dxa"/>
      </w:tblCellMar>
    </w:tblPr>
  </w:style>
  <w:style w:type="table" w:customStyle="1" w:styleId="487">
    <w:name w:val="_Style 486"/>
    <w:basedOn w:val="30"/>
    <w:uiPriority w:val="0"/>
    <w:tblPr>
      <w:tblCellMar>
        <w:top w:w="0" w:type="dxa"/>
        <w:left w:w="22" w:type="dxa"/>
        <w:bottom w:w="0" w:type="dxa"/>
        <w:right w:w="5" w:type="dxa"/>
      </w:tblCellMar>
    </w:tblPr>
  </w:style>
  <w:style w:type="table" w:customStyle="1" w:styleId="488">
    <w:name w:val="_Style 487"/>
    <w:basedOn w:val="30"/>
    <w:uiPriority w:val="0"/>
    <w:tblPr>
      <w:tblCellMar>
        <w:top w:w="0" w:type="dxa"/>
        <w:left w:w="22" w:type="dxa"/>
        <w:bottom w:w="0" w:type="dxa"/>
        <w:right w:w="22" w:type="dxa"/>
      </w:tblCellMar>
    </w:tblPr>
  </w:style>
  <w:style w:type="table" w:customStyle="1" w:styleId="489">
    <w:name w:val="_Style 488"/>
    <w:basedOn w:val="30"/>
    <w:uiPriority w:val="0"/>
    <w:tblPr>
      <w:tblCellMar>
        <w:top w:w="0" w:type="dxa"/>
        <w:left w:w="22" w:type="dxa"/>
        <w:bottom w:w="0" w:type="dxa"/>
        <w:right w:w="5" w:type="dxa"/>
      </w:tblCellMar>
    </w:tblPr>
  </w:style>
  <w:style w:type="table" w:customStyle="1" w:styleId="490">
    <w:name w:val="_Style 489"/>
    <w:basedOn w:val="30"/>
    <w:uiPriority w:val="0"/>
    <w:tblPr>
      <w:tblCellMar>
        <w:top w:w="0" w:type="dxa"/>
        <w:left w:w="22" w:type="dxa"/>
        <w:bottom w:w="0" w:type="dxa"/>
        <w:right w:w="5" w:type="dxa"/>
      </w:tblCellMar>
    </w:tblPr>
  </w:style>
  <w:style w:type="table" w:customStyle="1" w:styleId="491">
    <w:name w:val="_Style 490"/>
    <w:basedOn w:val="30"/>
    <w:uiPriority w:val="0"/>
    <w:tblPr>
      <w:tblCellMar>
        <w:top w:w="0" w:type="dxa"/>
        <w:left w:w="22" w:type="dxa"/>
        <w:bottom w:w="0" w:type="dxa"/>
        <w:right w:w="5" w:type="dxa"/>
      </w:tblCellMar>
    </w:tblPr>
  </w:style>
  <w:style w:type="table" w:customStyle="1" w:styleId="492">
    <w:name w:val="_Style 491"/>
    <w:basedOn w:val="30"/>
    <w:uiPriority w:val="0"/>
    <w:tblPr>
      <w:tblCellMar>
        <w:top w:w="0" w:type="dxa"/>
        <w:left w:w="22" w:type="dxa"/>
        <w:bottom w:w="0" w:type="dxa"/>
        <w:right w:w="5" w:type="dxa"/>
      </w:tblCellMar>
    </w:tblPr>
  </w:style>
  <w:style w:type="table" w:customStyle="1" w:styleId="493">
    <w:name w:val="_Style 492"/>
    <w:basedOn w:val="30"/>
    <w:uiPriority w:val="0"/>
    <w:tblPr>
      <w:tblCellMar>
        <w:top w:w="0" w:type="dxa"/>
        <w:left w:w="22" w:type="dxa"/>
        <w:bottom w:w="0" w:type="dxa"/>
        <w:right w:w="5" w:type="dxa"/>
      </w:tblCellMar>
    </w:tblPr>
  </w:style>
  <w:style w:type="table" w:customStyle="1" w:styleId="494">
    <w:name w:val="_Style 493"/>
    <w:basedOn w:val="30"/>
    <w:uiPriority w:val="0"/>
    <w:tblPr>
      <w:tblCellMar>
        <w:top w:w="0" w:type="dxa"/>
        <w:left w:w="22" w:type="dxa"/>
        <w:bottom w:w="0" w:type="dxa"/>
        <w:right w:w="22" w:type="dxa"/>
      </w:tblCellMar>
    </w:tblPr>
  </w:style>
  <w:style w:type="table" w:customStyle="1" w:styleId="495">
    <w:name w:val="_Style 494"/>
    <w:basedOn w:val="30"/>
    <w:uiPriority w:val="0"/>
    <w:tblPr>
      <w:tblCellMar>
        <w:top w:w="0" w:type="dxa"/>
        <w:left w:w="22" w:type="dxa"/>
        <w:bottom w:w="0" w:type="dxa"/>
        <w:right w:w="5" w:type="dxa"/>
      </w:tblCellMar>
    </w:tblPr>
  </w:style>
  <w:style w:type="table" w:customStyle="1" w:styleId="496">
    <w:name w:val="_Style 495"/>
    <w:basedOn w:val="30"/>
    <w:uiPriority w:val="0"/>
    <w:tblPr>
      <w:tblCellMar>
        <w:top w:w="0" w:type="dxa"/>
        <w:left w:w="22" w:type="dxa"/>
        <w:bottom w:w="0" w:type="dxa"/>
        <w:right w:w="22" w:type="dxa"/>
      </w:tblCellMar>
    </w:tblPr>
  </w:style>
  <w:style w:type="table" w:customStyle="1" w:styleId="497">
    <w:name w:val="_Style 496"/>
    <w:basedOn w:val="30"/>
    <w:uiPriority w:val="0"/>
    <w:tblPr>
      <w:tblCellMar>
        <w:top w:w="0" w:type="dxa"/>
        <w:left w:w="22" w:type="dxa"/>
        <w:bottom w:w="0" w:type="dxa"/>
        <w:right w:w="5" w:type="dxa"/>
      </w:tblCellMar>
    </w:tblPr>
  </w:style>
  <w:style w:type="table" w:customStyle="1" w:styleId="498">
    <w:name w:val="_Style 497"/>
    <w:basedOn w:val="30"/>
    <w:uiPriority w:val="0"/>
    <w:tblPr>
      <w:tblCellMar>
        <w:top w:w="0" w:type="dxa"/>
        <w:left w:w="22" w:type="dxa"/>
        <w:bottom w:w="0" w:type="dxa"/>
        <w:right w:w="5" w:type="dxa"/>
      </w:tblCellMar>
    </w:tblPr>
  </w:style>
  <w:style w:type="table" w:customStyle="1" w:styleId="499">
    <w:name w:val="_Style 498"/>
    <w:basedOn w:val="30"/>
    <w:uiPriority w:val="0"/>
    <w:tblPr>
      <w:tblCellMar>
        <w:top w:w="0" w:type="dxa"/>
        <w:left w:w="22" w:type="dxa"/>
        <w:bottom w:w="0" w:type="dxa"/>
        <w:right w:w="5" w:type="dxa"/>
      </w:tblCellMar>
    </w:tblPr>
  </w:style>
  <w:style w:type="table" w:customStyle="1" w:styleId="500">
    <w:name w:val="_Style 499"/>
    <w:basedOn w:val="30"/>
    <w:uiPriority w:val="0"/>
    <w:tblPr>
      <w:tblCellMar>
        <w:top w:w="0" w:type="dxa"/>
        <w:left w:w="22" w:type="dxa"/>
        <w:bottom w:w="0" w:type="dxa"/>
        <w:right w:w="5" w:type="dxa"/>
      </w:tblCellMar>
    </w:tblPr>
  </w:style>
  <w:style w:type="table" w:customStyle="1" w:styleId="501">
    <w:name w:val="_Style 500"/>
    <w:basedOn w:val="30"/>
    <w:uiPriority w:val="0"/>
    <w:tblPr>
      <w:tblCellMar>
        <w:top w:w="0" w:type="dxa"/>
        <w:left w:w="22" w:type="dxa"/>
        <w:bottom w:w="0" w:type="dxa"/>
        <w:right w:w="22" w:type="dxa"/>
      </w:tblCellMar>
    </w:tblPr>
  </w:style>
  <w:style w:type="table" w:customStyle="1" w:styleId="502">
    <w:name w:val="_Style 501"/>
    <w:basedOn w:val="30"/>
    <w:uiPriority w:val="0"/>
    <w:tblPr>
      <w:tblCellMar>
        <w:top w:w="0" w:type="dxa"/>
        <w:left w:w="22" w:type="dxa"/>
        <w:bottom w:w="0" w:type="dxa"/>
        <w:right w:w="22" w:type="dxa"/>
      </w:tblCellMar>
    </w:tblPr>
  </w:style>
  <w:style w:type="table" w:customStyle="1" w:styleId="503">
    <w:name w:val="_Style 502"/>
    <w:basedOn w:val="30"/>
    <w:uiPriority w:val="0"/>
    <w:tblPr>
      <w:tblCellMar>
        <w:top w:w="0" w:type="dxa"/>
        <w:left w:w="22" w:type="dxa"/>
        <w:bottom w:w="0" w:type="dxa"/>
        <w:right w:w="22" w:type="dxa"/>
      </w:tblCellMar>
    </w:tblPr>
  </w:style>
  <w:style w:type="table" w:customStyle="1" w:styleId="504">
    <w:name w:val="_Style 503"/>
    <w:basedOn w:val="30"/>
    <w:uiPriority w:val="0"/>
    <w:tblPr>
      <w:tblCellMar>
        <w:top w:w="0" w:type="dxa"/>
        <w:left w:w="22" w:type="dxa"/>
        <w:bottom w:w="0" w:type="dxa"/>
        <w:right w:w="22" w:type="dxa"/>
      </w:tblCellMar>
    </w:tblPr>
  </w:style>
  <w:style w:type="table" w:customStyle="1" w:styleId="505">
    <w:name w:val="_Style 504"/>
    <w:basedOn w:val="30"/>
    <w:uiPriority w:val="0"/>
    <w:tblPr>
      <w:tblCellMar>
        <w:top w:w="0" w:type="dxa"/>
        <w:left w:w="22" w:type="dxa"/>
        <w:bottom w:w="0" w:type="dxa"/>
        <w:right w:w="5" w:type="dxa"/>
      </w:tblCellMar>
    </w:tblPr>
  </w:style>
  <w:style w:type="table" w:customStyle="1" w:styleId="506">
    <w:name w:val="_Style 505"/>
    <w:basedOn w:val="30"/>
    <w:uiPriority w:val="0"/>
    <w:tblPr>
      <w:tblCellMar>
        <w:top w:w="0" w:type="dxa"/>
        <w:left w:w="0" w:type="dxa"/>
        <w:bottom w:w="0" w:type="dxa"/>
        <w:right w:w="22" w:type="dxa"/>
      </w:tblCellMar>
    </w:tblPr>
  </w:style>
  <w:style w:type="table" w:customStyle="1" w:styleId="507">
    <w:name w:val="_Style 506"/>
    <w:basedOn w:val="30"/>
    <w:uiPriority w:val="0"/>
    <w:tblPr>
      <w:tblCellMar>
        <w:top w:w="0" w:type="dxa"/>
        <w:left w:w="22" w:type="dxa"/>
        <w:bottom w:w="0" w:type="dxa"/>
        <w:right w:w="5" w:type="dxa"/>
      </w:tblCellMar>
    </w:tblPr>
  </w:style>
  <w:style w:type="table" w:customStyle="1" w:styleId="508">
    <w:name w:val="_Style 507"/>
    <w:basedOn w:val="30"/>
    <w:uiPriority w:val="0"/>
    <w:tblPr>
      <w:tblCellMar>
        <w:top w:w="0" w:type="dxa"/>
        <w:left w:w="22" w:type="dxa"/>
        <w:bottom w:w="0" w:type="dxa"/>
        <w:right w:w="5" w:type="dxa"/>
      </w:tblCellMar>
    </w:tblPr>
  </w:style>
  <w:style w:type="table" w:customStyle="1" w:styleId="509">
    <w:name w:val="_Style 508"/>
    <w:basedOn w:val="30"/>
    <w:uiPriority w:val="0"/>
    <w:tblPr>
      <w:tblCellMar>
        <w:top w:w="0" w:type="dxa"/>
        <w:left w:w="22" w:type="dxa"/>
        <w:bottom w:w="0" w:type="dxa"/>
        <w:right w:w="5" w:type="dxa"/>
      </w:tblCellMar>
    </w:tblPr>
  </w:style>
  <w:style w:type="table" w:customStyle="1" w:styleId="510">
    <w:name w:val="_Style 509"/>
    <w:basedOn w:val="30"/>
    <w:uiPriority w:val="0"/>
    <w:tblPr>
      <w:tblCellMar>
        <w:top w:w="0" w:type="dxa"/>
        <w:left w:w="22" w:type="dxa"/>
        <w:bottom w:w="0" w:type="dxa"/>
        <w:right w:w="5" w:type="dxa"/>
      </w:tblCellMar>
    </w:tblPr>
  </w:style>
  <w:style w:type="table" w:customStyle="1" w:styleId="511">
    <w:name w:val="_Style 510"/>
    <w:basedOn w:val="30"/>
    <w:uiPriority w:val="0"/>
    <w:tblPr>
      <w:tblCellMar>
        <w:top w:w="0" w:type="dxa"/>
        <w:left w:w="22" w:type="dxa"/>
        <w:bottom w:w="0" w:type="dxa"/>
        <w:right w:w="5" w:type="dxa"/>
      </w:tblCellMar>
    </w:tblPr>
  </w:style>
  <w:style w:type="table" w:customStyle="1" w:styleId="512">
    <w:name w:val="_Style 511"/>
    <w:basedOn w:val="30"/>
    <w:uiPriority w:val="0"/>
    <w:tblPr>
      <w:tblCellMar>
        <w:top w:w="0" w:type="dxa"/>
        <w:left w:w="15" w:type="dxa"/>
        <w:bottom w:w="0" w:type="dxa"/>
        <w:right w:w="15" w:type="dxa"/>
      </w:tblCellMar>
    </w:tblPr>
  </w:style>
  <w:style w:type="table" w:customStyle="1" w:styleId="513">
    <w:name w:val="_Style 512"/>
    <w:basedOn w:val="30"/>
    <w:uiPriority w:val="0"/>
    <w:tblPr>
      <w:tblCellMar>
        <w:top w:w="0" w:type="dxa"/>
        <w:left w:w="22" w:type="dxa"/>
        <w:bottom w:w="0" w:type="dxa"/>
        <w:right w:w="5" w:type="dxa"/>
      </w:tblCellMar>
    </w:tblPr>
  </w:style>
  <w:style w:type="table" w:customStyle="1" w:styleId="514">
    <w:name w:val="_Style 513"/>
    <w:basedOn w:val="30"/>
    <w:uiPriority w:val="0"/>
    <w:tblPr>
      <w:tblCellMar>
        <w:top w:w="0" w:type="dxa"/>
        <w:left w:w="22" w:type="dxa"/>
        <w:bottom w:w="0" w:type="dxa"/>
        <w:right w:w="5" w:type="dxa"/>
      </w:tblCellMar>
    </w:tblPr>
  </w:style>
  <w:style w:type="table" w:customStyle="1" w:styleId="515">
    <w:name w:val="_Style 514"/>
    <w:basedOn w:val="30"/>
    <w:uiPriority w:val="0"/>
    <w:tblPr>
      <w:tblCellMar>
        <w:top w:w="0" w:type="dxa"/>
        <w:left w:w="22" w:type="dxa"/>
        <w:bottom w:w="0" w:type="dxa"/>
        <w:right w:w="5" w:type="dxa"/>
      </w:tblCellMar>
    </w:tblPr>
  </w:style>
  <w:style w:type="table" w:customStyle="1" w:styleId="516">
    <w:name w:val="_Style 515"/>
    <w:basedOn w:val="30"/>
    <w:uiPriority w:val="0"/>
    <w:tblPr>
      <w:tblCellMar>
        <w:top w:w="0" w:type="dxa"/>
        <w:left w:w="22" w:type="dxa"/>
        <w:bottom w:w="0" w:type="dxa"/>
        <w:right w:w="22" w:type="dxa"/>
      </w:tblCellMar>
    </w:tblPr>
  </w:style>
  <w:style w:type="table" w:customStyle="1" w:styleId="517">
    <w:name w:val="_Style 516"/>
    <w:basedOn w:val="30"/>
    <w:uiPriority w:val="0"/>
    <w:tblPr>
      <w:tblCellMar>
        <w:top w:w="0" w:type="dxa"/>
        <w:left w:w="22" w:type="dxa"/>
        <w:bottom w:w="0" w:type="dxa"/>
        <w:right w:w="22" w:type="dxa"/>
      </w:tblCellMar>
    </w:tblPr>
  </w:style>
  <w:style w:type="table" w:customStyle="1" w:styleId="518">
    <w:name w:val="_Style 517"/>
    <w:basedOn w:val="30"/>
    <w:uiPriority w:val="0"/>
    <w:tblPr>
      <w:tblCellMar>
        <w:top w:w="0" w:type="dxa"/>
        <w:left w:w="22" w:type="dxa"/>
        <w:bottom w:w="0" w:type="dxa"/>
        <w:right w:w="22" w:type="dxa"/>
      </w:tblCellMar>
    </w:tblPr>
  </w:style>
  <w:style w:type="table" w:customStyle="1" w:styleId="519">
    <w:name w:val="_Style 518"/>
    <w:basedOn w:val="30"/>
    <w:uiPriority w:val="0"/>
    <w:tblPr>
      <w:tblCellMar>
        <w:top w:w="0" w:type="dxa"/>
        <w:left w:w="22" w:type="dxa"/>
        <w:bottom w:w="0" w:type="dxa"/>
        <w:right w:w="5" w:type="dxa"/>
      </w:tblCellMar>
    </w:tblPr>
  </w:style>
  <w:style w:type="table" w:customStyle="1" w:styleId="520">
    <w:name w:val="_Style 519"/>
    <w:basedOn w:val="30"/>
    <w:uiPriority w:val="0"/>
    <w:tblPr>
      <w:tblCellMar>
        <w:top w:w="0" w:type="dxa"/>
        <w:left w:w="22" w:type="dxa"/>
        <w:bottom w:w="0" w:type="dxa"/>
        <w:right w:w="22" w:type="dxa"/>
      </w:tblCellMar>
    </w:tblPr>
  </w:style>
  <w:style w:type="table" w:customStyle="1" w:styleId="521">
    <w:name w:val="_Style 520"/>
    <w:basedOn w:val="30"/>
    <w:uiPriority w:val="0"/>
    <w:tblPr>
      <w:tblCellMar>
        <w:top w:w="0" w:type="dxa"/>
        <w:left w:w="22" w:type="dxa"/>
        <w:bottom w:w="0" w:type="dxa"/>
        <w:right w:w="22" w:type="dxa"/>
      </w:tblCellMar>
    </w:tblPr>
  </w:style>
  <w:style w:type="table" w:customStyle="1" w:styleId="522">
    <w:name w:val="_Style 521"/>
    <w:basedOn w:val="30"/>
    <w:uiPriority w:val="0"/>
    <w:tblPr>
      <w:tblCellMar>
        <w:top w:w="0" w:type="dxa"/>
        <w:left w:w="22" w:type="dxa"/>
        <w:bottom w:w="0" w:type="dxa"/>
        <w:right w:w="5" w:type="dxa"/>
      </w:tblCellMar>
    </w:tblPr>
  </w:style>
  <w:style w:type="table" w:customStyle="1" w:styleId="523">
    <w:name w:val="_Style 522"/>
    <w:basedOn w:val="30"/>
    <w:uiPriority w:val="0"/>
    <w:tblPr>
      <w:tblCellMar>
        <w:top w:w="0" w:type="dxa"/>
        <w:left w:w="22" w:type="dxa"/>
        <w:bottom w:w="0" w:type="dxa"/>
        <w:right w:w="5" w:type="dxa"/>
      </w:tblCellMar>
    </w:tblPr>
  </w:style>
  <w:style w:type="table" w:customStyle="1" w:styleId="524">
    <w:name w:val="_Style 523"/>
    <w:basedOn w:val="30"/>
    <w:uiPriority w:val="0"/>
    <w:tblPr>
      <w:tblCellMar>
        <w:top w:w="0" w:type="dxa"/>
        <w:left w:w="22" w:type="dxa"/>
        <w:bottom w:w="0" w:type="dxa"/>
        <w:right w:w="5" w:type="dxa"/>
      </w:tblCellMar>
    </w:tblPr>
  </w:style>
  <w:style w:type="table" w:customStyle="1" w:styleId="525">
    <w:name w:val="_Style 524"/>
    <w:basedOn w:val="30"/>
    <w:uiPriority w:val="0"/>
    <w:tblPr>
      <w:tblCellMar>
        <w:top w:w="0" w:type="dxa"/>
        <w:left w:w="22" w:type="dxa"/>
        <w:bottom w:w="0" w:type="dxa"/>
        <w:right w:w="5" w:type="dxa"/>
      </w:tblCellMar>
    </w:tblPr>
  </w:style>
  <w:style w:type="table" w:customStyle="1" w:styleId="526">
    <w:name w:val="_Style 525"/>
    <w:basedOn w:val="30"/>
    <w:uiPriority w:val="0"/>
    <w:tblPr>
      <w:tblCellMar>
        <w:top w:w="0" w:type="dxa"/>
        <w:left w:w="22" w:type="dxa"/>
        <w:bottom w:w="0" w:type="dxa"/>
        <w:right w:w="22" w:type="dxa"/>
      </w:tblCellMar>
    </w:tblPr>
  </w:style>
  <w:style w:type="table" w:customStyle="1" w:styleId="527">
    <w:name w:val="_Style 526"/>
    <w:basedOn w:val="30"/>
    <w:uiPriority w:val="0"/>
    <w:tblPr>
      <w:tblCellMar>
        <w:top w:w="0" w:type="dxa"/>
        <w:left w:w="22" w:type="dxa"/>
        <w:bottom w:w="0" w:type="dxa"/>
        <w:right w:w="5" w:type="dxa"/>
      </w:tblCellMar>
    </w:tblPr>
  </w:style>
  <w:style w:type="table" w:customStyle="1" w:styleId="528">
    <w:name w:val="_Style 527"/>
    <w:basedOn w:val="30"/>
    <w:uiPriority w:val="0"/>
    <w:tblPr>
      <w:tblCellMar>
        <w:top w:w="0" w:type="dxa"/>
        <w:left w:w="22" w:type="dxa"/>
        <w:bottom w:w="0" w:type="dxa"/>
        <w:right w:w="5" w:type="dxa"/>
      </w:tblCellMar>
    </w:tblPr>
  </w:style>
  <w:style w:type="table" w:customStyle="1" w:styleId="529">
    <w:name w:val="_Style 528"/>
    <w:basedOn w:val="30"/>
    <w:uiPriority w:val="0"/>
    <w:tblPr>
      <w:tblCellMar>
        <w:top w:w="0" w:type="dxa"/>
        <w:left w:w="22" w:type="dxa"/>
        <w:bottom w:w="0" w:type="dxa"/>
        <w:right w:w="5" w:type="dxa"/>
      </w:tblCellMar>
    </w:tblPr>
  </w:style>
  <w:style w:type="table" w:customStyle="1" w:styleId="530">
    <w:name w:val="_Style 529"/>
    <w:basedOn w:val="30"/>
    <w:uiPriority w:val="0"/>
    <w:tblPr>
      <w:tblCellMar>
        <w:top w:w="0" w:type="dxa"/>
        <w:left w:w="22" w:type="dxa"/>
        <w:bottom w:w="0" w:type="dxa"/>
        <w:right w:w="5" w:type="dxa"/>
      </w:tblCellMar>
    </w:tblPr>
  </w:style>
  <w:style w:type="table" w:customStyle="1" w:styleId="531">
    <w:name w:val="_Style 530"/>
    <w:basedOn w:val="30"/>
    <w:uiPriority w:val="0"/>
    <w:tblPr>
      <w:tblCellMar>
        <w:top w:w="0" w:type="dxa"/>
        <w:left w:w="22" w:type="dxa"/>
        <w:bottom w:w="0" w:type="dxa"/>
        <w:right w:w="5" w:type="dxa"/>
      </w:tblCellMar>
    </w:tblPr>
  </w:style>
  <w:style w:type="table" w:customStyle="1" w:styleId="532">
    <w:name w:val="_Style 531"/>
    <w:basedOn w:val="30"/>
    <w:uiPriority w:val="0"/>
    <w:tblPr>
      <w:tblCellMar>
        <w:top w:w="0" w:type="dxa"/>
        <w:left w:w="22" w:type="dxa"/>
        <w:bottom w:w="0" w:type="dxa"/>
        <w:right w:w="22" w:type="dxa"/>
      </w:tblCellMar>
    </w:tblPr>
  </w:style>
  <w:style w:type="table" w:customStyle="1" w:styleId="533">
    <w:name w:val="_Style 532"/>
    <w:basedOn w:val="30"/>
    <w:uiPriority w:val="0"/>
    <w:tblPr>
      <w:tblCellMar>
        <w:top w:w="0" w:type="dxa"/>
        <w:left w:w="22" w:type="dxa"/>
        <w:bottom w:w="0" w:type="dxa"/>
        <w:right w:w="5" w:type="dxa"/>
      </w:tblCellMar>
    </w:tblPr>
  </w:style>
  <w:style w:type="table" w:customStyle="1" w:styleId="534">
    <w:name w:val="_Style 533"/>
    <w:basedOn w:val="30"/>
    <w:uiPriority w:val="0"/>
    <w:tblPr>
      <w:tblCellMar>
        <w:top w:w="0" w:type="dxa"/>
        <w:left w:w="22" w:type="dxa"/>
        <w:bottom w:w="0" w:type="dxa"/>
        <w:right w:w="5" w:type="dxa"/>
      </w:tblCellMar>
    </w:tblPr>
  </w:style>
  <w:style w:type="table" w:customStyle="1" w:styleId="535">
    <w:name w:val="_Style 534"/>
    <w:basedOn w:val="30"/>
    <w:uiPriority w:val="0"/>
    <w:tblPr>
      <w:tblCellMar>
        <w:top w:w="0" w:type="dxa"/>
        <w:left w:w="22" w:type="dxa"/>
        <w:bottom w:w="0" w:type="dxa"/>
        <w:right w:w="22" w:type="dxa"/>
      </w:tblCellMar>
    </w:tblPr>
  </w:style>
  <w:style w:type="table" w:customStyle="1" w:styleId="536">
    <w:name w:val="_Style 535"/>
    <w:basedOn w:val="30"/>
    <w:uiPriority w:val="0"/>
    <w:tblPr>
      <w:tblCellMar>
        <w:top w:w="0" w:type="dxa"/>
        <w:left w:w="22" w:type="dxa"/>
        <w:bottom w:w="0" w:type="dxa"/>
        <w:right w:w="22" w:type="dxa"/>
      </w:tblCellMar>
    </w:tblPr>
  </w:style>
  <w:style w:type="table" w:customStyle="1" w:styleId="537">
    <w:name w:val="_Style 536"/>
    <w:basedOn w:val="30"/>
    <w:uiPriority w:val="0"/>
    <w:tblPr>
      <w:tblCellMar>
        <w:top w:w="0" w:type="dxa"/>
        <w:left w:w="22" w:type="dxa"/>
        <w:bottom w:w="0" w:type="dxa"/>
        <w:right w:w="5" w:type="dxa"/>
      </w:tblCellMar>
    </w:tblPr>
  </w:style>
  <w:style w:type="table" w:customStyle="1" w:styleId="538">
    <w:name w:val="_Style 537"/>
    <w:basedOn w:val="30"/>
    <w:uiPriority w:val="0"/>
    <w:tblPr>
      <w:tblCellMar>
        <w:top w:w="0" w:type="dxa"/>
        <w:left w:w="22" w:type="dxa"/>
        <w:bottom w:w="0" w:type="dxa"/>
        <w:right w:w="22" w:type="dxa"/>
      </w:tblCellMar>
    </w:tblPr>
  </w:style>
  <w:style w:type="table" w:customStyle="1" w:styleId="539">
    <w:name w:val="_Style 538"/>
    <w:basedOn w:val="30"/>
    <w:uiPriority w:val="0"/>
    <w:tblPr>
      <w:tblCellMar>
        <w:top w:w="0" w:type="dxa"/>
        <w:left w:w="22" w:type="dxa"/>
        <w:bottom w:w="0" w:type="dxa"/>
        <w:right w:w="22" w:type="dxa"/>
      </w:tblCellMar>
    </w:tblPr>
  </w:style>
  <w:style w:type="table" w:customStyle="1" w:styleId="540">
    <w:name w:val="_Style 539"/>
    <w:basedOn w:val="30"/>
    <w:uiPriority w:val="0"/>
    <w:tblPr>
      <w:tblCellMar>
        <w:top w:w="0" w:type="dxa"/>
        <w:left w:w="22" w:type="dxa"/>
        <w:bottom w:w="0" w:type="dxa"/>
        <w:right w:w="22" w:type="dxa"/>
      </w:tblCellMar>
    </w:tblPr>
  </w:style>
  <w:style w:type="table" w:customStyle="1" w:styleId="541">
    <w:name w:val="_Style 540"/>
    <w:basedOn w:val="30"/>
    <w:uiPriority w:val="0"/>
    <w:tblPr>
      <w:tblCellMar>
        <w:top w:w="0" w:type="dxa"/>
        <w:left w:w="22" w:type="dxa"/>
        <w:bottom w:w="0" w:type="dxa"/>
        <w:right w:w="5" w:type="dxa"/>
      </w:tblCellMar>
    </w:tblPr>
  </w:style>
  <w:style w:type="table" w:customStyle="1" w:styleId="542">
    <w:name w:val="_Style 541"/>
    <w:basedOn w:val="30"/>
    <w:uiPriority w:val="0"/>
    <w:tblPr>
      <w:tblCellMar>
        <w:top w:w="0" w:type="dxa"/>
        <w:left w:w="0" w:type="dxa"/>
        <w:bottom w:w="0" w:type="dxa"/>
        <w:right w:w="0" w:type="dxa"/>
      </w:tblCellMar>
    </w:tblPr>
  </w:style>
  <w:style w:type="table" w:customStyle="1" w:styleId="543">
    <w:name w:val="_Style 542"/>
    <w:basedOn w:val="30"/>
    <w:uiPriority w:val="0"/>
    <w:tblPr>
      <w:tblCellMar>
        <w:top w:w="0" w:type="dxa"/>
        <w:left w:w="22" w:type="dxa"/>
        <w:bottom w:w="0" w:type="dxa"/>
        <w:right w:w="22" w:type="dxa"/>
      </w:tblCellMar>
    </w:tblPr>
  </w:style>
  <w:style w:type="table" w:customStyle="1" w:styleId="544">
    <w:name w:val="_Style 543"/>
    <w:basedOn w:val="30"/>
    <w:uiPriority w:val="0"/>
    <w:tblPr>
      <w:tblCellMar>
        <w:top w:w="0" w:type="dxa"/>
        <w:left w:w="22" w:type="dxa"/>
        <w:bottom w:w="0" w:type="dxa"/>
        <w:right w:w="5" w:type="dxa"/>
      </w:tblCellMar>
    </w:tblPr>
  </w:style>
  <w:style w:type="table" w:customStyle="1" w:styleId="545">
    <w:name w:val="_Style 544"/>
    <w:basedOn w:val="30"/>
    <w:uiPriority w:val="0"/>
    <w:tblPr>
      <w:tblCellMar>
        <w:top w:w="0" w:type="dxa"/>
        <w:left w:w="22" w:type="dxa"/>
        <w:bottom w:w="0" w:type="dxa"/>
        <w:right w:w="5" w:type="dxa"/>
      </w:tblCellMar>
    </w:tblPr>
  </w:style>
  <w:style w:type="table" w:customStyle="1" w:styleId="546">
    <w:name w:val="_Style 545"/>
    <w:basedOn w:val="30"/>
    <w:uiPriority w:val="0"/>
    <w:tblPr>
      <w:tblCellMar>
        <w:top w:w="0" w:type="dxa"/>
        <w:left w:w="22" w:type="dxa"/>
        <w:bottom w:w="0" w:type="dxa"/>
        <w:right w:w="22" w:type="dxa"/>
      </w:tblCellMar>
    </w:tblPr>
  </w:style>
  <w:style w:type="table" w:customStyle="1" w:styleId="547">
    <w:name w:val="_Style 546"/>
    <w:basedOn w:val="30"/>
    <w:uiPriority w:val="0"/>
    <w:tblPr>
      <w:tblCellMar>
        <w:top w:w="0" w:type="dxa"/>
        <w:left w:w="22" w:type="dxa"/>
        <w:bottom w:w="0" w:type="dxa"/>
        <w:right w:w="22" w:type="dxa"/>
      </w:tblCellMar>
    </w:tblPr>
  </w:style>
  <w:style w:type="table" w:customStyle="1" w:styleId="548">
    <w:name w:val="_Style 547"/>
    <w:basedOn w:val="30"/>
    <w:uiPriority w:val="0"/>
    <w:tblPr>
      <w:tblCellMar>
        <w:top w:w="0" w:type="dxa"/>
        <w:left w:w="22" w:type="dxa"/>
        <w:bottom w:w="0" w:type="dxa"/>
        <w:right w:w="22" w:type="dxa"/>
      </w:tblCellMar>
    </w:tblPr>
  </w:style>
  <w:style w:type="table" w:customStyle="1" w:styleId="549">
    <w:name w:val="_Style 548"/>
    <w:basedOn w:val="30"/>
    <w:uiPriority w:val="0"/>
    <w:tblPr>
      <w:tblCellMar>
        <w:top w:w="0" w:type="dxa"/>
        <w:left w:w="22" w:type="dxa"/>
        <w:bottom w:w="0" w:type="dxa"/>
        <w:right w:w="22" w:type="dxa"/>
      </w:tblCellMar>
    </w:tblPr>
  </w:style>
  <w:style w:type="table" w:customStyle="1" w:styleId="550">
    <w:name w:val="_Style 549"/>
    <w:basedOn w:val="30"/>
    <w:uiPriority w:val="0"/>
    <w:tblPr>
      <w:tblCellMar>
        <w:top w:w="0" w:type="dxa"/>
        <w:left w:w="22" w:type="dxa"/>
        <w:bottom w:w="0" w:type="dxa"/>
        <w:right w:w="22" w:type="dxa"/>
      </w:tblCellMar>
    </w:tblPr>
  </w:style>
  <w:style w:type="table" w:customStyle="1" w:styleId="551">
    <w:name w:val="_Style 550"/>
    <w:basedOn w:val="30"/>
    <w:uiPriority w:val="0"/>
    <w:tblPr>
      <w:tblCellMar>
        <w:top w:w="0" w:type="dxa"/>
        <w:left w:w="22" w:type="dxa"/>
        <w:bottom w:w="0" w:type="dxa"/>
        <w:right w:w="5" w:type="dxa"/>
      </w:tblCellMar>
    </w:tblPr>
  </w:style>
  <w:style w:type="table" w:customStyle="1" w:styleId="552">
    <w:name w:val="_Style 551"/>
    <w:basedOn w:val="30"/>
    <w:uiPriority w:val="0"/>
    <w:tblPr>
      <w:tblCellMar>
        <w:top w:w="0" w:type="dxa"/>
        <w:left w:w="22" w:type="dxa"/>
        <w:bottom w:w="0" w:type="dxa"/>
        <w:right w:w="22" w:type="dxa"/>
      </w:tblCellMar>
    </w:tblPr>
  </w:style>
  <w:style w:type="table" w:customStyle="1" w:styleId="553">
    <w:name w:val="_Style 552"/>
    <w:basedOn w:val="30"/>
    <w:uiPriority w:val="0"/>
    <w:tblPr>
      <w:tblCellMar>
        <w:top w:w="0" w:type="dxa"/>
        <w:left w:w="22" w:type="dxa"/>
        <w:bottom w:w="0" w:type="dxa"/>
        <w:right w:w="22" w:type="dxa"/>
      </w:tblCellMar>
    </w:tblPr>
  </w:style>
  <w:style w:type="table" w:customStyle="1" w:styleId="554">
    <w:name w:val="_Style 553"/>
    <w:basedOn w:val="30"/>
    <w:uiPriority w:val="0"/>
    <w:tblPr>
      <w:tblCellMar>
        <w:top w:w="0" w:type="dxa"/>
        <w:left w:w="22" w:type="dxa"/>
        <w:bottom w:w="0" w:type="dxa"/>
        <w:right w:w="5" w:type="dxa"/>
      </w:tblCellMar>
    </w:tblPr>
  </w:style>
  <w:style w:type="table" w:customStyle="1" w:styleId="555">
    <w:name w:val="_Style 554"/>
    <w:basedOn w:val="30"/>
    <w:uiPriority w:val="0"/>
    <w:tblPr>
      <w:tblCellMar>
        <w:top w:w="0" w:type="dxa"/>
        <w:left w:w="22" w:type="dxa"/>
        <w:bottom w:w="0" w:type="dxa"/>
        <w:right w:w="5" w:type="dxa"/>
      </w:tblCellMar>
    </w:tblPr>
  </w:style>
  <w:style w:type="table" w:customStyle="1" w:styleId="556">
    <w:name w:val="_Style 555"/>
    <w:basedOn w:val="30"/>
    <w:uiPriority w:val="0"/>
    <w:tblPr>
      <w:tblCellMar>
        <w:top w:w="0" w:type="dxa"/>
        <w:left w:w="22" w:type="dxa"/>
        <w:bottom w:w="0" w:type="dxa"/>
        <w:right w:w="5" w:type="dxa"/>
      </w:tblCellMar>
    </w:tblPr>
  </w:style>
  <w:style w:type="table" w:customStyle="1" w:styleId="557">
    <w:name w:val="_Style 556"/>
    <w:basedOn w:val="30"/>
    <w:uiPriority w:val="0"/>
    <w:tblPr>
      <w:tblCellMar>
        <w:top w:w="0" w:type="dxa"/>
        <w:left w:w="22" w:type="dxa"/>
        <w:bottom w:w="0" w:type="dxa"/>
        <w:right w:w="5" w:type="dxa"/>
      </w:tblCellMar>
    </w:tblPr>
  </w:style>
  <w:style w:type="table" w:customStyle="1" w:styleId="558">
    <w:name w:val="_Style 557"/>
    <w:basedOn w:val="30"/>
    <w:uiPriority w:val="0"/>
    <w:tblPr>
      <w:tblCellMar>
        <w:top w:w="0" w:type="dxa"/>
        <w:left w:w="22" w:type="dxa"/>
        <w:bottom w:w="0" w:type="dxa"/>
        <w:right w:w="5" w:type="dxa"/>
      </w:tblCellMar>
    </w:tblPr>
  </w:style>
  <w:style w:type="table" w:customStyle="1" w:styleId="559">
    <w:name w:val="_Style 558"/>
    <w:basedOn w:val="30"/>
    <w:uiPriority w:val="0"/>
    <w:tblPr>
      <w:tblCellMar>
        <w:top w:w="0" w:type="dxa"/>
        <w:left w:w="22" w:type="dxa"/>
        <w:bottom w:w="0" w:type="dxa"/>
        <w:right w:w="5" w:type="dxa"/>
      </w:tblCellMar>
    </w:tblPr>
  </w:style>
  <w:style w:type="table" w:customStyle="1" w:styleId="560">
    <w:name w:val="_Style 559"/>
    <w:basedOn w:val="30"/>
    <w:uiPriority w:val="0"/>
    <w:tblPr>
      <w:tblCellMar>
        <w:top w:w="0" w:type="dxa"/>
        <w:left w:w="22" w:type="dxa"/>
        <w:bottom w:w="0" w:type="dxa"/>
        <w:right w:w="22" w:type="dxa"/>
      </w:tblCellMar>
    </w:tblPr>
  </w:style>
  <w:style w:type="table" w:customStyle="1" w:styleId="561">
    <w:name w:val="_Style 560"/>
    <w:basedOn w:val="30"/>
    <w:uiPriority w:val="0"/>
    <w:tblPr>
      <w:tblCellMar>
        <w:top w:w="0" w:type="dxa"/>
        <w:left w:w="22" w:type="dxa"/>
        <w:bottom w:w="0" w:type="dxa"/>
        <w:right w:w="5" w:type="dxa"/>
      </w:tblCellMar>
    </w:tblPr>
  </w:style>
  <w:style w:type="table" w:customStyle="1" w:styleId="562">
    <w:name w:val="_Style 561"/>
    <w:basedOn w:val="30"/>
    <w:uiPriority w:val="0"/>
    <w:tblPr>
      <w:tblCellMar>
        <w:top w:w="0" w:type="dxa"/>
        <w:left w:w="22" w:type="dxa"/>
        <w:bottom w:w="0" w:type="dxa"/>
        <w:right w:w="5" w:type="dxa"/>
      </w:tblCellMar>
    </w:tblPr>
  </w:style>
  <w:style w:type="table" w:customStyle="1" w:styleId="563">
    <w:name w:val="_Style 562"/>
    <w:basedOn w:val="30"/>
    <w:uiPriority w:val="0"/>
    <w:tblPr>
      <w:tblCellMar>
        <w:top w:w="0" w:type="dxa"/>
        <w:left w:w="22" w:type="dxa"/>
        <w:bottom w:w="0" w:type="dxa"/>
        <w:right w:w="22" w:type="dxa"/>
      </w:tblCellMar>
    </w:tblPr>
  </w:style>
  <w:style w:type="table" w:customStyle="1" w:styleId="564">
    <w:name w:val="_Style 563"/>
    <w:basedOn w:val="30"/>
    <w:uiPriority w:val="0"/>
    <w:tblPr>
      <w:tblCellMar>
        <w:top w:w="0" w:type="dxa"/>
        <w:left w:w="22" w:type="dxa"/>
        <w:bottom w:w="0" w:type="dxa"/>
        <w:right w:w="22" w:type="dxa"/>
      </w:tblCellMar>
    </w:tblPr>
  </w:style>
  <w:style w:type="table" w:customStyle="1" w:styleId="565">
    <w:name w:val="_Style 564"/>
    <w:basedOn w:val="30"/>
    <w:uiPriority w:val="0"/>
    <w:tblPr>
      <w:tblCellMar>
        <w:top w:w="0" w:type="dxa"/>
        <w:left w:w="22" w:type="dxa"/>
        <w:bottom w:w="0" w:type="dxa"/>
        <w:right w:w="5" w:type="dxa"/>
      </w:tblCellMar>
    </w:tblPr>
  </w:style>
  <w:style w:type="table" w:customStyle="1" w:styleId="566">
    <w:name w:val="_Style 565"/>
    <w:basedOn w:val="30"/>
    <w:uiPriority w:val="0"/>
    <w:tblPr>
      <w:tblCellMar>
        <w:top w:w="0" w:type="dxa"/>
        <w:left w:w="22" w:type="dxa"/>
        <w:bottom w:w="0" w:type="dxa"/>
        <w:right w:w="5" w:type="dxa"/>
      </w:tblCellMar>
    </w:tblPr>
  </w:style>
  <w:style w:type="table" w:customStyle="1" w:styleId="567">
    <w:name w:val="_Style 566"/>
    <w:basedOn w:val="30"/>
    <w:uiPriority w:val="0"/>
    <w:tblPr>
      <w:tblCellMar>
        <w:top w:w="0" w:type="dxa"/>
        <w:left w:w="22" w:type="dxa"/>
        <w:bottom w:w="0" w:type="dxa"/>
        <w:right w:w="5" w:type="dxa"/>
      </w:tblCellMar>
    </w:tblPr>
  </w:style>
  <w:style w:type="table" w:customStyle="1" w:styleId="568">
    <w:name w:val="_Style 567"/>
    <w:basedOn w:val="30"/>
    <w:uiPriority w:val="0"/>
    <w:tblPr>
      <w:tblCellMar>
        <w:top w:w="0" w:type="dxa"/>
        <w:left w:w="22" w:type="dxa"/>
        <w:bottom w:w="0" w:type="dxa"/>
        <w:right w:w="5" w:type="dxa"/>
      </w:tblCellMar>
    </w:tblPr>
  </w:style>
  <w:style w:type="table" w:customStyle="1" w:styleId="569">
    <w:name w:val="_Style 568"/>
    <w:basedOn w:val="30"/>
    <w:uiPriority w:val="0"/>
    <w:tblPr>
      <w:tblCellMar>
        <w:top w:w="0" w:type="dxa"/>
        <w:left w:w="22" w:type="dxa"/>
        <w:bottom w:w="0" w:type="dxa"/>
        <w:right w:w="5" w:type="dxa"/>
      </w:tblCellMar>
    </w:tblPr>
  </w:style>
  <w:style w:type="table" w:customStyle="1" w:styleId="570">
    <w:name w:val="_Style 569"/>
    <w:basedOn w:val="30"/>
    <w:uiPriority w:val="0"/>
    <w:tblPr>
      <w:tblCellMar>
        <w:top w:w="0" w:type="dxa"/>
        <w:left w:w="22" w:type="dxa"/>
        <w:bottom w:w="0" w:type="dxa"/>
        <w:right w:w="22" w:type="dxa"/>
      </w:tblCellMar>
    </w:tblPr>
  </w:style>
  <w:style w:type="table" w:customStyle="1" w:styleId="571">
    <w:name w:val="_Style 570"/>
    <w:basedOn w:val="30"/>
    <w:uiPriority w:val="0"/>
    <w:tblPr>
      <w:tblCellMar>
        <w:top w:w="0" w:type="dxa"/>
        <w:left w:w="22" w:type="dxa"/>
        <w:bottom w:w="0" w:type="dxa"/>
        <w:right w:w="22" w:type="dxa"/>
      </w:tblCellMar>
    </w:tblPr>
  </w:style>
  <w:style w:type="table" w:customStyle="1" w:styleId="572">
    <w:name w:val="_Style 571"/>
    <w:basedOn w:val="30"/>
    <w:uiPriority w:val="0"/>
    <w:tblPr>
      <w:tblCellMar>
        <w:top w:w="0" w:type="dxa"/>
        <w:left w:w="22" w:type="dxa"/>
        <w:bottom w:w="0" w:type="dxa"/>
        <w:right w:w="5" w:type="dxa"/>
      </w:tblCellMar>
    </w:tblPr>
  </w:style>
  <w:style w:type="table" w:customStyle="1" w:styleId="573">
    <w:name w:val="_Style 572"/>
    <w:basedOn w:val="30"/>
    <w:uiPriority w:val="0"/>
    <w:tblPr>
      <w:tblCellMar>
        <w:top w:w="0" w:type="dxa"/>
        <w:left w:w="22" w:type="dxa"/>
        <w:bottom w:w="0" w:type="dxa"/>
        <w:right w:w="5" w:type="dxa"/>
      </w:tblCellMar>
    </w:tblPr>
  </w:style>
  <w:style w:type="table" w:customStyle="1" w:styleId="574">
    <w:name w:val="_Style 573"/>
    <w:basedOn w:val="30"/>
    <w:uiPriority w:val="0"/>
    <w:tblPr>
      <w:tblCellMar>
        <w:top w:w="0" w:type="dxa"/>
        <w:left w:w="22" w:type="dxa"/>
        <w:bottom w:w="0" w:type="dxa"/>
        <w:right w:w="5" w:type="dxa"/>
      </w:tblCellMar>
    </w:tblPr>
  </w:style>
  <w:style w:type="table" w:customStyle="1" w:styleId="575">
    <w:name w:val="_Style 574"/>
    <w:basedOn w:val="30"/>
    <w:uiPriority w:val="0"/>
    <w:tblPr>
      <w:tblCellMar>
        <w:top w:w="0" w:type="dxa"/>
        <w:left w:w="108" w:type="dxa"/>
        <w:bottom w:w="0" w:type="dxa"/>
        <w:right w:w="108" w:type="dxa"/>
      </w:tblCellMar>
    </w:tblPr>
  </w:style>
  <w:style w:type="table" w:customStyle="1" w:styleId="576">
    <w:name w:val="_Style 575"/>
    <w:basedOn w:val="30"/>
    <w:uiPriority w:val="0"/>
    <w:tblPr>
      <w:tblCellMar>
        <w:top w:w="0" w:type="dxa"/>
        <w:left w:w="108" w:type="dxa"/>
        <w:bottom w:w="0" w:type="dxa"/>
        <w:right w:w="108" w:type="dxa"/>
      </w:tblCellMar>
    </w:tblPr>
  </w:style>
  <w:style w:type="table" w:customStyle="1" w:styleId="577">
    <w:name w:val="_Style 576"/>
    <w:basedOn w:val="30"/>
    <w:uiPriority w:val="0"/>
    <w:tblPr>
      <w:tblCellMar>
        <w:top w:w="0" w:type="dxa"/>
        <w:left w:w="108" w:type="dxa"/>
        <w:bottom w:w="0" w:type="dxa"/>
        <w:right w:w="108" w:type="dxa"/>
      </w:tblCellMar>
    </w:tblPr>
  </w:style>
  <w:style w:type="table" w:customStyle="1" w:styleId="578">
    <w:name w:val="_Style 577"/>
    <w:basedOn w:val="30"/>
    <w:uiPriority w:val="0"/>
    <w:tblPr>
      <w:tblCellMar>
        <w:top w:w="0" w:type="dxa"/>
        <w:left w:w="108" w:type="dxa"/>
        <w:bottom w:w="0" w:type="dxa"/>
        <w:right w:w="108" w:type="dxa"/>
      </w:tblCellMar>
    </w:tblPr>
  </w:style>
  <w:style w:type="table" w:customStyle="1" w:styleId="579">
    <w:name w:val="_Style 578"/>
    <w:basedOn w:val="30"/>
    <w:uiPriority w:val="0"/>
    <w:tblPr>
      <w:tblCellMar>
        <w:top w:w="0" w:type="dxa"/>
        <w:left w:w="108" w:type="dxa"/>
        <w:bottom w:w="0" w:type="dxa"/>
        <w:right w:w="108" w:type="dxa"/>
      </w:tblCellMar>
    </w:tblPr>
  </w:style>
  <w:style w:type="table" w:customStyle="1" w:styleId="580">
    <w:name w:val="_Style 579"/>
    <w:basedOn w:val="30"/>
    <w:uiPriority w:val="0"/>
    <w:tblPr>
      <w:tblCellMar>
        <w:top w:w="0" w:type="dxa"/>
        <w:left w:w="108" w:type="dxa"/>
        <w:bottom w:w="0" w:type="dxa"/>
        <w:right w:w="108" w:type="dxa"/>
      </w:tblCellMar>
    </w:tblPr>
  </w:style>
  <w:style w:type="table" w:customStyle="1" w:styleId="581">
    <w:name w:val="_Style 580"/>
    <w:basedOn w:val="30"/>
    <w:uiPriority w:val="0"/>
    <w:tblPr>
      <w:tblCellMar>
        <w:top w:w="0" w:type="dxa"/>
        <w:left w:w="108" w:type="dxa"/>
        <w:bottom w:w="0" w:type="dxa"/>
        <w:right w:w="108" w:type="dxa"/>
      </w:tblCellMar>
    </w:tblPr>
  </w:style>
  <w:style w:type="table" w:customStyle="1" w:styleId="582">
    <w:name w:val="_Style 581"/>
    <w:basedOn w:val="30"/>
    <w:uiPriority w:val="0"/>
    <w:tblPr>
      <w:tblCellMar>
        <w:top w:w="0" w:type="dxa"/>
        <w:left w:w="108" w:type="dxa"/>
        <w:bottom w:w="0" w:type="dxa"/>
        <w:right w:w="108" w:type="dxa"/>
      </w:tblCellMar>
    </w:tblPr>
  </w:style>
  <w:style w:type="table" w:customStyle="1" w:styleId="583">
    <w:name w:val="_Style 582"/>
    <w:basedOn w:val="30"/>
    <w:uiPriority w:val="0"/>
    <w:tblPr>
      <w:tblCellMar>
        <w:top w:w="0" w:type="dxa"/>
        <w:left w:w="108" w:type="dxa"/>
        <w:bottom w:w="0" w:type="dxa"/>
        <w:right w:w="108" w:type="dxa"/>
      </w:tblCellMar>
    </w:tblPr>
  </w:style>
  <w:style w:type="table" w:customStyle="1" w:styleId="584">
    <w:name w:val="_Style 583"/>
    <w:basedOn w:val="30"/>
    <w:uiPriority w:val="0"/>
    <w:tblPr>
      <w:tblCellMar>
        <w:top w:w="0" w:type="dxa"/>
        <w:left w:w="108" w:type="dxa"/>
        <w:bottom w:w="0" w:type="dxa"/>
        <w:right w:w="108" w:type="dxa"/>
      </w:tblCellMar>
    </w:tblPr>
  </w:style>
  <w:style w:type="table" w:customStyle="1" w:styleId="585">
    <w:name w:val="_Style 584"/>
    <w:basedOn w:val="30"/>
    <w:uiPriority w:val="0"/>
    <w:tblPr>
      <w:tblCellMar>
        <w:top w:w="0" w:type="dxa"/>
        <w:left w:w="108" w:type="dxa"/>
        <w:bottom w:w="0" w:type="dxa"/>
        <w:right w:w="108" w:type="dxa"/>
      </w:tblCellMar>
    </w:tblPr>
  </w:style>
  <w:style w:type="table" w:customStyle="1" w:styleId="586">
    <w:name w:val="_Style 585"/>
    <w:basedOn w:val="30"/>
    <w:uiPriority w:val="0"/>
    <w:tblPr>
      <w:tblCellMar>
        <w:top w:w="0" w:type="dxa"/>
        <w:left w:w="108" w:type="dxa"/>
        <w:bottom w:w="0" w:type="dxa"/>
        <w:right w:w="108" w:type="dxa"/>
      </w:tblCellMar>
    </w:tblPr>
  </w:style>
  <w:style w:type="table" w:customStyle="1" w:styleId="587">
    <w:name w:val="_Style 586"/>
    <w:basedOn w:val="30"/>
    <w:uiPriority w:val="0"/>
    <w:tblPr>
      <w:tblCellMar>
        <w:top w:w="0" w:type="dxa"/>
        <w:left w:w="108" w:type="dxa"/>
        <w:bottom w:w="0" w:type="dxa"/>
        <w:right w:w="108" w:type="dxa"/>
      </w:tblCellMar>
    </w:tblPr>
  </w:style>
  <w:style w:type="table" w:customStyle="1" w:styleId="588">
    <w:name w:val="_Style 587"/>
    <w:basedOn w:val="30"/>
    <w:uiPriority w:val="0"/>
    <w:tblPr>
      <w:tblCellMar>
        <w:top w:w="0" w:type="dxa"/>
        <w:left w:w="108" w:type="dxa"/>
        <w:bottom w:w="0" w:type="dxa"/>
        <w:right w:w="108" w:type="dxa"/>
      </w:tblCellMar>
    </w:tblPr>
  </w:style>
  <w:style w:type="table" w:customStyle="1" w:styleId="589">
    <w:name w:val="_Style 588"/>
    <w:basedOn w:val="30"/>
    <w:uiPriority w:val="0"/>
    <w:tblPr>
      <w:tblCellMar>
        <w:top w:w="0" w:type="dxa"/>
        <w:left w:w="108" w:type="dxa"/>
        <w:bottom w:w="0" w:type="dxa"/>
        <w:right w:w="108" w:type="dxa"/>
      </w:tblCellMar>
    </w:tblPr>
  </w:style>
  <w:style w:type="table" w:customStyle="1" w:styleId="590">
    <w:name w:val="_Style 589"/>
    <w:basedOn w:val="30"/>
    <w:uiPriority w:val="0"/>
    <w:tblPr>
      <w:tblCellMar>
        <w:top w:w="0" w:type="dxa"/>
        <w:left w:w="108" w:type="dxa"/>
        <w:bottom w:w="0" w:type="dxa"/>
        <w:right w:w="108" w:type="dxa"/>
      </w:tblCellMar>
    </w:tblPr>
  </w:style>
  <w:style w:type="table" w:customStyle="1" w:styleId="591">
    <w:name w:val="_Style 590"/>
    <w:basedOn w:val="30"/>
    <w:uiPriority w:val="0"/>
    <w:tblPr>
      <w:tblCellMar>
        <w:top w:w="0" w:type="dxa"/>
        <w:left w:w="108" w:type="dxa"/>
        <w:bottom w:w="0" w:type="dxa"/>
        <w:right w:w="108" w:type="dxa"/>
      </w:tblCellMar>
    </w:tblPr>
  </w:style>
  <w:style w:type="table" w:customStyle="1" w:styleId="592">
    <w:name w:val="_Style 591"/>
    <w:basedOn w:val="30"/>
    <w:uiPriority w:val="0"/>
    <w:tblPr>
      <w:tblCellMar>
        <w:top w:w="0" w:type="dxa"/>
        <w:left w:w="108" w:type="dxa"/>
        <w:bottom w:w="0" w:type="dxa"/>
        <w:right w:w="108" w:type="dxa"/>
      </w:tblCellMar>
    </w:tblPr>
  </w:style>
  <w:style w:type="table" w:customStyle="1" w:styleId="593">
    <w:name w:val="_Style 592"/>
    <w:basedOn w:val="30"/>
    <w:uiPriority w:val="0"/>
    <w:tblPr>
      <w:tblCellMar>
        <w:top w:w="0" w:type="dxa"/>
        <w:left w:w="108" w:type="dxa"/>
        <w:bottom w:w="0" w:type="dxa"/>
        <w:right w:w="108" w:type="dxa"/>
      </w:tblCellMar>
    </w:tblPr>
  </w:style>
  <w:style w:type="table" w:customStyle="1" w:styleId="594">
    <w:name w:val="_Style 593"/>
    <w:basedOn w:val="30"/>
    <w:uiPriority w:val="0"/>
    <w:tblPr>
      <w:tblCellMar>
        <w:top w:w="0" w:type="dxa"/>
        <w:left w:w="108" w:type="dxa"/>
        <w:bottom w:w="0" w:type="dxa"/>
        <w:right w:w="108" w:type="dxa"/>
      </w:tblCellMar>
    </w:tblPr>
  </w:style>
  <w:style w:type="table" w:customStyle="1" w:styleId="595">
    <w:name w:val="_Style 594"/>
    <w:basedOn w:val="30"/>
    <w:uiPriority w:val="0"/>
    <w:tblPr>
      <w:tblCellMar>
        <w:top w:w="0" w:type="dxa"/>
        <w:left w:w="108" w:type="dxa"/>
        <w:bottom w:w="0" w:type="dxa"/>
        <w:right w:w="108" w:type="dxa"/>
      </w:tblCellMar>
    </w:tblPr>
  </w:style>
  <w:style w:type="table" w:customStyle="1" w:styleId="596">
    <w:name w:val="_Style 595"/>
    <w:basedOn w:val="30"/>
    <w:uiPriority w:val="0"/>
    <w:tblPr>
      <w:tblCellMar>
        <w:top w:w="0" w:type="dxa"/>
        <w:left w:w="108" w:type="dxa"/>
        <w:bottom w:w="0" w:type="dxa"/>
        <w:right w:w="108" w:type="dxa"/>
      </w:tblCellMar>
    </w:tblPr>
  </w:style>
  <w:style w:type="table" w:customStyle="1" w:styleId="597">
    <w:name w:val="_Style 596"/>
    <w:basedOn w:val="30"/>
    <w:uiPriority w:val="0"/>
    <w:tblPr>
      <w:tblCellMar>
        <w:top w:w="0" w:type="dxa"/>
        <w:left w:w="108" w:type="dxa"/>
        <w:bottom w:w="0" w:type="dxa"/>
        <w:right w:w="108" w:type="dxa"/>
      </w:tblCellMar>
    </w:tblPr>
  </w:style>
  <w:style w:type="table" w:customStyle="1" w:styleId="598">
    <w:name w:val="_Style 597"/>
    <w:basedOn w:val="30"/>
    <w:uiPriority w:val="0"/>
    <w:tblPr>
      <w:tblCellMar>
        <w:top w:w="0" w:type="dxa"/>
        <w:left w:w="108" w:type="dxa"/>
        <w:bottom w:w="0" w:type="dxa"/>
        <w:right w:w="108" w:type="dxa"/>
      </w:tblCellMar>
    </w:tblPr>
  </w:style>
  <w:style w:type="table" w:customStyle="1" w:styleId="599">
    <w:name w:val="_Style 598"/>
    <w:basedOn w:val="30"/>
    <w:uiPriority w:val="0"/>
    <w:tblPr>
      <w:tblCellMar>
        <w:top w:w="0" w:type="dxa"/>
        <w:left w:w="108" w:type="dxa"/>
        <w:bottom w:w="0" w:type="dxa"/>
        <w:right w:w="108" w:type="dxa"/>
      </w:tblCellMar>
    </w:tblPr>
  </w:style>
  <w:style w:type="table" w:customStyle="1" w:styleId="600">
    <w:name w:val="_Style 599"/>
    <w:basedOn w:val="30"/>
    <w:uiPriority w:val="0"/>
    <w:tblPr>
      <w:tblCellMar>
        <w:top w:w="0" w:type="dxa"/>
        <w:left w:w="108" w:type="dxa"/>
        <w:bottom w:w="0" w:type="dxa"/>
        <w:right w:w="108" w:type="dxa"/>
      </w:tblCellMar>
    </w:tblPr>
  </w:style>
  <w:style w:type="table" w:customStyle="1" w:styleId="601">
    <w:name w:val="_Style 600"/>
    <w:basedOn w:val="30"/>
    <w:uiPriority w:val="0"/>
    <w:tblPr>
      <w:tblCellMar>
        <w:top w:w="0" w:type="dxa"/>
        <w:left w:w="108" w:type="dxa"/>
        <w:bottom w:w="0" w:type="dxa"/>
        <w:right w:w="108" w:type="dxa"/>
      </w:tblCellMar>
    </w:tblPr>
  </w:style>
  <w:style w:type="table" w:customStyle="1" w:styleId="602">
    <w:name w:val="_Style 601"/>
    <w:basedOn w:val="30"/>
    <w:uiPriority w:val="0"/>
    <w:tblPr>
      <w:tblCellMar>
        <w:top w:w="0" w:type="dxa"/>
        <w:left w:w="108" w:type="dxa"/>
        <w:bottom w:w="0" w:type="dxa"/>
        <w:right w:w="108" w:type="dxa"/>
      </w:tblCellMar>
    </w:tblPr>
  </w:style>
  <w:style w:type="table" w:customStyle="1" w:styleId="603">
    <w:name w:val="_Style 602"/>
    <w:basedOn w:val="30"/>
    <w:uiPriority w:val="0"/>
    <w:tblPr>
      <w:tblCellMar>
        <w:top w:w="0" w:type="dxa"/>
        <w:left w:w="108" w:type="dxa"/>
        <w:bottom w:w="0" w:type="dxa"/>
        <w:right w:w="108" w:type="dxa"/>
      </w:tblCellMar>
    </w:tblPr>
  </w:style>
  <w:style w:type="table" w:customStyle="1" w:styleId="604">
    <w:name w:val="_Style 603"/>
    <w:basedOn w:val="30"/>
    <w:uiPriority w:val="0"/>
    <w:tblPr>
      <w:tblCellMar>
        <w:top w:w="0" w:type="dxa"/>
        <w:left w:w="108" w:type="dxa"/>
        <w:bottom w:w="0" w:type="dxa"/>
        <w:right w:w="108" w:type="dxa"/>
      </w:tblCellMar>
    </w:tblPr>
  </w:style>
  <w:style w:type="table" w:customStyle="1" w:styleId="605">
    <w:name w:val="_Style 604"/>
    <w:basedOn w:val="30"/>
    <w:uiPriority w:val="0"/>
    <w:tblPr>
      <w:tblCellMar>
        <w:top w:w="0" w:type="dxa"/>
        <w:left w:w="108" w:type="dxa"/>
        <w:bottom w:w="0" w:type="dxa"/>
        <w:right w:w="108" w:type="dxa"/>
      </w:tblCellMar>
    </w:tblPr>
  </w:style>
  <w:style w:type="table" w:customStyle="1" w:styleId="606">
    <w:name w:val="_Style 605"/>
    <w:basedOn w:val="30"/>
    <w:uiPriority w:val="0"/>
    <w:tblPr>
      <w:tblCellMar>
        <w:top w:w="0" w:type="dxa"/>
        <w:left w:w="108" w:type="dxa"/>
        <w:bottom w:w="0" w:type="dxa"/>
        <w:right w:w="108" w:type="dxa"/>
      </w:tblCellMar>
    </w:tblPr>
  </w:style>
  <w:style w:type="table" w:customStyle="1" w:styleId="607">
    <w:name w:val="_Style 606"/>
    <w:basedOn w:val="30"/>
    <w:uiPriority w:val="0"/>
    <w:tblPr>
      <w:tblCellMar>
        <w:top w:w="0" w:type="dxa"/>
        <w:left w:w="108" w:type="dxa"/>
        <w:bottom w:w="0" w:type="dxa"/>
        <w:right w:w="108" w:type="dxa"/>
      </w:tblCellMar>
    </w:tblPr>
  </w:style>
  <w:style w:type="table" w:customStyle="1" w:styleId="608">
    <w:name w:val="_Style 607"/>
    <w:basedOn w:val="30"/>
    <w:uiPriority w:val="0"/>
    <w:tblPr>
      <w:tblCellMar>
        <w:top w:w="0" w:type="dxa"/>
        <w:left w:w="108" w:type="dxa"/>
        <w:bottom w:w="0" w:type="dxa"/>
        <w:right w:w="108" w:type="dxa"/>
      </w:tblCellMar>
    </w:tblPr>
  </w:style>
  <w:style w:type="table" w:customStyle="1" w:styleId="609">
    <w:name w:val="_Style 608"/>
    <w:basedOn w:val="30"/>
    <w:uiPriority w:val="0"/>
    <w:tblPr>
      <w:tblCellMar>
        <w:top w:w="0" w:type="dxa"/>
        <w:left w:w="108" w:type="dxa"/>
        <w:bottom w:w="0" w:type="dxa"/>
        <w:right w:w="108" w:type="dxa"/>
      </w:tblCellMar>
    </w:tblPr>
  </w:style>
  <w:style w:type="table" w:customStyle="1" w:styleId="610">
    <w:name w:val="_Style 609"/>
    <w:basedOn w:val="30"/>
    <w:uiPriority w:val="0"/>
    <w:tblPr>
      <w:tblCellMar>
        <w:top w:w="0" w:type="dxa"/>
        <w:left w:w="108" w:type="dxa"/>
        <w:bottom w:w="0" w:type="dxa"/>
        <w:right w:w="108" w:type="dxa"/>
      </w:tblCellMar>
    </w:tblPr>
  </w:style>
  <w:style w:type="table" w:customStyle="1" w:styleId="611">
    <w:name w:val="_Style 610"/>
    <w:basedOn w:val="30"/>
    <w:uiPriority w:val="0"/>
    <w:tblPr>
      <w:tblCellMar>
        <w:top w:w="0" w:type="dxa"/>
        <w:left w:w="108" w:type="dxa"/>
        <w:bottom w:w="0" w:type="dxa"/>
        <w:right w:w="108" w:type="dxa"/>
      </w:tblCellMar>
    </w:tblPr>
  </w:style>
  <w:style w:type="table" w:customStyle="1" w:styleId="612">
    <w:name w:val="_Style 611"/>
    <w:basedOn w:val="30"/>
    <w:uiPriority w:val="0"/>
    <w:tblPr>
      <w:tblCellMar>
        <w:top w:w="0" w:type="dxa"/>
        <w:left w:w="108" w:type="dxa"/>
        <w:bottom w:w="0" w:type="dxa"/>
        <w:right w:w="108" w:type="dxa"/>
      </w:tblCellMar>
    </w:tblPr>
  </w:style>
  <w:style w:type="table" w:customStyle="1" w:styleId="613">
    <w:name w:val="_Style 612"/>
    <w:basedOn w:val="30"/>
    <w:uiPriority w:val="0"/>
    <w:tblPr>
      <w:tblCellMar>
        <w:top w:w="0" w:type="dxa"/>
        <w:left w:w="108" w:type="dxa"/>
        <w:bottom w:w="0" w:type="dxa"/>
        <w:right w:w="108" w:type="dxa"/>
      </w:tblCellMar>
    </w:tblPr>
  </w:style>
  <w:style w:type="table" w:customStyle="1" w:styleId="614">
    <w:name w:val="_Style 613"/>
    <w:basedOn w:val="30"/>
    <w:uiPriority w:val="0"/>
    <w:tblPr>
      <w:tblCellMar>
        <w:top w:w="0" w:type="dxa"/>
        <w:left w:w="108" w:type="dxa"/>
        <w:bottom w:w="0" w:type="dxa"/>
        <w:right w:w="108" w:type="dxa"/>
      </w:tblCellMar>
    </w:tblPr>
  </w:style>
  <w:style w:type="table" w:customStyle="1" w:styleId="615">
    <w:name w:val="_Style 614"/>
    <w:basedOn w:val="30"/>
    <w:uiPriority w:val="0"/>
    <w:tblPr>
      <w:tblCellMar>
        <w:top w:w="0" w:type="dxa"/>
        <w:left w:w="108" w:type="dxa"/>
        <w:bottom w:w="0" w:type="dxa"/>
        <w:right w:w="108" w:type="dxa"/>
      </w:tblCellMar>
    </w:tblPr>
  </w:style>
  <w:style w:type="table" w:customStyle="1" w:styleId="616">
    <w:name w:val="_Style 615"/>
    <w:basedOn w:val="30"/>
    <w:uiPriority w:val="0"/>
    <w:tblPr>
      <w:tblCellMar>
        <w:top w:w="0" w:type="dxa"/>
        <w:left w:w="108" w:type="dxa"/>
        <w:bottom w:w="0" w:type="dxa"/>
        <w:right w:w="108" w:type="dxa"/>
      </w:tblCellMar>
    </w:tblPr>
  </w:style>
  <w:style w:type="table" w:customStyle="1" w:styleId="617">
    <w:name w:val="_Style 616"/>
    <w:basedOn w:val="30"/>
    <w:uiPriority w:val="0"/>
    <w:tblPr>
      <w:tblCellMar>
        <w:top w:w="0" w:type="dxa"/>
        <w:left w:w="108" w:type="dxa"/>
        <w:bottom w:w="0" w:type="dxa"/>
        <w:right w:w="108" w:type="dxa"/>
      </w:tblCellMar>
    </w:tblPr>
  </w:style>
  <w:style w:type="table" w:customStyle="1" w:styleId="618">
    <w:name w:val="_Style 617"/>
    <w:basedOn w:val="30"/>
    <w:uiPriority w:val="0"/>
    <w:tblPr>
      <w:tblCellMar>
        <w:top w:w="0" w:type="dxa"/>
        <w:left w:w="108" w:type="dxa"/>
        <w:bottom w:w="0" w:type="dxa"/>
        <w:right w:w="108" w:type="dxa"/>
      </w:tblCellMar>
    </w:tblPr>
  </w:style>
  <w:style w:type="table" w:customStyle="1" w:styleId="619">
    <w:name w:val="_Style 618"/>
    <w:basedOn w:val="30"/>
    <w:uiPriority w:val="0"/>
    <w:tblPr>
      <w:tblCellMar>
        <w:top w:w="0" w:type="dxa"/>
        <w:left w:w="108" w:type="dxa"/>
        <w:bottom w:w="0" w:type="dxa"/>
        <w:right w:w="108" w:type="dxa"/>
      </w:tblCellMar>
    </w:tblPr>
  </w:style>
  <w:style w:type="table" w:customStyle="1" w:styleId="620">
    <w:name w:val="_Style 619"/>
    <w:basedOn w:val="30"/>
    <w:uiPriority w:val="0"/>
    <w:tblPr>
      <w:tblCellMar>
        <w:top w:w="0" w:type="dxa"/>
        <w:left w:w="108" w:type="dxa"/>
        <w:bottom w:w="0" w:type="dxa"/>
        <w:right w:w="108" w:type="dxa"/>
      </w:tblCellMar>
    </w:tblPr>
  </w:style>
  <w:style w:type="table" w:customStyle="1" w:styleId="621">
    <w:name w:val="_Style 620"/>
    <w:basedOn w:val="30"/>
    <w:uiPriority w:val="0"/>
    <w:tblPr>
      <w:tblCellMar>
        <w:top w:w="0" w:type="dxa"/>
        <w:left w:w="108" w:type="dxa"/>
        <w:bottom w:w="0" w:type="dxa"/>
        <w:right w:w="108" w:type="dxa"/>
      </w:tblCellMar>
    </w:tblPr>
  </w:style>
  <w:style w:type="table" w:customStyle="1" w:styleId="622">
    <w:name w:val="_Style 621"/>
    <w:basedOn w:val="30"/>
    <w:uiPriority w:val="0"/>
    <w:tblPr>
      <w:tblCellMar>
        <w:top w:w="0" w:type="dxa"/>
        <w:left w:w="108" w:type="dxa"/>
        <w:bottom w:w="0" w:type="dxa"/>
        <w:right w:w="108" w:type="dxa"/>
      </w:tblCellMar>
    </w:tblPr>
  </w:style>
  <w:style w:type="table" w:customStyle="1" w:styleId="623">
    <w:name w:val="_Style 622"/>
    <w:basedOn w:val="30"/>
    <w:uiPriority w:val="0"/>
    <w:tblPr>
      <w:tblCellMar>
        <w:top w:w="0" w:type="dxa"/>
        <w:left w:w="22" w:type="dxa"/>
        <w:bottom w:w="0" w:type="dxa"/>
        <w:right w:w="22" w:type="dxa"/>
      </w:tblCellMar>
    </w:tblPr>
  </w:style>
  <w:style w:type="table" w:customStyle="1" w:styleId="624">
    <w:name w:val="_Style 623"/>
    <w:basedOn w:val="30"/>
    <w:uiPriority w:val="0"/>
    <w:tblPr>
      <w:tblCellMar>
        <w:top w:w="0" w:type="dxa"/>
        <w:left w:w="22" w:type="dxa"/>
        <w:bottom w:w="0" w:type="dxa"/>
        <w:right w:w="22" w:type="dxa"/>
      </w:tblCellMar>
    </w:tblPr>
  </w:style>
  <w:style w:type="table" w:customStyle="1" w:styleId="625">
    <w:name w:val="_Style 624"/>
    <w:basedOn w:val="30"/>
    <w:uiPriority w:val="0"/>
    <w:tblPr>
      <w:tblCellMar>
        <w:top w:w="0" w:type="dxa"/>
        <w:left w:w="22" w:type="dxa"/>
        <w:bottom w:w="0" w:type="dxa"/>
        <w:right w:w="22" w:type="dxa"/>
      </w:tblCellMar>
    </w:tblPr>
  </w:style>
  <w:style w:type="table" w:customStyle="1" w:styleId="626">
    <w:name w:val="_Style 625"/>
    <w:basedOn w:val="30"/>
    <w:uiPriority w:val="0"/>
    <w:tblPr>
      <w:tblCellMar>
        <w:top w:w="0" w:type="dxa"/>
        <w:left w:w="22" w:type="dxa"/>
        <w:bottom w:w="0" w:type="dxa"/>
        <w:right w:w="22" w:type="dxa"/>
      </w:tblCellMar>
    </w:tblPr>
  </w:style>
  <w:style w:type="table" w:customStyle="1" w:styleId="627">
    <w:name w:val="_Style 626"/>
    <w:basedOn w:val="30"/>
    <w:uiPriority w:val="0"/>
    <w:tblPr>
      <w:tblCellMar>
        <w:top w:w="0" w:type="dxa"/>
        <w:left w:w="22" w:type="dxa"/>
        <w:bottom w:w="0" w:type="dxa"/>
        <w:right w:w="22" w:type="dxa"/>
      </w:tblCellMar>
    </w:tblPr>
  </w:style>
  <w:style w:type="table" w:customStyle="1" w:styleId="628">
    <w:name w:val="_Style 627"/>
    <w:basedOn w:val="30"/>
    <w:uiPriority w:val="0"/>
    <w:tblPr>
      <w:tblCellMar>
        <w:top w:w="0" w:type="dxa"/>
        <w:left w:w="22" w:type="dxa"/>
        <w:bottom w:w="0" w:type="dxa"/>
        <w:right w:w="22" w:type="dxa"/>
      </w:tblCellMar>
    </w:tblPr>
  </w:style>
  <w:style w:type="table" w:customStyle="1" w:styleId="629">
    <w:name w:val="_Style 628"/>
    <w:basedOn w:val="30"/>
    <w:uiPriority w:val="0"/>
    <w:tblPr>
      <w:tblCellMar>
        <w:top w:w="0" w:type="dxa"/>
        <w:left w:w="22" w:type="dxa"/>
        <w:bottom w:w="0" w:type="dxa"/>
        <w:right w:w="22" w:type="dxa"/>
      </w:tblCellMar>
    </w:tblPr>
  </w:style>
  <w:style w:type="table" w:customStyle="1" w:styleId="630">
    <w:name w:val="_Style 629"/>
    <w:basedOn w:val="30"/>
    <w:uiPriority w:val="0"/>
    <w:tblPr>
      <w:tblCellMar>
        <w:top w:w="0" w:type="dxa"/>
        <w:left w:w="22" w:type="dxa"/>
        <w:bottom w:w="0" w:type="dxa"/>
        <w:right w:w="22" w:type="dxa"/>
      </w:tblCellMar>
    </w:tblPr>
  </w:style>
  <w:style w:type="table" w:customStyle="1" w:styleId="631">
    <w:name w:val="_Style 630"/>
    <w:basedOn w:val="30"/>
    <w:uiPriority w:val="0"/>
    <w:tblPr>
      <w:tblCellMar>
        <w:top w:w="0" w:type="dxa"/>
        <w:left w:w="22" w:type="dxa"/>
        <w:bottom w:w="0" w:type="dxa"/>
        <w:right w:w="22" w:type="dxa"/>
      </w:tblCellMar>
    </w:tblPr>
  </w:style>
  <w:style w:type="table" w:customStyle="1" w:styleId="632">
    <w:name w:val="_Style 631"/>
    <w:basedOn w:val="30"/>
    <w:uiPriority w:val="0"/>
    <w:tblPr>
      <w:tblCellMar>
        <w:top w:w="0" w:type="dxa"/>
        <w:left w:w="22" w:type="dxa"/>
        <w:bottom w:w="0" w:type="dxa"/>
        <w:right w:w="22" w:type="dxa"/>
      </w:tblCellMar>
    </w:tblPr>
  </w:style>
  <w:style w:type="table" w:customStyle="1" w:styleId="633">
    <w:name w:val="_Style 632"/>
    <w:basedOn w:val="30"/>
    <w:uiPriority w:val="0"/>
    <w:tblPr>
      <w:tblCellMar>
        <w:top w:w="0" w:type="dxa"/>
        <w:left w:w="22" w:type="dxa"/>
        <w:bottom w:w="0" w:type="dxa"/>
        <w:right w:w="22" w:type="dxa"/>
      </w:tblCellMar>
    </w:tblPr>
  </w:style>
  <w:style w:type="table" w:customStyle="1" w:styleId="634">
    <w:name w:val="_Style 633"/>
    <w:basedOn w:val="30"/>
    <w:uiPriority w:val="0"/>
    <w:tblPr>
      <w:tblCellMar>
        <w:top w:w="0" w:type="dxa"/>
        <w:left w:w="22" w:type="dxa"/>
        <w:bottom w:w="0" w:type="dxa"/>
        <w:right w:w="22" w:type="dxa"/>
      </w:tblCellMar>
    </w:tblPr>
  </w:style>
  <w:style w:type="table" w:customStyle="1" w:styleId="635">
    <w:name w:val="_Style 634"/>
    <w:basedOn w:val="30"/>
    <w:uiPriority w:val="0"/>
    <w:tblPr>
      <w:tblCellMar>
        <w:top w:w="0" w:type="dxa"/>
        <w:left w:w="22" w:type="dxa"/>
        <w:bottom w:w="0" w:type="dxa"/>
        <w:right w:w="22" w:type="dxa"/>
      </w:tblCellMar>
    </w:tblPr>
  </w:style>
  <w:style w:type="table" w:customStyle="1" w:styleId="636">
    <w:name w:val="_Style 635"/>
    <w:basedOn w:val="30"/>
    <w:uiPriority w:val="0"/>
    <w:tblPr>
      <w:tblCellMar>
        <w:top w:w="0" w:type="dxa"/>
        <w:left w:w="22" w:type="dxa"/>
        <w:bottom w:w="0" w:type="dxa"/>
        <w:right w:w="22" w:type="dxa"/>
      </w:tblCellMar>
    </w:tblPr>
  </w:style>
  <w:style w:type="table" w:customStyle="1" w:styleId="637">
    <w:name w:val="_Style 636"/>
    <w:basedOn w:val="30"/>
    <w:uiPriority w:val="0"/>
    <w:tblPr>
      <w:tblCellMar>
        <w:top w:w="0" w:type="dxa"/>
        <w:left w:w="22" w:type="dxa"/>
        <w:bottom w:w="0" w:type="dxa"/>
        <w:right w:w="22" w:type="dxa"/>
      </w:tblCellMar>
    </w:tblPr>
  </w:style>
  <w:style w:type="table" w:customStyle="1" w:styleId="638">
    <w:name w:val="_Style 637"/>
    <w:basedOn w:val="30"/>
    <w:uiPriority w:val="0"/>
    <w:tblPr>
      <w:tblCellMar>
        <w:top w:w="0" w:type="dxa"/>
        <w:left w:w="22" w:type="dxa"/>
        <w:bottom w:w="0" w:type="dxa"/>
        <w:right w:w="22" w:type="dxa"/>
      </w:tblCellMar>
    </w:tblPr>
  </w:style>
  <w:style w:type="table" w:customStyle="1" w:styleId="639">
    <w:name w:val="_Style 638"/>
    <w:basedOn w:val="30"/>
    <w:uiPriority w:val="0"/>
    <w:tblPr>
      <w:tblCellMar>
        <w:top w:w="0" w:type="dxa"/>
        <w:left w:w="22" w:type="dxa"/>
        <w:bottom w:w="0" w:type="dxa"/>
        <w:right w:w="22" w:type="dxa"/>
      </w:tblCellMar>
    </w:tblPr>
  </w:style>
  <w:style w:type="table" w:customStyle="1" w:styleId="640">
    <w:name w:val="_Style 639"/>
    <w:basedOn w:val="30"/>
    <w:uiPriority w:val="0"/>
    <w:tblPr>
      <w:tblCellMar>
        <w:top w:w="0" w:type="dxa"/>
        <w:left w:w="22" w:type="dxa"/>
        <w:bottom w:w="0" w:type="dxa"/>
        <w:right w:w="22" w:type="dxa"/>
      </w:tblCellMar>
    </w:tblPr>
  </w:style>
  <w:style w:type="table" w:customStyle="1" w:styleId="641">
    <w:name w:val="_Style 640"/>
    <w:basedOn w:val="30"/>
    <w:uiPriority w:val="0"/>
    <w:tblPr>
      <w:tblCellMar>
        <w:top w:w="0" w:type="dxa"/>
        <w:left w:w="22" w:type="dxa"/>
        <w:bottom w:w="0" w:type="dxa"/>
        <w:right w:w="22" w:type="dxa"/>
      </w:tblCellMar>
    </w:tblPr>
  </w:style>
  <w:style w:type="table" w:customStyle="1" w:styleId="642">
    <w:name w:val="_Style 641"/>
    <w:basedOn w:val="30"/>
    <w:uiPriority w:val="0"/>
    <w:tblPr>
      <w:tblCellMar>
        <w:top w:w="0" w:type="dxa"/>
        <w:left w:w="22" w:type="dxa"/>
        <w:bottom w:w="0" w:type="dxa"/>
        <w:right w:w="22" w:type="dxa"/>
      </w:tblCellMar>
    </w:tblPr>
  </w:style>
  <w:style w:type="table" w:customStyle="1" w:styleId="643">
    <w:name w:val="_Style 642"/>
    <w:basedOn w:val="30"/>
    <w:uiPriority w:val="0"/>
    <w:tblPr>
      <w:tblCellMar>
        <w:top w:w="0" w:type="dxa"/>
        <w:left w:w="22" w:type="dxa"/>
        <w:bottom w:w="0" w:type="dxa"/>
        <w:right w:w="22" w:type="dxa"/>
      </w:tblCellMar>
    </w:tblPr>
  </w:style>
  <w:style w:type="table" w:customStyle="1" w:styleId="644">
    <w:name w:val="_Style 643"/>
    <w:basedOn w:val="30"/>
    <w:uiPriority w:val="0"/>
    <w:tblPr>
      <w:tblCellMar>
        <w:top w:w="0" w:type="dxa"/>
        <w:left w:w="22" w:type="dxa"/>
        <w:bottom w:w="0" w:type="dxa"/>
        <w:right w:w="22" w:type="dxa"/>
      </w:tblCellMar>
    </w:tblPr>
  </w:style>
  <w:style w:type="table" w:customStyle="1" w:styleId="645">
    <w:name w:val="_Style 644"/>
    <w:basedOn w:val="30"/>
    <w:uiPriority w:val="0"/>
    <w:tblPr>
      <w:tblCellMar>
        <w:top w:w="0" w:type="dxa"/>
        <w:left w:w="22" w:type="dxa"/>
        <w:bottom w:w="0" w:type="dxa"/>
        <w:right w:w="22" w:type="dxa"/>
      </w:tblCellMar>
    </w:tblPr>
  </w:style>
  <w:style w:type="table" w:customStyle="1" w:styleId="646">
    <w:name w:val="_Style 645"/>
    <w:basedOn w:val="30"/>
    <w:uiPriority w:val="0"/>
    <w:tblPr>
      <w:tblCellMar>
        <w:top w:w="0" w:type="dxa"/>
        <w:left w:w="22" w:type="dxa"/>
        <w:bottom w:w="0" w:type="dxa"/>
        <w:right w:w="22" w:type="dxa"/>
      </w:tblCellMar>
    </w:tblPr>
  </w:style>
  <w:style w:type="table" w:customStyle="1" w:styleId="647">
    <w:name w:val="_Style 646"/>
    <w:basedOn w:val="30"/>
    <w:uiPriority w:val="0"/>
    <w:tblPr>
      <w:tblCellMar>
        <w:top w:w="0" w:type="dxa"/>
        <w:left w:w="22" w:type="dxa"/>
        <w:bottom w:w="0" w:type="dxa"/>
        <w:right w:w="22" w:type="dxa"/>
      </w:tblCellMar>
    </w:tblPr>
  </w:style>
  <w:style w:type="table" w:customStyle="1" w:styleId="648">
    <w:name w:val="_Style 647"/>
    <w:basedOn w:val="30"/>
    <w:uiPriority w:val="0"/>
    <w:tblPr>
      <w:tblCellMar>
        <w:top w:w="0" w:type="dxa"/>
        <w:left w:w="22" w:type="dxa"/>
        <w:bottom w:w="0" w:type="dxa"/>
        <w:right w:w="22" w:type="dxa"/>
      </w:tblCellMar>
    </w:tblPr>
  </w:style>
  <w:style w:type="table" w:customStyle="1" w:styleId="649">
    <w:name w:val="_Style 648"/>
    <w:basedOn w:val="30"/>
    <w:uiPriority w:val="0"/>
    <w:tblPr>
      <w:tblCellMar>
        <w:top w:w="0" w:type="dxa"/>
        <w:left w:w="22" w:type="dxa"/>
        <w:bottom w:w="0" w:type="dxa"/>
        <w:right w:w="22" w:type="dxa"/>
      </w:tblCellMar>
    </w:tblPr>
  </w:style>
  <w:style w:type="table" w:customStyle="1" w:styleId="650">
    <w:name w:val="_Style 649"/>
    <w:basedOn w:val="30"/>
    <w:uiPriority w:val="0"/>
    <w:tblPr>
      <w:tblCellMar>
        <w:top w:w="0" w:type="dxa"/>
        <w:left w:w="22" w:type="dxa"/>
        <w:bottom w:w="0" w:type="dxa"/>
        <w:right w:w="22" w:type="dxa"/>
      </w:tblCellMar>
    </w:tblPr>
  </w:style>
  <w:style w:type="table" w:customStyle="1" w:styleId="651">
    <w:name w:val="_Style 650"/>
    <w:basedOn w:val="30"/>
    <w:uiPriority w:val="0"/>
    <w:tblPr>
      <w:tblCellMar>
        <w:top w:w="0" w:type="dxa"/>
        <w:left w:w="22" w:type="dxa"/>
        <w:bottom w:w="0" w:type="dxa"/>
        <w:right w:w="22" w:type="dxa"/>
      </w:tblCellMar>
    </w:tblPr>
  </w:style>
  <w:style w:type="table" w:customStyle="1" w:styleId="652">
    <w:name w:val="_Style 651"/>
    <w:basedOn w:val="30"/>
    <w:uiPriority w:val="0"/>
    <w:tblPr>
      <w:tblCellMar>
        <w:top w:w="0" w:type="dxa"/>
        <w:left w:w="22" w:type="dxa"/>
        <w:bottom w:w="0" w:type="dxa"/>
        <w:right w:w="22" w:type="dxa"/>
      </w:tblCellMar>
    </w:tblPr>
  </w:style>
  <w:style w:type="table" w:customStyle="1" w:styleId="653">
    <w:name w:val="_Style 652"/>
    <w:basedOn w:val="30"/>
    <w:uiPriority w:val="0"/>
    <w:tblPr>
      <w:tblCellMar>
        <w:top w:w="0" w:type="dxa"/>
        <w:left w:w="22" w:type="dxa"/>
        <w:bottom w:w="0" w:type="dxa"/>
        <w:right w:w="22" w:type="dxa"/>
      </w:tblCellMar>
    </w:tblPr>
  </w:style>
  <w:style w:type="table" w:customStyle="1" w:styleId="654">
    <w:name w:val="_Style 653"/>
    <w:basedOn w:val="30"/>
    <w:uiPriority w:val="0"/>
    <w:tblPr>
      <w:tblCellMar>
        <w:top w:w="0" w:type="dxa"/>
        <w:left w:w="22" w:type="dxa"/>
        <w:bottom w:w="0" w:type="dxa"/>
        <w:right w:w="22" w:type="dxa"/>
      </w:tblCellMar>
    </w:tblPr>
  </w:style>
  <w:style w:type="table" w:customStyle="1" w:styleId="655">
    <w:name w:val="_Style 654"/>
    <w:basedOn w:val="30"/>
    <w:uiPriority w:val="0"/>
    <w:tblPr>
      <w:tblCellMar>
        <w:top w:w="0" w:type="dxa"/>
        <w:left w:w="22" w:type="dxa"/>
        <w:bottom w:w="0" w:type="dxa"/>
        <w:right w:w="22" w:type="dxa"/>
      </w:tblCellMar>
    </w:tblPr>
  </w:style>
  <w:style w:type="table" w:customStyle="1" w:styleId="656">
    <w:name w:val="_Style 655"/>
    <w:basedOn w:val="30"/>
    <w:uiPriority w:val="0"/>
    <w:tblPr>
      <w:tblCellMar>
        <w:top w:w="0" w:type="dxa"/>
        <w:left w:w="22" w:type="dxa"/>
        <w:bottom w:w="0" w:type="dxa"/>
        <w:right w:w="22" w:type="dxa"/>
      </w:tblCellMar>
    </w:tblPr>
  </w:style>
  <w:style w:type="table" w:customStyle="1" w:styleId="657">
    <w:name w:val="_Style 656"/>
    <w:basedOn w:val="30"/>
    <w:uiPriority w:val="0"/>
    <w:tblPr>
      <w:tblCellMar>
        <w:top w:w="0" w:type="dxa"/>
        <w:left w:w="22" w:type="dxa"/>
        <w:bottom w:w="0" w:type="dxa"/>
        <w:right w:w="22" w:type="dxa"/>
      </w:tblCellMar>
    </w:tblPr>
  </w:style>
  <w:style w:type="table" w:customStyle="1" w:styleId="658">
    <w:name w:val="_Style 657"/>
    <w:basedOn w:val="30"/>
    <w:uiPriority w:val="0"/>
    <w:tblPr>
      <w:tblCellMar>
        <w:top w:w="0" w:type="dxa"/>
        <w:left w:w="22" w:type="dxa"/>
        <w:bottom w:w="0" w:type="dxa"/>
        <w:right w:w="22" w:type="dxa"/>
      </w:tblCellMar>
    </w:tblPr>
  </w:style>
  <w:style w:type="table" w:customStyle="1" w:styleId="659">
    <w:name w:val="_Style 658"/>
    <w:basedOn w:val="30"/>
    <w:uiPriority w:val="0"/>
    <w:tblPr>
      <w:tblCellMar>
        <w:top w:w="0" w:type="dxa"/>
        <w:left w:w="22" w:type="dxa"/>
        <w:bottom w:w="0" w:type="dxa"/>
        <w:right w:w="22" w:type="dxa"/>
      </w:tblCellMar>
    </w:tblPr>
  </w:style>
  <w:style w:type="table" w:customStyle="1" w:styleId="660">
    <w:name w:val="_Style 659"/>
    <w:basedOn w:val="30"/>
    <w:uiPriority w:val="0"/>
    <w:tblPr>
      <w:tblCellMar>
        <w:top w:w="0" w:type="dxa"/>
        <w:left w:w="22" w:type="dxa"/>
        <w:bottom w:w="0" w:type="dxa"/>
        <w:right w:w="22" w:type="dxa"/>
      </w:tblCellMar>
    </w:tblPr>
  </w:style>
  <w:style w:type="table" w:customStyle="1" w:styleId="661">
    <w:name w:val="_Style 660"/>
    <w:basedOn w:val="30"/>
    <w:uiPriority w:val="0"/>
    <w:tblPr>
      <w:tblCellMar>
        <w:top w:w="0" w:type="dxa"/>
        <w:left w:w="22" w:type="dxa"/>
        <w:bottom w:w="0" w:type="dxa"/>
        <w:right w:w="22" w:type="dxa"/>
      </w:tblCellMar>
    </w:tblPr>
  </w:style>
  <w:style w:type="table" w:customStyle="1" w:styleId="662">
    <w:name w:val="_Style 661"/>
    <w:basedOn w:val="30"/>
    <w:uiPriority w:val="0"/>
    <w:tblPr>
      <w:tblCellMar>
        <w:top w:w="100" w:type="dxa"/>
        <w:left w:w="100" w:type="dxa"/>
        <w:bottom w:w="100" w:type="dxa"/>
        <w:right w:w="100" w:type="dxa"/>
      </w:tblCellMar>
    </w:tblPr>
  </w:style>
  <w:style w:type="table" w:customStyle="1" w:styleId="663">
    <w:name w:val="_Style 662"/>
    <w:basedOn w:val="30"/>
    <w:uiPriority w:val="0"/>
    <w:tblPr>
      <w:tblCellMar>
        <w:top w:w="100" w:type="dxa"/>
        <w:left w:w="100" w:type="dxa"/>
        <w:bottom w:w="100" w:type="dxa"/>
        <w:right w:w="100" w:type="dxa"/>
      </w:tblCellMar>
    </w:tblPr>
  </w:style>
  <w:style w:type="table" w:customStyle="1" w:styleId="664">
    <w:name w:val="_Style 663"/>
    <w:basedOn w:val="30"/>
    <w:uiPriority w:val="0"/>
    <w:tblPr>
      <w:tblCellMar>
        <w:top w:w="100" w:type="dxa"/>
        <w:left w:w="100" w:type="dxa"/>
        <w:bottom w:w="100" w:type="dxa"/>
        <w:right w:w="100" w:type="dxa"/>
      </w:tblCellMar>
    </w:tblPr>
  </w:style>
  <w:style w:type="table" w:customStyle="1" w:styleId="665">
    <w:name w:val="_Style 664"/>
    <w:basedOn w:val="30"/>
    <w:uiPriority w:val="0"/>
    <w:tblPr>
      <w:tblCellMar>
        <w:top w:w="100" w:type="dxa"/>
        <w:left w:w="100" w:type="dxa"/>
        <w:bottom w:w="100" w:type="dxa"/>
        <w:right w:w="100" w:type="dxa"/>
      </w:tblCellMar>
    </w:tblPr>
  </w:style>
  <w:style w:type="table" w:customStyle="1" w:styleId="666">
    <w:name w:val="_Style 665"/>
    <w:basedOn w:val="30"/>
    <w:uiPriority w:val="0"/>
    <w:tblPr>
      <w:tblCellMar>
        <w:top w:w="100" w:type="dxa"/>
        <w:left w:w="100" w:type="dxa"/>
        <w:bottom w:w="100" w:type="dxa"/>
        <w:right w:w="100" w:type="dxa"/>
      </w:tblCellMar>
    </w:tblPr>
  </w:style>
  <w:style w:type="table" w:customStyle="1" w:styleId="667">
    <w:name w:val="_Style 666"/>
    <w:basedOn w:val="30"/>
    <w:uiPriority w:val="0"/>
    <w:tblPr>
      <w:tblCellMar>
        <w:top w:w="100" w:type="dxa"/>
        <w:left w:w="100" w:type="dxa"/>
        <w:bottom w:w="100" w:type="dxa"/>
        <w:right w:w="100" w:type="dxa"/>
      </w:tblCellMar>
    </w:tblPr>
  </w:style>
  <w:style w:type="table" w:customStyle="1" w:styleId="668">
    <w:name w:val="_Style 667"/>
    <w:basedOn w:val="30"/>
    <w:uiPriority w:val="0"/>
    <w:tblPr>
      <w:tblCellMar>
        <w:top w:w="100" w:type="dxa"/>
        <w:left w:w="100" w:type="dxa"/>
        <w:bottom w:w="100" w:type="dxa"/>
        <w:right w:w="100" w:type="dxa"/>
      </w:tblCellMar>
    </w:tblPr>
  </w:style>
  <w:style w:type="table" w:customStyle="1" w:styleId="669">
    <w:name w:val="_Style 668"/>
    <w:basedOn w:val="30"/>
    <w:uiPriority w:val="0"/>
    <w:tblPr>
      <w:tblCellMar>
        <w:top w:w="100" w:type="dxa"/>
        <w:left w:w="100" w:type="dxa"/>
        <w:bottom w:w="100" w:type="dxa"/>
        <w:right w:w="100" w:type="dxa"/>
      </w:tblCellMar>
    </w:tblPr>
  </w:style>
  <w:style w:type="table" w:customStyle="1" w:styleId="670">
    <w:name w:val="_Style 669"/>
    <w:basedOn w:val="30"/>
    <w:qFormat/>
    <w:uiPriority w:val="0"/>
    <w:tblPr>
      <w:tblCellMar>
        <w:top w:w="100" w:type="dxa"/>
        <w:left w:w="100" w:type="dxa"/>
        <w:bottom w:w="100" w:type="dxa"/>
        <w:right w:w="100" w:type="dxa"/>
      </w:tblCellMar>
    </w:tblPr>
  </w:style>
  <w:style w:type="table" w:customStyle="1" w:styleId="671">
    <w:name w:val="_Style 670"/>
    <w:basedOn w:val="30"/>
    <w:uiPriority w:val="0"/>
    <w:tblPr>
      <w:tblCellMar>
        <w:top w:w="0" w:type="dxa"/>
        <w:left w:w="108" w:type="dxa"/>
        <w:bottom w:w="0" w:type="dxa"/>
        <w:right w:w="108" w:type="dxa"/>
      </w:tblCellMar>
    </w:tblPr>
  </w:style>
  <w:style w:type="table" w:customStyle="1" w:styleId="672">
    <w:name w:val="_Style 671"/>
    <w:basedOn w:val="30"/>
    <w:uiPriority w:val="0"/>
    <w:tblPr>
      <w:tblCellMar>
        <w:top w:w="0" w:type="dxa"/>
        <w:left w:w="108" w:type="dxa"/>
        <w:bottom w:w="0" w:type="dxa"/>
        <w:right w:w="108" w:type="dxa"/>
      </w:tblCellMar>
    </w:tblPr>
  </w:style>
  <w:style w:type="table" w:customStyle="1" w:styleId="673">
    <w:name w:val="_Style 672"/>
    <w:basedOn w:val="30"/>
    <w:uiPriority w:val="0"/>
    <w:tblPr>
      <w:tblCellMar>
        <w:top w:w="0" w:type="dxa"/>
        <w:left w:w="108" w:type="dxa"/>
        <w:bottom w:w="0" w:type="dxa"/>
        <w:right w:w="108" w:type="dxa"/>
      </w:tblCellMar>
    </w:tblPr>
  </w:style>
  <w:style w:type="table" w:customStyle="1" w:styleId="674">
    <w:name w:val="_Style 673"/>
    <w:basedOn w:val="30"/>
    <w:uiPriority w:val="0"/>
    <w:tblPr>
      <w:tblCellMar>
        <w:top w:w="0" w:type="dxa"/>
        <w:left w:w="70" w:type="dxa"/>
        <w:bottom w:w="0" w:type="dxa"/>
        <w:right w:w="70" w:type="dxa"/>
      </w:tblCellMar>
    </w:tblPr>
  </w:style>
  <w:style w:type="table" w:customStyle="1" w:styleId="675">
    <w:name w:val="_Style 674"/>
    <w:basedOn w:val="30"/>
    <w:uiPriority w:val="0"/>
    <w:tblPr>
      <w:tblCellMar>
        <w:top w:w="0" w:type="dxa"/>
        <w:left w:w="70" w:type="dxa"/>
        <w:bottom w:w="0" w:type="dxa"/>
        <w:right w:w="70" w:type="dxa"/>
      </w:tblCellMar>
    </w:tblPr>
  </w:style>
  <w:style w:type="table" w:customStyle="1" w:styleId="676">
    <w:name w:val="_Style 675"/>
    <w:basedOn w:val="30"/>
    <w:uiPriority w:val="0"/>
    <w:tblPr>
      <w:tblCellMar>
        <w:top w:w="0" w:type="dxa"/>
        <w:left w:w="70" w:type="dxa"/>
        <w:bottom w:w="0" w:type="dxa"/>
        <w:right w:w="70" w:type="dxa"/>
      </w:tblCellMar>
    </w:tblPr>
  </w:style>
  <w:style w:type="table" w:customStyle="1" w:styleId="677">
    <w:name w:val="_Style 676"/>
    <w:basedOn w:val="30"/>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8" Type="http://schemas.openxmlformats.org/officeDocument/2006/relationships/fontTable" Target="fontTable.xml"/><Relationship Id="rId87" Type="http://schemas.openxmlformats.org/officeDocument/2006/relationships/customXml" Target="../customXml/item2.xml"/><Relationship Id="rId86" Type="http://schemas.openxmlformats.org/officeDocument/2006/relationships/numbering" Target="numbering.xml"/><Relationship Id="rId85" Type="http://schemas.openxmlformats.org/officeDocument/2006/relationships/customXml" Target="../customXml/item1.xml"/><Relationship Id="rId84" Type="http://schemas.openxmlformats.org/officeDocument/2006/relationships/image" Target="media/image30.png"/><Relationship Id="rId83" Type="http://schemas.openxmlformats.org/officeDocument/2006/relationships/image" Target="media/image29.png"/><Relationship Id="rId82" Type="http://schemas.openxmlformats.org/officeDocument/2006/relationships/image" Target="media/image28.png"/><Relationship Id="rId81" Type="http://schemas.openxmlformats.org/officeDocument/2006/relationships/image" Target="media/image27.png"/><Relationship Id="rId80" Type="http://schemas.openxmlformats.org/officeDocument/2006/relationships/oleObject" Target="embeddings/oleObject8.bin"/><Relationship Id="rId8" Type="http://schemas.openxmlformats.org/officeDocument/2006/relationships/header" Target="header3.xml"/><Relationship Id="rId79" Type="http://schemas.openxmlformats.org/officeDocument/2006/relationships/image" Target="media/image26.png"/><Relationship Id="rId78" Type="http://schemas.openxmlformats.org/officeDocument/2006/relationships/oleObject" Target="embeddings/oleObject7.bin"/><Relationship Id="rId77" Type="http://schemas.openxmlformats.org/officeDocument/2006/relationships/image" Target="media/image25.jpeg"/><Relationship Id="rId76" Type="http://schemas.openxmlformats.org/officeDocument/2006/relationships/image" Target="media/image24.png"/><Relationship Id="rId75" Type="http://schemas.openxmlformats.org/officeDocument/2006/relationships/image" Target="media/image23.png"/><Relationship Id="rId74" Type="http://schemas.openxmlformats.org/officeDocument/2006/relationships/image" Target="media/image22.png"/><Relationship Id="rId73" Type="http://schemas.openxmlformats.org/officeDocument/2006/relationships/oleObject" Target="embeddings/oleObject6.bin"/><Relationship Id="rId72" Type="http://schemas.openxmlformats.org/officeDocument/2006/relationships/image" Target="media/image21.png"/><Relationship Id="rId71" Type="http://schemas.openxmlformats.org/officeDocument/2006/relationships/oleObject" Target="embeddings/oleObject5.bin"/><Relationship Id="rId70" Type="http://schemas.openxmlformats.org/officeDocument/2006/relationships/image" Target="media/image20.jpeg"/><Relationship Id="rId7" Type="http://schemas.openxmlformats.org/officeDocument/2006/relationships/footer" Target="footer1.xml"/><Relationship Id="rId69" Type="http://schemas.openxmlformats.org/officeDocument/2006/relationships/image" Target="media/image19.png"/><Relationship Id="rId68" Type="http://schemas.openxmlformats.org/officeDocument/2006/relationships/image" Target="media/image18.png"/><Relationship Id="rId67" Type="http://schemas.openxmlformats.org/officeDocument/2006/relationships/oleObject" Target="embeddings/oleObject4.bin"/><Relationship Id="rId66" Type="http://schemas.openxmlformats.org/officeDocument/2006/relationships/image" Target="media/image17.png"/><Relationship Id="rId65" Type="http://schemas.openxmlformats.org/officeDocument/2006/relationships/oleObject" Target="embeddings/oleObject3.bin"/><Relationship Id="rId64" Type="http://schemas.openxmlformats.org/officeDocument/2006/relationships/image" Target="media/image16.jpeg"/><Relationship Id="rId63" Type="http://schemas.openxmlformats.org/officeDocument/2006/relationships/image" Target="media/image15.png"/><Relationship Id="rId62" Type="http://schemas.openxmlformats.org/officeDocument/2006/relationships/oleObject" Target="embeddings/oleObject2.bin"/><Relationship Id="rId61" Type="http://schemas.openxmlformats.org/officeDocument/2006/relationships/image" Target="media/image14.jpeg"/><Relationship Id="rId60" Type="http://schemas.openxmlformats.org/officeDocument/2006/relationships/image" Target="media/image13.jpeg"/><Relationship Id="rId6" Type="http://schemas.openxmlformats.org/officeDocument/2006/relationships/header" Target="header2.xml"/><Relationship Id="rId59" Type="http://schemas.openxmlformats.org/officeDocument/2006/relationships/image" Target="media/image12.jpeg"/><Relationship Id="rId58" Type="http://schemas.openxmlformats.org/officeDocument/2006/relationships/image" Target="media/image11.jpeg"/><Relationship Id="rId57" Type="http://schemas.openxmlformats.org/officeDocument/2006/relationships/image" Target="media/image10.jpeg"/><Relationship Id="rId56" Type="http://schemas.openxmlformats.org/officeDocument/2006/relationships/image" Target="media/image9.jpeg"/><Relationship Id="rId55" Type="http://schemas.openxmlformats.org/officeDocument/2006/relationships/image" Target="media/image8.jpeg"/><Relationship Id="rId54" Type="http://schemas.openxmlformats.org/officeDocument/2006/relationships/image" Target="media/image7.png"/><Relationship Id="rId53" Type="http://schemas.openxmlformats.org/officeDocument/2006/relationships/oleObject" Target="embeddings/oleObject1.bin"/><Relationship Id="rId52" Type="http://schemas.openxmlformats.org/officeDocument/2006/relationships/image" Target="media/image6.jpeg"/><Relationship Id="rId51" Type="http://schemas.openxmlformats.org/officeDocument/2006/relationships/image" Target="media/image5.jpeg"/><Relationship Id="rId50" Type="http://schemas.openxmlformats.org/officeDocument/2006/relationships/theme" Target="theme/theme1.xml"/><Relationship Id="rId5" Type="http://schemas.openxmlformats.org/officeDocument/2006/relationships/header" Target="header1.xml"/><Relationship Id="rId49" Type="http://schemas.openxmlformats.org/officeDocument/2006/relationships/footer" Target="footer22.xml"/><Relationship Id="rId48" Type="http://schemas.openxmlformats.org/officeDocument/2006/relationships/footer" Target="footer21.xml"/><Relationship Id="rId47" Type="http://schemas.openxmlformats.org/officeDocument/2006/relationships/footer" Target="footer20.xml"/><Relationship Id="rId46" Type="http://schemas.openxmlformats.org/officeDocument/2006/relationships/header" Target="header23.xml"/><Relationship Id="rId45" Type="http://schemas.openxmlformats.org/officeDocument/2006/relationships/header" Target="header22.xml"/><Relationship Id="rId44" Type="http://schemas.openxmlformats.org/officeDocument/2006/relationships/header" Target="header21.xml"/><Relationship Id="rId43" Type="http://schemas.openxmlformats.org/officeDocument/2006/relationships/footer" Target="footer19.xml"/><Relationship Id="rId42" Type="http://schemas.openxmlformats.org/officeDocument/2006/relationships/footer" Target="footer18.xml"/><Relationship Id="rId41" Type="http://schemas.openxmlformats.org/officeDocument/2006/relationships/footer" Target="footer17.xml"/><Relationship Id="rId40" Type="http://schemas.openxmlformats.org/officeDocument/2006/relationships/header" Target="header20.xml"/><Relationship Id="rId4" Type="http://schemas.openxmlformats.org/officeDocument/2006/relationships/endnotes" Target="endnotes.xml"/><Relationship Id="rId39" Type="http://schemas.openxmlformats.org/officeDocument/2006/relationships/header" Target="header19.xml"/><Relationship Id="rId38" Type="http://schemas.openxmlformats.org/officeDocument/2006/relationships/header" Target="header18.xml"/><Relationship Id="rId37" Type="http://schemas.openxmlformats.org/officeDocument/2006/relationships/footer" Target="footer16.xml"/><Relationship Id="rId36" Type="http://schemas.openxmlformats.org/officeDocument/2006/relationships/footer" Target="footer15.xml"/><Relationship Id="rId35" Type="http://schemas.openxmlformats.org/officeDocument/2006/relationships/footer" Target="footer14.xml"/><Relationship Id="rId34" Type="http://schemas.openxmlformats.org/officeDocument/2006/relationships/header" Target="header17.xml"/><Relationship Id="rId33" Type="http://schemas.openxmlformats.org/officeDocument/2006/relationships/header" Target="header16.xml"/><Relationship Id="rId32" Type="http://schemas.openxmlformats.org/officeDocument/2006/relationships/header" Target="header15.xml"/><Relationship Id="rId31" Type="http://schemas.openxmlformats.org/officeDocument/2006/relationships/footer" Target="footer13.xml"/><Relationship Id="rId30" Type="http://schemas.openxmlformats.org/officeDocument/2006/relationships/footer" Target="footer12.xml"/><Relationship Id="rId3" Type="http://schemas.openxmlformats.org/officeDocument/2006/relationships/footnotes" Target="footnotes.xml"/><Relationship Id="rId29" Type="http://schemas.openxmlformats.org/officeDocument/2006/relationships/footer" Target="footer11.xml"/><Relationship Id="rId28" Type="http://schemas.openxmlformats.org/officeDocument/2006/relationships/header" Target="header14.xml"/><Relationship Id="rId27" Type="http://schemas.openxmlformats.org/officeDocument/2006/relationships/header" Target="header13.xml"/><Relationship Id="rId26" Type="http://schemas.openxmlformats.org/officeDocument/2006/relationships/header" Target="header12.xml"/><Relationship Id="rId25" Type="http://schemas.openxmlformats.org/officeDocument/2006/relationships/footer" Target="footer10.xml"/><Relationship Id="rId24" Type="http://schemas.openxmlformats.org/officeDocument/2006/relationships/footer" Target="footer9.xml"/><Relationship Id="rId23" Type="http://schemas.openxmlformats.org/officeDocument/2006/relationships/footer" Target="footer8.xml"/><Relationship Id="rId22" Type="http://schemas.openxmlformats.org/officeDocument/2006/relationships/header" Target="header11.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footer" Target="footer6.xml"/><Relationship Id="rId17" Type="http://schemas.openxmlformats.org/officeDocument/2006/relationships/footer" Target="footer5.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footer" Target="footer2.xml"/><Relationship Id="rId10" Type="http://schemas.openxmlformats.org/officeDocument/2006/relationships/header" Target="head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1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iPNAVa1OyWClXdVCZXZv5+ry8qxg==">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</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417</Pages>
  <Words>110138</Words>
  <Characters>594749</Characters>
  <Lines>4956</Lines>
  <Paragraphs>1406</Paragraphs>
  <TotalTime>162</TotalTime>
  <ScaleCrop>false</ScaleCrop>
  <LinksUpToDate>false</LinksUpToDate>
  <CharactersWithSpaces>703481</CharactersWithSpaces>
  <Application>WPS Office_11.2.0.11440_F1E327BC-269C-435d-A152-05C5408002CA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2022-10-21T17:44:00Z</dcterms:created>
  <dc:creator>UFOP</dc:creator>
  <cp:lastModifiedBy>UFOP</cp:lastModifiedBy>
  <dcterms:modified xsi:type="dcterms:W3CDTF">2022-12-22T13:24:48Z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DocSecurity">
    <vt:r8>0</vt:r8>
  </property>
  <property fmtid="{D5CDD505-2E9C-101B-9397-08002B2CF9AE}" pid="5" name="HyperlinksChanged">
    <vt:bool>false</vt:bool>
  </property>
  <property fmtid="{D5CDD505-2E9C-101B-9397-08002B2CF9AE}" pid="6" name="ICV">
    <vt:lpwstr>0F0D33A9FFB7440182F656764D00C500</vt:lpwstr>
  </property>
  <property fmtid="{D5CDD505-2E9C-101B-9397-08002B2CF9AE}" pid="7" name="KSOProductBuildVer">
    <vt:lpwstr>1046-11.2.0.11440</vt:lpwstr>
  </property>
  <property fmtid="{D5CDD505-2E9C-101B-9397-08002B2CF9AE}" pid="8" name="LinksUpToDate">
    <vt:bool>false</vt:bool>
  </property>
  <property fmtid="{D5CDD505-2E9C-101B-9397-08002B2CF9AE}" pid="9" name="ScaleCrop">
    <vt:bool>false</vt:bool>
  </property>
  <property fmtid="{D5CDD505-2E9C-101B-9397-08002B2CF9AE}" pid="10" name="ShareDoc">
    <vt:bool>false</vt:bool>
  </property>
</Properties>
</file>